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B0776" w:rsidP="00AB0776" w14:paraId="2ED39503" w14:textId="77777777">
      <w:pPr>
        <w:pStyle w:val="Title"/>
      </w:pPr>
      <w:r>
        <w:t>Before the</w:t>
      </w:r>
    </w:p>
    <w:p w:rsidR="00AB0776" w:rsidP="00AB0776" w14:paraId="060852A9" w14:textId="77777777">
      <w:pPr>
        <w:pStyle w:val="Title"/>
      </w:pPr>
      <w:r>
        <w:t>Federal Communications Commission</w:t>
      </w:r>
    </w:p>
    <w:p w:rsidR="00AB0776" w:rsidP="00AB0776" w14:paraId="0857C436" w14:textId="77777777">
      <w:pPr>
        <w:pStyle w:val="Title"/>
      </w:pPr>
      <w:r>
        <w:t>Washington, D.C. 20554</w:t>
      </w:r>
    </w:p>
    <w:p w:rsidR="00AB0776" w:rsidP="00AB0776" w14:paraId="2A0F028B" w14:textId="77777777">
      <w:pPr>
        <w:pStyle w:val="EndnoteText"/>
        <w:tabs>
          <w:tab w:val="left" w:pos="-720"/>
        </w:tabs>
        <w:suppressAutoHyphens/>
        <w:spacing w:line="227" w:lineRule="auto"/>
        <w:rPr>
          <w:spacing w:val="-2"/>
        </w:rPr>
      </w:pPr>
    </w:p>
    <w:p w:rsidR="00AB0776" w:rsidP="00AB0776" w14:paraId="1CE14772"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7744F005" w14:textId="77777777" w:rsidTr="008B7930">
        <w:tblPrEx>
          <w:tblW w:w="0" w:type="auto"/>
          <w:tblLayout w:type="fixed"/>
          <w:tblLook w:val="0000"/>
        </w:tblPrEx>
        <w:tc>
          <w:tcPr>
            <w:tcW w:w="4698" w:type="dxa"/>
          </w:tcPr>
          <w:p w:rsidR="00AB0776" w:rsidP="008B7930" w14:paraId="097E95B1" w14:textId="77777777">
            <w:pPr>
              <w:tabs>
                <w:tab w:val="center" w:pos="4680"/>
              </w:tabs>
              <w:suppressAutoHyphens/>
              <w:rPr>
                <w:spacing w:val="-2"/>
              </w:rPr>
            </w:pPr>
            <w:r>
              <w:rPr>
                <w:spacing w:val="-2"/>
              </w:rPr>
              <w:t>In the Matter of:</w:t>
            </w:r>
          </w:p>
          <w:p w:rsidR="00AB0776" w:rsidP="008B7930" w14:paraId="58416065" w14:textId="77777777">
            <w:pPr>
              <w:tabs>
                <w:tab w:val="center" w:pos="4680"/>
              </w:tabs>
              <w:suppressAutoHyphens/>
              <w:rPr>
                <w:spacing w:val="-2"/>
              </w:rPr>
            </w:pPr>
          </w:p>
          <w:p w:rsidR="00AB0776" w:rsidP="008B7930" w14:paraId="5F1BEC44" w14:textId="77777777">
            <w:pPr>
              <w:tabs>
                <w:tab w:val="center" w:pos="4680"/>
              </w:tabs>
              <w:suppressAutoHyphens/>
              <w:rPr>
                <w:spacing w:val="-2"/>
              </w:rPr>
            </w:pPr>
            <w:r>
              <w:rPr>
                <w:spacing w:val="-2"/>
              </w:rPr>
              <w:t xml:space="preserve">Digital Broadcasting OVS  </w:t>
            </w:r>
          </w:p>
          <w:p w:rsidR="00AB0776" w:rsidP="008B7930" w14:paraId="4D43C3EB" w14:textId="77777777">
            <w:pPr>
              <w:tabs>
                <w:tab w:val="center" w:pos="4680"/>
              </w:tabs>
              <w:suppressAutoHyphens/>
              <w:rPr>
                <w:spacing w:val="-2"/>
              </w:rPr>
            </w:pPr>
          </w:p>
          <w:p w:rsidR="00AB0776" w:rsidP="008B7930" w14:paraId="3BBFF8B2" w14:textId="77777777">
            <w:pPr>
              <w:tabs>
                <w:tab w:val="center" w:pos="4680"/>
              </w:tabs>
              <w:suppressAutoHyphens/>
              <w:rPr>
                <w:spacing w:val="-2"/>
              </w:rPr>
            </w:pPr>
            <w:r>
              <w:rPr>
                <w:spacing w:val="-2"/>
              </w:rPr>
              <w:t>Certification to Operate an</w:t>
            </w:r>
          </w:p>
          <w:p w:rsidR="00AB0776" w:rsidP="008B7930" w14:paraId="4EB494D6" w14:textId="77777777">
            <w:pPr>
              <w:tabs>
                <w:tab w:val="center" w:pos="4680"/>
              </w:tabs>
              <w:suppressAutoHyphens/>
              <w:rPr>
                <w:spacing w:val="-2"/>
              </w:rPr>
            </w:pPr>
            <w:r>
              <w:rPr>
                <w:spacing w:val="-2"/>
              </w:rPr>
              <w:t>Open Video System</w:t>
            </w:r>
          </w:p>
          <w:p w:rsidR="00AB0776" w:rsidP="008B7930" w14:paraId="00BEBD39" w14:textId="77777777"/>
        </w:tc>
        <w:tc>
          <w:tcPr>
            <w:tcW w:w="630" w:type="dxa"/>
          </w:tcPr>
          <w:p w:rsidR="00AB0776" w:rsidP="008B7930" w14:paraId="306DE144" w14:textId="77777777">
            <w:pPr>
              <w:tabs>
                <w:tab w:val="center" w:pos="4680"/>
              </w:tabs>
              <w:suppressAutoHyphens/>
              <w:rPr>
                <w:b/>
                <w:spacing w:val="-2"/>
              </w:rPr>
            </w:pPr>
            <w:r>
              <w:rPr>
                <w:b/>
                <w:spacing w:val="-2"/>
              </w:rPr>
              <w:t>)</w:t>
            </w:r>
          </w:p>
          <w:p w:rsidR="00AB0776" w:rsidP="008B7930" w14:paraId="0267B1F8" w14:textId="77777777">
            <w:pPr>
              <w:tabs>
                <w:tab w:val="center" w:pos="4680"/>
              </w:tabs>
              <w:suppressAutoHyphens/>
              <w:rPr>
                <w:b/>
                <w:spacing w:val="-2"/>
              </w:rPr>
            </w:pPr>
            <w:r>
              <w:rPr>
                <w:b/>
                <w:spacing w:val="-2"/>
              </w:rPr>
              <w:t>)</w:t>
            </w:r>
          </w:p>
          <w:p w:rsidR="00AB0776" w:rsidP="008B7930" w14:paraId="5F2321EA" w14:textId="77777777">
            <w:pPr>
              <w:tabs>
                <w:tab w:val="center" w:pos="4680"/>
              </w:tabs>
              <w:suppressAutoHyphens/>
              <w:rPr>
                <w:b/>
                <w:spacing w:val="-2"/>
              </w:rPr>
            </w:pPr>
            <w:r>
              <w:rPr>
                <w:b/>
                <w:spacing w:val="-2"/>
              </w:rPr>
              <w:t>)</w:t>
            </w:r>
          </w:p>
          <w:p w:rsidR="00AB0776" w:rsidP="008B7930" w14:paraId="61D8F3A6" w14:textId="77777777">
            <w:pPr>
              <w:tabs>
                <w:tab w:val="center" w:pos="4680"/>
              </w:tabs>
              <w:suppressAutoHyphens/>
              <w:rPr>
                <w:b/>
                <w:spacing w:val="-2"/>
              </w:rPr>
            </w:pPr>
            <w:r>
              <w:rPr>
                <w:b/>
                <w:spacing w:val="-2"/>
              </w:rPr>
              <w:t>)</w:t>
            </w:r>
          </w:p>
          <w:p w:rsidR="00AB0776" w:rsidP="008B7930" w14:paraId="5B081419" w14:textId="77777777">
            <w:pPr>
              <w:tabs>
                <w:tab w:val="center" w:pos="4680"/>
              </w:tabs>
              <w:suppressAutoHyphens/>
              <w:rPr>
                <w:b/>
                <w:spacing w:val="-2"/>
              </w:rPr>
            </w:pPr>
            <w:r>
              <w:rPr>
                <w:b/>
                <w:spacing w:val="-2"/>
              </w:rPr>
              <w:t>)</w:t>
            </w:r>
          </w:p>
          <w:p w:rsidR="00AB0776" w:rsidP="008B7930" w14:paraId="5FF7F964" w14:textId="77777777">
            <w:pPr>
              <w:tabs>
                <w:tab w:val="center" w:pos="4680"/>
              </w:tabs>
              <w:suppressAutoHyphens/>
              <w:rPr>
                <w:b/>
                <w:spacing w:val="-2"/>
              </w:rPr>
            </w:pPr>
            <w:r>
              <w:rPr>
                <w:b/>
                <w:spacing w:val="-2"/>
              </w:rPr>
              <w:t>)</w:t>
            </w:r>
          </w:p>
          <w:p w:rsidR="00AB0776" w:rsidP="008B7930" w14:paraId="47276A43" w14:textId="77777777">
            <w:pPr>
              <w:tabs>
                <w:tab w:val="center" w:pos="4680"/>
              </w:tabs>
              <w:suppressAutoHyphens/>
              <w:rPr>
                <w:b/>
                <w:spacing w:val="-2"/>
              </w:rPr>
            </w:pPr>
            <w:r>
              <w:rPr>
                <w:b/>
                <w:spacing w:val="-2"/>
              </w:rPr>
              <w:t>)</w:t>
            </w:r>
          </w:p>
          <w:p w:rsidR="00AB0776" w:rsidP="008B7930" w14:paraId="4E246C9F" w14:textId="77777777">
            <w:pPr>
              <w:tabs>
                <w:tab w:val="center" w:pos="4680"/>
              </w:tabs>
              <w:suppressAutoHyphens/>
              <w:rPr>
                <w:b/>
                <w:spacing w:val="-2"/>
              </w:rPr>
            </w:pPr>
          </w:p>
          <w:p w:rsidR="00AB0776" w:rsidP="008B7930" w14:paraId="6667F942" w14:textId="77777777">
            <w:pPr>
              <w:tabs>
                <w:tab w:val="center" w:pos="4680"/>
              </w:tabs>
              <w:suppressAutoHyphens/>
              <w:rPr>
                <w:spacing w:val="-2"/>
              </w:rPr>
            </w:pPr>
          </w:p>
        </w:tc>
        <w:tc>
          <w:tcPr>
            <w:tcW w:w="4248" w:type="dxa"/>
          </w:tcPr>
          <w:p w:rsidR="00AB0776" w:rsidP="008B7930" w14:paraId="3DD24F97" w14:textId="77777777">
            <w:pPr>
              <w:tabs>
                <w:tab w:val="center" w:pos="4680"/>
              </w:tabs>
              <w:suppressAutoHyphens/>
              <w:rPr>
                <w:spacing w:val="-2"/>
              </w:rPr>
            </w:pPr>
          </w:p>
          <w:p w:rsidR="00AB0776" w:rsidP="008B7930" w14:paraId="48441BF0" w14:textId="77777777">
            <w:pPr>
              <w:tabs>
                <w:tab w:val="center" w:pos="4680"/>
              </w:tabs>
              <w:suppressAutoHyphens/>
              <w:rPr>
                <w:spacing w:val="-2"/>
              </w:rPr>
            </w:pPr>
          </w:p>
          <w:p w:rsidR="00AB0776" w:rsidP="008B7930" w14:paraId="77F095FC" w14:textId="77777777">
            <w:pPr>
              <w:tabs>
                <w:tab w:val="center" w:pos="4680"/>
              </w:tabs>
              <w:suppressAutoHyphens/>
              <w:rPr>
                <w:spacing w:val="-2"/>
              </w:rPr>
            </w:pPr>
          </w:p>
          <w:p w:rsidR="00AB0776" w:rsidP="008B7930" w14:paraId="63B6CF8B" w14:textId="77777777">
            <w:pPr>
              <w:tabs>
                <w:tab w:val="center" w:pos="4680"/>
              </w:tabs>
              <w:suppressAutoHyphens/>
              <w:rPr>
                <w:spacing w:val="-2"/>
              </w:rPr>
            </w:pPr>
          </w:p>
        </w:tc>
      </w:tr>
    </w:tbl>
    <w:p w:rsidR="00AB0776" w:rsidP="00AB0776" w14:paraId="2AB8D891" w14:textId="77777777">
      <w:pPr>
        <w:pStyle w:val="Title"/>
      </w:pPr>
      <w:r>
        <w:fldChar w:fldCharType="begin"/>
      </w:r>
      <w:r>
        <w:instrText xml:space="preserve"> AUTOTEXTLIST  \* MERGEFORMAT </w:instrText>
      </w:r>
      <w:r>
        <w:fldChar w:fldCharType="separate"/>
      </w:r>
      <w:r>
        <w:t>MEMORANDUM OPINION AND ORDER</w:t>
      </w:r>
      <w:r>
        <w:fldChar w:fldCharType="end"/>
      </w:r>
    </w:p>
    <w:p w:rsidR="008A6F0A" w:rsidP="00AB0776" w14:paraId="04E36275" w14:textId="77777777">
      <w:pPr>
        <w:tabs>
          <w:tab w:val="left" w:pos="720"/>
          <w:tab w:val="left" w:pos="5760"/>
        </w:tabs>
        <w:suppressAutoHyphens/>
        <w:spacing w:line="227" w:lineRule="auto"/>
        <w:rPr>
          <w:b/>
          <w:spacing w:val="-2"/>
        </w:rPr>
      </w:pPr>
    </w:p>
    <w:p w:rsidR="008A6F0A" w:rsidP="00AB0776" w14:paraId="437ED61F" w14:textId="77777777">
      <w:pPr>
        <w:tabs>
          <w:tab w:val="left" w:pos="720"/>
          <w:tab w:val="left" w:pos="5760"/>
        </w:tabs>
        <w:suppressAutoHyphens/>
        <w:spacing w:line="227" w:lineRule="auto"/>
        <w:rPr>
          <w:b/>
          <w:spacing w:val="-2"/>
        </w:rPr>
      </w:pPr>
    </w:p>
    <w:p w:rsidR="00AB0776" w:rsidP="00AB0776" w14:paraId="42E5F9C3" w14:textId="640852F7">
      <w:pPr>
        <w:tabs>
          <w:tab w:val="left" w:pos="720"/>
          <w:tab w:val="left" w:pos="5760"/>
        </w:tabs>
        <w:suppressAutoHyphens/>
        <w:spacing w:line="227" w:lineRule="auto"/>
        <w:rPr>
          <w:b/>
          <w:spacing w:val="-2"/>
        </w:rPr>
      </w:pPr>
      <w:r>
        <w:rPr>
          <w:b/>
          <w:spacing w:val="-2"/>
        </w:rPr>
        <w:t xml:space="preserve">Adopted:  </w:t>
      </w:r>
      <w:r w:rsidR="008A6F0A">
        <w:rPr>
          <w:b/>
          <w:spacing w:val="-2"/>
        </w:rPr>
        <w:t xml:space="preserve">December </w:t>
      </w:r>
      <w:r w:rsidR="0028130D">
        <w:rPr>
          <w:b/>
          <w:spacing w:val="-2"/>
        </w:rPr>
        <w:t>30</w:t>
      </w:r>
      <w:r w:rsidR="008A6F0A">
        <w:rPr>
          <w:b/>
          <w:spacing w:val="-2"/>
        </w:rPr>
        <w:t>, 2021</w:t>
      </w:r>
      <w:r>
        <w:rPr>
          <w:spacing w:val="-2"/>
        </w:rPr>
        <w:tab/>
        <w:t xml:space="preserve">              </w:t>
      </w:r>
      <w:r>
        <w:rPr>
          <w:b/>
          <w:spacing w:val="-2"/>
        </w:rPr>
        <w:t xml:space="preserve">Released: </w:t>
      </w:r>
      <w:r w:rsidR="008A6F0A">
        <w:rPr>
          <w:b/>
          <w:spacing w:val="-2"/>
        </w:rPr>
        <w:t xml:space="preserve"> December</w:t>
      </w:r>
      <w:r>
        <w:rPr>
          <w:b/>
          <w:spacing w:val="-2"/>
        </w:rPr>
        <w:t xml:space="preserve"> </w:t>
      </w:r>
      <w:r w:rsidR="0028130D">
        <w:rPr>
          <w:b/>
          <w:spacing w:val="-2"/>
        </w:rPr>
        <w:t>30</w:t>
      </w:r>
      <w:r>
        <w:rPr>
          <w:b/>
          <w:spacing w:val="-2"/>
        </w:rPr>
        <w:t>,</w:t>
      </w:r>
      <w:r>
        <w:rPr>
          <w:spacing w:val="-2"/>
        </w:rPr>
        <w:t xml:space="preserve"> </w:t>
      </w:r>
      <w:r>
        <w:rPr>
          <w:b/>
          <w:spacing w:val="-2"/>
        </w:rPr>
        <w:t>20</w:t>
      </w:r>
      <w:r w:rsidR="008A6F0A">
        <w:rPr>
          <w:b/>
          <w:spacing w:val="-2"/>
        </w:rPr>
        <w:t>21</w:t>
      </w:r>
    </w:p>
    <w:p w:rsidR="00AB0776" w:rsidP="00AB0776" w14:paraId="0BAB9804" w14:textId="77777777"/>
    <w:p w:rsidR="00AB0776" w:rsidP="00AB0776" w14:paraId="50F393B0" w14:textId="4EA1F666">
      <w:pPr>
        <w:rPr>
          <w:spacing w:val="-2"/>
        </w:rPr>
      </w:pPr>
      <w:r>
        <w:t xml:space="preserve">By the </w:t>
      </w:r>
      <w:r>
        <w:rPr>
          <w:spacing w:val="-2"/>
        </w:rPr>
        <w:t>Chief, Policy Division, Media Bureau:</w:t>
      </w:r>
    </w:p>
    <w:p w:rsidR="00AB0776" w:rsidP="00AB0776" w14:paraId="2B75B6A8" w14:textId="77777777">
      <w:pPr>
        <w:rPr>
          <w:spacing w:val="-2"/>
        </w:rPr>
      </w:pPr>
    </w:p>
    <w:p w:rsidR="00AB0776" w:rsidP="00AB0776" w14:paraId="5DED1E33" w14:textId="77777777">
      <w:pPr>
        <w:pStyle w:val="Heading1"/>
      </w:pPr>
      <w:r>
        <w:t>INTRODUCTION</w:t>
      </w:r>
    </w:p>
    <w:p w:rsidR="00AB0776" w:rsidP="00AB0776" w14:paraId="30522EF3" w14:textId="2793642D">
      <w:pPr>
        <w:pStyle w:val="ParaNum"/>
        <w:rPr>
          <w:b/>
        </w:rPr>
      </w:pPr>
      <w:r>
        <w:t xml:space="preserve">On </w:t>
      </w:r>
      <w:r w:rsidR="0080383F">
        <w:t>December 20, 2021</w:t>
      </w:r>
      <w:r>
        <w:t xml:space="preserve">, </w:t>
      </w:r>
      <w:r w:rsidR="0080383F">
        <w:t>Digital Broadcasting Corporation</w:t>
      </w:r>
      <w:r>
        <w:t xml:space="preserve"> (</w:t>
      </w:r>
      <w:r w:rsidR="0080383F">
        <w:t>Digital Broadcasting</w:t>
      </w:r>
      <w:r>
        <w:t xml:space="preserve">) filed an application for certification to operate an open video system pursuant to </w:t>
      </w:r>
      <w:r w:rsidR="0080383F">
        <w:t>s</w:t>
      </w:r>
      <w:r>
        <w:t>ection 653(a)(1) of the Communications Act of 1934</w:t>
      </w:r>
      <w:r w:rsidR="00DC3CD5">
        <w:t>, as amended</w:t>
      </w:r>
      <w:r>
        <w:t xml:space="preserve"> (Communications Act) and the Commission</w:t>
      </w:r>
      <w:r w:rsidR="0080383F">
        <w:t>’</w:t>
      </w:r>
      <w:r>
        <w:t>s rules.</w:t>
      </w:r>
      <w:r>
        <w:rPr>
          <w:rStyle w:val="FootnoteReference"/>
          <w:spacing w:val="-2"/>
        </w:rPr>
        <w:footnoteReference w:id="2"/>
      </w:r>
      <w:r>
        <w:t xml:space="preserve">  </w:t>
      </w:r>
      <w:r w:rsidR="0080383F">
        <w:t>Digital Broadcasting</w:t>
      </w:r>
      <w:r>
        <w:t xml:space="preserve"> seeks to operate an open video system serving </w:t>
      </w:r>
      <w:r w:rsidR="00D94E1E">
        <w:t xml:space="preserve">communities located in </w:t>
      </w:r>
      <w:r w:rsidRPr="00D94E1E" w:rsidR="00D94E1E">
        <w:t>the top 210 designated market areas (DMA) in the United States of America, as well as the U.S. Territories, Commonwealths, and the U.S. Virgin Islands, Puerto Rico, Guam, and American Samoa</w:t>
      </w:r>
      <w:r>
        <w:t xml:space="preserve"> (the Service Areas).  In accordance with our procedures,</w:t>
      </w:r>
      <w:r>
        <w:rPr>
          <w:rStyle w:val="FootnoteReference"/>
          <w:spacing w:val="-2"/>
        </w:rPr>
        <w:footnoteReference w:id="3"/>
      </w:r>
      <w:r>
        <w:t xml:space="preserve"> the Commission published notice of receipt of the </w:t>
      </w:r>
      <w:r w:rsidR="0080383F">
        <w:t>Digital Broadcasting</w:t>
      </w:r>
      <w:r>
        <w:t xml:space="preserve"> application</w:t>
      </w:r>
      <w:r>
        <w:rPr>
          <w:rStyle w:val="FootnoteReference"/>
          <w:spacing w:val="-2"/>
        </w:rPr>
        <w:footnoteReference w:id="4"/>
      </w:r>
      <w:r>
        <w:t xml:space="preserve"> and posted the application on the Internet.</w:t>
      </w:r>
      <w:r>
        <w:rPr>
          <w:rStyle w:val="FootnoteReference"/>
          <w:spacing w:val="-2"/>
        </w:rPr>
        <w:footnoteReference w:id="5"/>
      </w:r>
      <w:r>
        <w:t xml:space="preserve">  No comments regarding this application were received.</w:t>
      </w:r>
      <w:r w:rsidR="00DC3CD5">
        <w:t xml:space="preserve"> </w:t>
      </w:r>
    </w:p>
    <w:p w:rsidR="00AB0776" w:rsidP="00AB0776" w14:paraId="38605B88" w14:textId="76FCD1DB">
      <w:pPr>
        <w:pStyle w:val="ParaNum"/>
      </w:pPr>
      <w:r>
        <w:t xml:space="preserve">Pursuant to </w:t>
      </w:r>
      <w:r w:rsidR="00DC3CD5">
        <w:t>s</w:t>
      </w:r>
      <w:r>
        <w:t>ection 653(a)(1) of the Communications Act, any entity meeting the requirements may obtain certification to operate an open video system.</w:t>
      </w:r>
      <w:r>
        <w:rPr>
          <w:rStyle w:val="FootnoteReference"/>
          <w:spacing w:val="-2"/>
        </w:rPr>
        <w:footnoteReference w:id="6"/>
      </w:r>
      <w:r>
        <w:t xml:space="preserve">  In light of the brief period (ten days) for Commission review of certification filings, the Commission concluded that Congress intended there to be a streamlined certification process.</w:t>
      </w:r>
      <w:r>
        <w:rPr>
          <w:rStyle w:val="FootnoteReference"/>
          <w:spacing w:val="-2"/>
        </w:rPr>
        <w:footnoteReference w:id="7"/>
      </w:r>
      <w:r>
        <w:t xml:space="preserve">  Open video system operators may apply for certification </w:t>
      </w:r>
      <w:r>
        <w:t>at any point prior to the commencement of service.  Open video system operators must obtain certification prior to the commencement of service, allowing sufficient time to comply with the Commission's requirements regarding notifications that applicants must provide to potential programming providers.</w:t>
      </w:r>
      <w:r>
        <w:rPr>
          <w:rStyle w:val="FootnoteReference"/>
          <w:spacing w:val="-2"/>
        </w:rPr>
        <w:footnoteReference w:id="8"/>
      </w:r>
    </w:p>
    <w:p w:rsidR="00AB0776" w:rsidRPr="00DC3CD5" w:rsidP="00DC3CD5" w14:paraId="634F34F9" w14:textId="6116E68B">
      <w:pPr>
        <w:pStyle w:val="ParaNum"/>
      </w:pPr>
      <w:r>
        <w:t>As part of the certification process, the applicant must acknowledge and accept the obligations associated with operation of an open video system and must provide certain information regarding its proposed system.</w:t>
      </w:r>
      <w:r>
        <w:rPr>
          <w:rStyle w:val="FootnoteReference"/>
          <w:spacing w:val="-2"/>
        </w:rPr>
        <w:footnoteReference w:id="9"/>
      </w:r>
      <w:r>
        <w:t xml:space="preserve">  To obtain certification, an applicant must file FCC Form 1275, which requires, among other things: (a) a statement of ownership, including a list of all affiliated entities;</w:t>
      </w:r>
      <w:r>
        <w:rPr>
          <w:rStyle w:val="FootnoteReference"/>
          <w:spacing w:val="-2"/>
        </w:rPr>
        <w:footnoteReference w:id="10"/>
      </w:r>
      <w:r>
        <w:t xml:space="preserve"> (b) a representation that the applicant will comply with the Commission</w:t>
      </w:r>
      <w:r w:rsidR="00DC3CD5">
        <w:t>’</w:t>
      </w:r>
      <w:r>
        <w:t xml:space="preserve">s regulations under </w:t>
      </w:r>
      <w:r w:rsidR="00DC3CD5">
        <w:t>s</w:t>
      </w:r>
      <w:r>
        <w:t>ection 653(b) of the Communications Act;</w:t>
      </w:r>
      <w:r>
        <w:rPr>
          <w:rStyle w:val="FootnoteReference"/>
          <w:spacing w:val="-2"/>
        </w:rPr>
        <w:footnoteReference w:id="11"/>
      </w:r>
      <w:r>
        <w:t xml:space="preserve"> (c) a list of the names of the communities the applicant intends to serve;</w:t>
      </w:r>
      <w:r>
        <w:rPr>
          <w:rStyle w:val="FootnoteReference"/>
        </w:rPr>
        <w:footnoteReference w:id="12"/>
      </w:r>
      <w:r w:rsidRPr="00D94E1E" w:rsidR="00D94E1E">
        <w:t xml:space="preserve"> </w:t>
      </w:r>
      <w:r w:rsidR="00D94E1E">
        <w:t>(</w:t>
      </w:r>
      <w:r w:rsidR="0029616E">
        <w:t>d</w:t>
      </w:r>
      <w:r w:rsidR="00D94E1E">
        <w:t xml:space="preserve">) </w:t>
      </w:r>
      <w:r>
        <w:t>a statement of the anticipated type and amount of capacity that the system will provide; and (</w:t>
      </w:r>
      <w:r w:rsidR="0029616E">
        <w:t>e</w:t>
      </w:r>
      <w:r>
        <w:t>) a statement as to whether the applicant is a cable operator applying for certification within its cable franchise area.</w:t>
      </w:r>
      <w:r>
        <w:tab/>
      </w:r>
    </w:p>
    <w:p w:rsidR="00AB0776" w:rsidRPr="00DC3CD5" w:rsidP="00DC3CD5" w14:paraId="2EDBF75E" w14:textId="3A5CE9F8">
      <w:pPr>
        <w:pStyle w:val="Heading1"/>
      </w:pPr>
      <w:r>
        <w:t>DISCUSSION</w:t>
      </w:r>
    </w:p>
    <w:p w:rsidR="00B3213E" w:rsidP="00AB0776" w14:paraId="156DFD5F" w14:textId="147A6B18">
      <w:pPr>
        <w:pStyle w:val="ParaNum"/>
      </w:pPr>
      <w:r>
        <w:t>Digital Broadcasting</w:t>
      </w:r>
      <w:r w:rsidR="00AB0776">
        <w:t xml:space="preserve"> has submitted an application on FCC Form 1275 for certification to operate an open video system in the</w:t>
      </w:r>
      <w:r w:rsidR="002565DD">
        <w:t xml:space="preserve"> vastly expansive</w:t>
      </w:r>
      <w:r w:rsidR="00AB0776">
        <w:t xml:space="preserve"> Service Areas.  </w:t>
      </w:r>
      <w:r>
        <w:t xml:space="preserve">We </w:t>
      </w:r>
      <w:r w:rsidR="00300715">
        <w:t xml:space="preserve">deny Digital Broadcasting’s certification because we find that its application was deficient with respect to the requirement that the filing must be served on all local communities </w:t>
      </w:r>
      <w:r w:rsidR="00F05673">
        <w:t>anticipated to</w:t>
      </w:r>
      <w:r w:rsidR="009A198A">
        <w:t xml:space="preserve"> be cove</w:t>
      </w:r>
      <w:r w:rsidR="00D44481">
        <w:t>re</w:t>
      </w:r>
      <w:r w:rsidR="009A198A">
        <w:t xml:space="preserve">d by OVS service </w:t>
      </w:r>
      <w:r w:rsidR="00C668D5">
        <w:t>up</w:t>
      </w:r>
      <w:r w:rsidR="00300715">
        <w:t>on completion of the system</w:t>
      </w:r>
      <w:r w:rsidR="00063B1C">
        <w:t>.</w:t>
      </w:r>
    </w:p>
    <w:p w:rsidR="00CF7F90" w:rsidP="00AB0776" w14:paraId="63AF4717" w14:textId="3F9BE59A">
      <w:pPr>
        <w:pStyle w:val="ParaNum"/>
      </w:pPr>
      <w:r>
        <w:t>T</w:t>
      </w:r>
      <w:r w:rsidRPr="00CF7F90">
        <w:t xml:space="preserve">he Commission’s rules expressly require that “the applicant must serve a copy of its filing” on “the anticipated </w:t>
      </w:r>
      <w:r w:rsidRPr="00DB2B1D">
        <w:rPr>
          <w:i/>
          <w:iCs/>
        </w:rPr>
        <w:t>local</w:t>
      </w:r>
      <w:r w:rsidRPr="00CF7F90">
        <w:t xml:space="preserve"> communities to be served on completion of the system.”</w:t>
      </w:r>
      <w:r>
        <w:rPr>
          <w:rStyle w:val="FootnoteReference"/>
        </w:rPr>
        <w:footnoteReference w:id="13"/>
      </w:r>
      <w:r w:rsidRPr="00CF7F90">
        <w:t xml:space="preserve"> </w:t>
      </w:r>
      <w:r w:rsidR="00635F92">
        <w:t xml:space="preserve"> This requirement ensures that </w:t>
      </w:r>
      <w:r w:rsidRPr="00635F92" w:rsidR="00635F92">
        <w:t>local communities</w:t>
      </w:r>
      <w:r w:rsidR="00635F92">
        <w:t xml:space="preserve"> have</w:t>
      </w:r>
      <w:r w:rsidRPr="00635F92" w:rsidR="00635F92">
        <w:t xml:space="preserve"> an opportunity to participate in the Commission’s process, including filing oppositions and/or comments.</w:t>
      </w:r>
      <w:r w:rsidRPr="00CF7F90">
        <w:t xml:space="preserve">  </w:t>
      </w:r>
      <w:r w:rsidR="006949B6">
        <w:t xml:space="preserve">Digital Broadcasting’s application contains a list of hundreds of community unit identification (CUID) numbers throughout 210 DMAs as well as </w:t>
      </w:r>
      <w:r w:rsidRPr="00D94E1E" w:rsidR="006949B6">
        <w:t>the U.S. Territories, Commonwealths, and the U.S. Virgin Islands, Puerto Rico, Guam, and American Samoa</w:t>
      </w:r>
      <w:r w:rsidR="006949B6">
        <w:t xml:space="preserve">, as well as a separate list of individuals from state, territorial, and local authorities </w:t>
      </w:r>
      <w:r w:rsidR="000F66A2">
        <w:t>who</w:t>
      </w:r>
      <w:r w:rsidR="007F2DD7">
        <w:t xml:space="preserve">, </w:t>
      </w:r>
      <w:r w:rsidR="00FE7F88">
        <w:t>according to the certificate of service</w:t>
      </w:r>
      <w:r w:rsidR="007F2DD7">
        <w:t>, were served electronically</w:t>
      </w:r>
      <w:r w:rsidR="006949B6">
        <w:t xml:space="preserve">. </w:t>
      </w:r>
      <w:r w:rsidR="007D3308">
        <w:t xml:space="preserve"> But the application does not make clear whether every </w:t>
      </w:r>
      <w:r w:rsidR="007F2DD7">
        <w:t xml:space="preserve">local community covered within Digital Broadcasting’s </w:t>
      </w:r>
      <w:r w:rsidR="001D3026">
        <w:t xml:space="preserve">anticipated </w:t>
      </w:r>
      <w:r w:rsidR="007F2DD7">
        <w:t xml:space="preserve">service area and listed in the CUIDs </w:t>
      </w:r>
      <w:r w:rsidR="007F2DD7">
        <w:t>was properly served.</w:t>
      </w:r>
      <w:r w:rsidR="00892C12">
        <w:t xml:space="preserve">  And in some cases, it appears that they were not.</w:t>
      </w:r>
      <w:r>
        <w:rPr>
          <w:rStyle w:val="FootnoteReference"/>
        </w:rPr>
        <w:footnoteReference w:id="14"/>
      </w:r>
      <w:r w:rsidR="007F2DD7">
        <w:t xml:space="preserve"> </w:t>
      </w:r>
      <w:r w:rsidR="006949B6">
        <w:t xml:space="preserve"> </w:t>
      </w:r>
      <w:r w:rsidR="004C7101">
        <w:t>Thus</w:t>
      </w:r>
      <w:r w:rsidRPr="004C7101" w:rsidR="004C7101">
        <w:t xml:space="preserve">, Digital Broadcasting’s certification application was deficient and its certification </w:t>
      </w:r>
      <w:r w:rsidR="004C7101">
        <w:t>is denied</w:t>
      </w:r>
      <w:r w:rsidRPr="004C7101" w:rsidR="004C7101">
        <w:t>.</w:t>
      </w:r>
      <w:r>
        <w:rPr>
          <w:rStyle w:val="FootnoteReference"/>
        </w:rPr>
        <w:footnoteReference w:id="15"/>
      </w:r>
      <w:r w:rsidRPr="004C7101" w:rsidR="004C7101">
        <w:t xml:space="preserve">   </w:t>
      </w:r>
    </w:p>
    <w:p w:rsidR="00AB0776" w:rsidRPr="00AB0776" w:rsidP="000A514E" w14:paraId="30943B60" w14:textId="66CAD7CF">
      <w:pPr>
        <w:pStyle w:val="Heading1"/>
      </w:pPr>
      <w:r>
        <w:t>ORDERING CLAUSES</w:t>
      </w:r>
    </w:p>
    <w:p w:rsidR="00AB0776" w:rsidP="00AB0776" w14:paraId="41B68C3F" w14:textId="06BA813E">
      <w:pPr>
        <w:pStyle w:val="ParaNum"/>
      </w:pPr>
      <w:r>
        <w:t xml:space="preserve">Accordingly, </w:t>
      </w:r>
      <w:r>
        <w:rPr>
          <w:b/>
        </w:rPr>
        <w:t>IT IS ORDERED</w:t>
      </w:r>
      <w:r>
        <w:t xml:space="preserve">, that the application of Digital Broadcasting Corp. for certification to operate an open video system </w:t>
      </w:r>
      <w:r>
        <w:rPr>
          <w:b/>
        </w:rPr>
        <w:t>IS</w:t>
      </w:r>
      <w:r w:rsidR="0014617A">
        <w:rPr>
          <w:b/>
        </w:rPr>
        <w:t xml:space="preserve"> DENIED</w:t>
      </w:r>
      <w:r w:rsidR="0028130D">
        <w:rPr>
          <w:b/>
        </w:rPr>
        <w:t xml:space="preserve"> </w:t>
      </w:r>
      <w:r w:rsidR="0028130D">
        <w:rPr>
          <w:bCs/>
        </w:rPr>
        <w:t>without prejudice</w:t>
      </w:r>
      <w:r>
        <w:t>.</w:t>
      </w:r>
    </w:p>
    <w:p w:rsidR="00AB0776" w:rsidP="00AB0776" w14:paraId="100AC07B" w14:textId="6FC39B1B">
      <w:pPr>
        <w:pStyle w:val="ParaNum"/>
      </w:pPr>
      <w:r>
        <w:t xml:space="preserve">This action is taken by the Chief, Policy Division, Media Bureau, pursuant to the authority delegated by </w:t>
      </w:r>
      <w:r w:rsidR="00DC3CD5">
        <w:t>s</w:t>
      </w:r>
      <w:r>
        <w:t>ection 0.283 of the Commission</w:t>
      </w:r>
      <w:r w:rsidR="00267278">
        <w:t>’</w:t>
      </w:r>
      <w:r>
        <w:t>s Rules.</w:t>
      </w:r>
      <w:r>
        <w:rPr>
          <w:rStyle w:val="FootnoteReference"/>
          <w:spacing w:val="-2"/>
        </w:rPr>
        <w:footnoteReference w:id="16"/>
      </w:r>
    </w:p>
    <w:p w:rsidR="00AB0776" w:rsidP="00AB0776" w14:paraId="0786F904" w14:textId="77777777">
      <w:pPr>
        <w:tabs>
          <w:tab w:val="left" w:pos="-1440"/>
          <w:tab w:val="left" w:pos="-720"/>
        </w:tabs>
        <w:suppressAutoHyphens/>
        <w:rPr>
          <w:spacing w:val="-2"/>
        </w:rPr>
      </w:pPr>
    </w:p>
    <w:p w:rsidR="00AB0776" w:rsidP="00AB0776" w14:paraId="600BC91F" w14:textId="77777777">
      <w:pPr>
        <w:tabs>
          <w:tab w:val="left" w:pos="-1440"/>
          <w:tab w:val="left" w:pos="-720"/>
        </w:tabs>
        <w:suppressAutoHyphens/>
        <w:rPr>
          <w:spacing w:val="-2"/>
        </w:rPr>
      </w:pPr>
    </w:p>
    <w:p w:rsidR="00AB0776" w:rsidP="00AB0776" w14:paraId="3F2F8CB8" w14:textId="77777777">
      <w:pPr>
        <w:tabs>
          <w:tab w:val="left" w:pos="-1440"/>
          <w:tab w:val="left" w:pos="-720"/>
        </w:tabs>
        <w:suppressAutoHyphens/>
        <w:rPr>
          <w:spacing w:val="-2"/>
        </w:rPr>
      </w:pPr>
    </w:p>
    <w:p w:rsidR="00AB0776" w:rsidP="00AB0776" w14:paraId="1E363C3F" w14:textId="77777777">
      <w:pPr>
        <w:tabs>
          <w:tab w:val="left" w:pos="-1440"/>
          <w:tab w:val="left" w:pos="-720"/>
        </w:tabs>
        <w:suppressAutoHyphens/>
        <w:rPr>
          <w:spacing w:val="-2"/>
        </w:rPr>
      </w:pPr>
      <w:r>
        <w:rPr>
          <w:spacing w:val="-2"/>
        </w:rPr>
        <w:tab/>
      </w:r>
      <w:r>
        <w:rPr>
          <w:spacing w:val="-2"/>
        </w:rPr>
        <w:tab/>
      </w:r>
      <w:r>
        <w:rPr>
          <w:spacing w:val="-2"/>
        </w:rPr>
        <w:tab/>
      </w:r>
      <w:r>
        <w:rPr>
          <w:spacing w:val="-2"/>
        </w:rPr>
        <w:tab/>
      </w:r>
      <w:r>
        <w:rPr>
          <w:spacing w:val="-2"/>
        </w:rPr>
        <w:tab/>
      </w:r>
      <w:r>
        <w:rPr>
          <w:spacing w:val="-2"/>
        </w:rPr>
        <w:tab/>
        <w:t>FEDERAL COMMUNICATIONS COMMISSION</w:t>
      </w:r>
    </w:p>
    <w:p w:rsidR="00AB0776" w:rsidP="00AB0776" w14:paraId="21B208B7" w14:textId="77777777">
      <w:pPr>
        <w:tabs>
          <w:tab w:val="left" w:pos="-1440"/>
          <w:tab w:val="left" w:pos="-720"/>
        </w:tabs>
        <w:suppressAutoHyphens/>
        <w:rPr>
          <w:spacing w:val="-2"/>
        </w:rPr>
      </w:pPr>
    </w:p>
    <w:p w:rsidR="00AB0776" w:rsidP="00AB0776" w14:paraId="4605276D" w14:textId="77777777">
      <w:pPr>
        <w:tabs>
          <w:tab w:val="left" w:pos="-1440"/>
          <w:tab w:val="left" w:pos="-720"/>
        </w:tabs>
        <w:suppressAutoHyphens/>
        <w:rPr>
          <w:spacing w:val="-2"/>
        </w:rPr>
      </w:pPr>
    </w:p>
    <w:p w:rsidR="00AB0776" w:rsidP="00AB0776" w14:paraId="4EC65D5C" w14:textId="77777777">
      <w:pPr>
        <w:tabs>
          <w:tab w:val="left" w:pos="-1440"/>
          <w:tab w:val="left" w:pos="-720"/>
        </w:tabs>
        <w:suppressAutoHyphens/>
        <w:rPr>
          <w:spacing w:val="-2"/>
        </w:rPr>
      </w:pPr>
    </w:p>
    <w:p w:rsidR="00AB0776" w:rsidP="00AB0776" w14:paraId="2AF86751" w14:textId="2D8F49DA">
      <w:pPr>
        <w:tabs>
          <w:tab w:val="left" w:pos="-1440"/>
          <w:tab w:val="left" w:pos="-720"/>
        </w:tabs>
        <w:suppressAutoHyphens/>
        <w:rPr>
          <w:spacing w:val="-2"/>
        </w:rPr>
      </w:pPr>
      <w:r>
        <w:rPr>
          <w:spacing w:val="-2"/>
        </w:rPr>
        <w:tab/>
      </w:r>
      <w:r>
        <w:rPr>
          <w:spacing w:val="-2"/>
        </w:rPr>
        <w:tab/>
      </w:r>
      <w:r>
        <w:rPr>
          <w:spacing w:val="-2"/>
        </w:rPr>
        <w:tab/>
      </w:r>
      <w:r>
        <w:rPr>
          <w:spacing w:val="-2"/>
        </w:rPr>
        <w:tab/>
      </w:r>
      <w:r>
        <w:rPr>
          <w:spacing w:val="-2"/>
        </w:rPr>
        <w:tab/>
      </w:r>
      <w:r>
        <w:rPr>
          <w:spacing w:val="-2"/>
        </w:rPr>
        <w:tab/>
        <w:t>Maria L. Mullarkey</w:t>
      </w:r>
    </w:p>
    <w:p w:rsidR="00AB0776" w:rsidP="00AB0776" w14:paraId="16A0608D" w14:textId="6D10FE58">
      <w:pPr>
        <w:tabs>
          <w:tab w:val="left" w:pos="-1440"/>
          <w:tab w:val="left" w:pos="-720"/>
        </w:tabs>
        <w:suppressAutoHyphens/>
        <w:rPr>
          <w:spacing w:val="-2"/>
        </w:rPr>
      </w:pPr>
      <w:r>
        <w:rPr>
          <w:spacing w:val="-2"/>
        </w:rPr>
        <w:tab/>
      </w:r>
      <w:r>
        <w:rPr>
          <w:spacing w:val="-2"/>
        </w:rPr>
        <w:tab/>
      </w:r>
      <w:r>
        <w:rPr>
          <w:spacing w:val="-2"/>
        </w:rPr>
        <w:tab/>
      </w:r>
      <w:r>
        <w:rPr>
          <w:spacing w:val="-2"/>
        </w:rPr>
        <w:tab/>
      </w:r>
      <w:r>
        <w:rPr>
          <w:spacing w:val="-2"/>
        </w:rPr>
        <w:tab/>
      </w:r>
      <w:r>
        <w:rPr>
          <w:spacing w:val="-2"/>
        </w:rPr>
        <w:tab/>
        <w:t>Chief, Policy Division</w:t>
      </w:r>
    </w:p>
    <w:p w:rsidR="00AB0776" w:rsidP="00AB0776" w14:paraId="21A4B7B3" w14:textId="77777777">
      <w:pPr>
        <w:tabs>
          <w:tab w:val="left" w:pos="-1440"/>
          <w:tab w:val="left" w:pos="-720"/>
        </w:tabs>
        <w:suppressAutoHyphens/>
        <w:rPr>
          <w:spacing w:val="-2"/>
        </w:rPr>
      </w:pPr>
      <w:r>
        <w:rPr>
          <w:spacing w:val="-2"/>
        </w:rPr>
        <w:tab/>
      </w:r>
      <w:r>
        <w:rPr>
          <w:spacing w:val="-2"/>
        </w:rPr>
        <w:tab/>
      </w:r>
      <w:r>
        <w:rPr>
          <w:spacing w:val="-2"/>
        </w:rPr>
        <w:tab/>
      </w:r>
      <w:r>
        <w:rPr>
          <w:spacing w:val="-2"/>
        </w:rPr>
        <w:tab/>
      </w:r>
      <w:r>
        <w:rPr>
          <w:spacing w:val="-2"/>
        </w:rPr>
        <w:tab/>
      </w:r>
      <w:r>
        <w:rPr>
          <w:spacing w:val="-2"/>
        </w:rPr>
        <w:tab/>
        <w:t>Media Bureau</w:t>
      </w:r>
    </w:p>
    <w:p w:rsidR="00D641D3" w14:paraId="4B17E986" w14:textId="77777777"/>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F24" w14:paraId="532026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F24" w14:paraId="60EB4EA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F24" w14:paraId="004FC02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0776" w:rsidP="00AB0776" w14:paraId="0DE02AE7" w14:textId="77777777">
      <w:r>
        <w:separator/>
      </w:r>
    </w:p>
  </w:footnote>
  <w:footnote w:type="continuationSeparator" w:id="1">
    <w:p w:rsidR="00AB0776" w:rsidP="00AB0776" w14:paraId="684E246C" w14:textId="77777777">
      <w:r>
        <w:continuationSeparator/>
      </w:r>
    </w:p>
  </w:footnote>
  <w:footnote w:id="2">
    <w:p w:rsidR="00AB0776" w:rsidP="008A6F0A" w14:paraId="47280387" w14:textId="6658A465">
      <w:pPr>
        <w:pStyle w:val="FootnoteText"/>
      </w:pPr>
      <w:r>
        <w:rPr>
          <w:rStyle w:val="FootnoteReference"/>
        </w:rPr>
        <w:footnoteRef/>
      </w:r>
      <w:r>
        <w:t xml:space="preserve"> 47 U.S.C. </w:t>
      </w:r>
      <w:r>
        <w:rPr>
          <w:rFonts w:ascii="Book Antiqua" w:hAnsi="Book Antiqua"/>
        </w:rPr>
        <w:t>§</w:t>
      </w:r>
      <w:r>
        <w:t xml:space="preserve"> 573(a)(1); 47 CFR </w:t>
      </w:r>
      <w:r>
        <w:rPr>
          <w:rFonts w:ascii="Book Antiqua" w:hAnsi="Book Antiqua"/>
        </w:rPr>
        <w:t>§</w:t>
      </w:r>
      <w:r>
        <w:t xml:space="preserve"> 76.1502.</w:t>
      </w:r>
    </w:p>
  </w:footnote>
  <w:footnote w:id="3">
    <w:p w:rsidR="00AB0776" w:rsidP="008A6F0A" w14:paraId="651C200B" w14:textId="77777777">
      <w:pPr>
        <w:pStyle w:val="FootnoteText"/>
      </w:pPr>
      <w:r>
        <w:rPr>
          <w:rStyle w:val="FootnoteReference"/>
        </w:rPr>
        <w:footnoteRef/>
      </w:r>
      <w:r>
        <w:t xml:space="preserve"> </w:t>
      </w:r>
      <w:r w:rsidRPr="00527C61">
        <w:rPr>
          <w:i/>
        </w:rPr>
        <w:t xml:space="preserve">See Implementation of Section 302 of the </w:t>
      </w:r>
      <w:smartTag w:uri="urn:schemas-microsoft-com:office:smarttags" w:element="PersonName">
        <w:r w:rsidRPr="00527C61">
          <w:rPr>
            <w:i/>
          </w:rPr>
          <w:t>Telecommunications</w:t>
        </w:r>
      </w:smartTag>
      <w:r w:rsidRPr="00527C61">
        <w:rPr>
          <w:i/>
        </w:rPr>
        <w:t xml:space="preserve"> Act of 1996, Open Video Systems</w:t>
      </w:r>
      <w:r>
        <w:t xml:space="preserve">, 11 FCC </w:t>
      </w:r>
      <w:r>
        <w:t>Rcd</w:t>
      </w:r>
      <w:r>
        <w:t xml:space="preserve"> 18223, 18247 (1996) (</w:t>
      </w:r>
      <w:r w:rsidRPr="00527C61">
        <w:rPr>
          <w:i/>
        </w:rPr>
        <w:t>Second Report and Order</w:t>
      </w:r>
      <w:r>
        <w:t>).</w:t>
      </w:r>
    </w:p>
  </w:footnote>
  <w:footnote w:id="4">
    <w:p w:rsidR="00AB0776" w:rsidRPr="00137775" w:rsidP="008A6F0A" w14:paraId="03062336" w14:textId="6B52DF21">
      <w:pPr>
        <w:pStyle w:val="FootnoteText"/>
      </w:pPr>
      <w:r>
        <w:rPr>
          <w:rStyle w:val="FootnoteReference"/>
        </w:rPr>
        <w:footnoteRef/>
      </w:r>
      <w:r>
        <w:t xml:space="preserve"> </w:t>
      </w:r>
      <w:r>
        <w:rPr>
          <w:i/>
        </w:rPr>
        <w:t xml:space="preserve">See Public Notice, </w:t>
      </w:r>
      <w:r>
        <w:t>“</w:t>
      </w:r>
      <w:r w:rsidR="008A6F0A">
        <w:t>Digital Broadcasting Corporation</w:t>
      </w:r>
      <w:r>
        <w:t xml:space="preserve"> Files An Application For Open Video System Certification,” DA 2</w:t>
      </w:r>
      <w:r w:rsidR="008A6F0A">
        <w:t>1</w:t>
      </w:r>
      <w:r w:rsidR="002C6164">
        <w:t>-1617</w:t>
      </w:r>
      <w:r>
        <w:t xml:space="preserve"> (MB, rel. </w:t>
      </w:r>
      <w:r w:rsidR="008A6F0A">
        <w:t>Dec.</w:t>
      </w:r>
      <w:r>
        <w:t xml:space="preserve"> 2</w:t>
      </w:r>
      <w:r w:rsidR="008A6F0A">
        <w:t>1</w:t>
      </w:r>
      <w:r>
        <w:t>, 202</w:t>
      </w:r>
      <w:r w:rsidR="008A6F0A">
        <w:t>1</w:t>
      </w:r>
      <w:r>
        <w:t xml:space="preserve">). </w:t>
      </w:r>
    </w:p>
  </w:footnote>
  <w:footnote w:id="5">
    <w:p w:rsidR="00AB0776" w:rsidRPr="004E36BE" w:rsidP="008A6F0A" w14:paraId="0C2F26FC" w14:textId="6F83066A">
      <w:pPr>
        <w:tabs>
          <w:tab w:val="left" w:pos="-720"/>
        </w:tabs>
        <w:suppressAutoHyphens/>
        <w:spacing w:after="120"/>
        <w:ind w:right="-180"/>
        <w:rPr>
          <w:sz w:val="20"/>
        </w:rPr>
      </w:pPr>
      <w:r w:rsidRPr="004E36BE">
        <w:rPr>
          <w:rStyle w:val="FootnoteReference"/>
        </w:rPr>
        <w:footnoteRef/>
      </w:r>
      <w:r w:rsidRPr="004E36BE">
        <w:rPr>
          <w:sz w:val="20"/>
        </w:rPr>
        <w:t xml:space="preserve"> The </w:t>
      </w:r>
      <w:r w:rsidR="008A6F0A">
        <w:rPr>
          <w:sz w:val="20"/>
        </w:rPr>
        <w:t>Digital Broadcasting</w:t>
      </w:r>
      <w:r w:rsidRPr="004E36BE">
        <w:rPr>
          <w:sz w:val="20"/>
        </w:rPr>
        <w:t xml:space="preserve"> application is available via the Internet</w:t>
      </w:r>
      <w:r w:rsidR="00806AB4">
        <w:rPr>
          <w:sz w:val="20"/>
        </w:rPr>
        <w:t xml:space="preserve"> at </w:t>
      </w:r>
      <w:r w:rsidRPr="00806AB4" w:rsidR="00806AB4">
        <w:rPr>
          <w:sz w:val="20"/>
        </w:rPr>
        <w:t>https://www.fcc.gov/general/current-filings-certification-open-video-systems</w:t>
      </w:r>
      <w:r w:rsidR="00806AB4">
        <w:rPr>
          <w:sz w:val="20"/>
        </w:rPr>
        <w:t>.</w:t>
      </w:r>
      <w:r w:rsidRPr="004E36BE">
        <w:rPr>
          <w:sz w:val="20"/>
        </w:rPr>
        <w:t xml:space="preserve">  </w:t>
      </w:r>
    </w:p>
  </w:footnote>
  <w:footnote w:id="6">
    <w:p w:rsidR="00AB0776" w:rsidP="008A6F0A" w14:paraId="07F73AE9" w14:textId="7DA34D4F">
      <w:pPr>
        <w:pStyle w:val="FootnoteText"/>
        <w:tabs>
          <w:tab w:val="left" w:pos="-720"/>
        </w:tabs>
        <w:suppressAutoHyphens/>
        <w:rPr>
          <w:spacing w:val="-2"/>
        </w:rPr>
      </w:pPr>
      <w:r>
        <w:rPr>
          <w:rStyle w:val="FootnoteReference"/>
          <w:spacing w:val="-2"/>
        </w:rPr>
        <w:footnoteRef/>
      </w:r>
      <w:r>
        <w:rPr>
          <w:i/>
          <w:spacing w:val="-2"/>
        </w:rPr>
        <w:t xml:space="preserve"> See</w:t>
      </w:r>
      <w:r>
        <w:rPr>
          <w:spacing w:val="-2"/>
        </w:rPr>
        <w:t xml:space="preserve"> 47 U.S.C. § 573(a)(1); 47 CFR § 76.1501.  An operator of a cable system however, generally may not obtain such certification within its service area unless it is subject to </w:t>
      </w:r>
      <w:r w:rsidR="008A6F0A">
        <w:rPr>
          <w:spacing w:val="-2"/>
        </w:rPr>
        <w:t>“</w:t>
      </w:r>
      <w:r>
        <w:rPr>
          <w:spacing w:val="-2"/>
        </w:rPr>
        <w:t>effective competition</w:t>
      </w:r>
      <w:r w:rsidR="008A6F0A">
        <w:rPr>
          <w:spacing w:val="-2"/>
        </w:rPr>
        <w:t>”</w:t>
      </w:r>
      <w:r>
        <w:rPr>
          <w:spacing w:val="-2"/>
        </w:rPr>
        <w:t xml:space="preserve"> as defined in </w:t>
      </w:r>
      <w:r w:rsidR="008A6F0A">
        <w:rPr>
          <w:spacing w:val="-2"/>
        </w:rPr>
        <w:t>s</w:t>
      </w:r>
      <w:r>
        <w:rPr>
          <w:spacing w:val="-2"/>
        </w:rPr>
        <w:t xml:space="preserve">ection 623(1)(l) of the Communications Act, 47 U.S.C. § 543(l)(l).  The effective competition requirement does not apply to a local exchange carrier that is also a cable operator that seeks open video system certification within its cable service area.  </w:t>
      </w:r>
    </w:p>
  </w:footnote>
  <w:footnote w:id="7">
    <w:p w:rsidR="00AB0776" w:rsidP="008A6F0A" w14:paraId="329BBA50" w14:textId="77777777">
      <w:pPr>
        <w:pStyle w:val="FootnoteText"/>
        <w:tabs>
          <w:tab w:val="left" w:pos="-720"/>
        </w:tabs>
        <w:suppressAutoHyphens/>
        <w:rPr>
          <w:spacing w:val="-2"/>
        </w:rPr>
      </w:pPr>
      <w:r>
        <w:rPr>
          <w:rStyle w:val="FootnoteReference"/>
          <w:spacing w:val="-2"/>
        </w:rPr>
        <w:footnoteRef/>
      </w:r>
      <w:r>
        <w:rPr>
          <w:i/>
          <w:spacing w:val="-2"/>
        </w:rPr>
        <w:t xml:space="preserve"> Second Report and Order</w:t>
      </w:r>
      <w:r>
        <w:rPr>
          <w:spacing w:val="-2"/>
        </w:rPr>
        <w:t xml:space="preserve">, 11 FCC </w:t>
      </w:r>
      <w:r>
        <w:rPr>
          <w:spacing w:val="-2"/>
        </w:rPr>
        <w:t>Rcd</w:t>
      </w:r>
      <w:r>
        <w:rPr>
          <w:spacing w:val="-2"/>
        </w:rPr>
        <w:t xml:space="preserve"> at 18243.</w:t>
      </w:r>
    </w:p>
  </w:footnote>
  <w:footnote w:id="8">
    <w:p w:rsidR="00AB0776" w:rsidP="008A6F0A" w14:paraId="1B475559" w14:textId="1A00A041">
      <w:pPr>
        <w:pStyle w:val="FootnoteText"/>
        <w:tabs>
          <w:tab w:val="left" w:pos="-720"/>
        </w:tabs>
        <w:suppressAutoHyphens/>
        <w:rPr>
          <w:spacing w:val="-2"/>
        </w:rPr>
      </w:pPr>
      <w:r>
        <w:rPr>
          <w:rStyle w:val="FootnoteReference"/>
          <w:spacing w:val="-2"/>
        </w:rPr>
        <w:t> </w:t>
      </w:r>
      <w:r>
        <w:rPr>
          <w:rStyle w:val="FootnoteReference"/>
          <w:spacing w:val="-2"/>
        </w:rPr>
        <w:footnoteRef/>
      </w:r>
      <w:r>
        <w:rPr>
          <w:spacing w:val="-2"/>
        </w:rPr>
        <w:t xml:space="preserve"> </w:t>
      </w:r>
      <w:r>
        <w:rPr>
          <w:i/>
          <w:spacing w:val="-2"/>
        </w:rPr>
        <w:t>Id.</w:t>
      </w:r>
      <w:r>
        <w:rPr>
          <w:spacing w:val="-2"/>
        </w:rPr>
        <w:t xml:space="preserve"> at 18247; 47 CFR § 76.1502(a); </w:t>
      </w:r>
      <w:r w:rsidRPr="009F08A3">
        <w:rPr>
          <w:i/>
          <w:spacing w:val="-2"/>
        </w:rPr>
        <w:t>s</w:t>
      </w:r>
      <w:r>
        <w:rPr>
          <w:i/>
          <w:spacing w:val="-2"/>
        </w:rPr>
        <w:t>ee also</w:t>
      </w:r>
      <w:r>
        <w:rPr>
          <w:spacing w:val="-2"/>
        </w:rPr>
        <w:t xml:space="preserve"> </w:t>
      </w:r>
      <w:r>
        <w:rPr>
          <w:i/>
          <w:spacing w:val="-2"/>
        </w:rPr>
        <w:t>Implementation of Section 302 of the Telecommunications Act of 1996: Open Video Systems</w:t>
      </w:r>
      <w:r>
        <w:rPr>
          <w:spacing w:val="-2"/>
        </w:rPr>
        <w:t xml:space="preserve">, 14 FCC </w:t>
      </w:r>
      <w:r>
        <w:rPr>
          <w:spacing w:val="-2"/>
        </w:rPr>
        <w:t>Rcd</w:t>
      </w:r>
      <w:r>
        <w:rPr>
          <w:spacing w:val="-2"/>
        </w:rPr>
        <w:t xml:space="preserve"> 19700, 19705 (1999) (deleting the pre-construction certification requirement from Section 76.1502(a) of our rules).</w:t>
      </w:r>
    </w:p>
  </w:footnote>
  <w:footnote w:id="9">
    <w:p w:rsidR="00AB0776" w:rsidP="008A6F0A" w14:paraId="1AA1F959" w14:textId="77777777">
      <w:pPr>
        <w:pStyle w:val="FootnoteText"/>
        <w:tabs>
          <w:tab w:val="left" w:pos="-720"/>
        </w:tabs>
        <w:suppressAutoHyphens/>
        <w:rPr>
          <w:spacing w:val="-2"/>
        </w:rPr>
      </w:pPr>
      <w:r>
        <w:rPr>
          <w:rStyle w:val="FootnoteReference"/>
          <w:spacing w:val="-2"/>
        </w:rPr>
        <w:footnoteRef/>
      </w:r>
      <w:r>
        <w:rPr>
          <w:i/>
          <w:spacing w:val="-2"/>
        </w:rPr>
        <w:t xml:space="preserve"> Second Report and Order</w:t>
      </w:r>
      <w:r>
        <w:rPr>
          <w:spacing w:val="-2"/>
        </w:rPr>
        <w:t xml:space="preserve">, 11 FCC </w:t>
      </w:r>
      <w:r>
        <w:rPr>
          <w:spacing w:val="-2"/>
        </w:rPr>
        <w:t>Rcd</w:t>
      </w:r>
      <w:r>
        <w:rPr>
          <w:spacing w:val="-2"/>
        </w:rPr>
        <w:t xml:space="preserve"> at 18245-46.</w:t>
      </w:r>
    </w:p>
  </w:footnote>
  <w:footnote w:id="10">
    <w:p w:rsidR="00AB0776" w:rsidP="008A6F0A" w14:paraId="52E77FC8" w14:textId="7E1624B3">
      <w:pPr>
        <w:pStyle w:val="FootnoteText"/>
        <w:tabs>
          <w:tab w:val="left" w:pos="-720"/>
        </w:tabs>
        <w:suppressAutoHyphens/>
        <w:rPr>
          <w:spacing w:val="-2"/>
        </w:rPr>
      </w:pPr>
      <w:r>
        <w:rPr>
          <w:rStyle w:val="FootnoteReference"/>
          <w:spacing w:val="-2"/>
        </w:rPr>
        <w:footnoteRef/>
      </w:r>
      <w:r>
        <w:rPr>
          <w:spacing w:val="-2"/>
        </w:rPr>
        <w:t xml:space="preserve"> For purposes of determining whether a party is an affiliate, we have adopted the definitions contained in the notes to section 76.501 of our rules.  47 CFR § 76.501.  Generally, we will consider an entity to be an open video system operator</w:t>
      </w:r>
      <w:r w:rsidR="008A6F0A">
        <w:rPr>
          <w:spacing w:val="-2"/>
        </w:rPr>
        <w:t>’</w:t>
      </w:r>
      <w:r>
        <w:rPr>
          <w:spacing w:val="-2"/>
        </w:rPr>
        <w:t xml:space="preserve">s </w:t>
      </w:r>
      <w:r w:rsidR="008A6F0A">
        <w:rPr>
          <w:spacing w:val="-2"/>
        </w:rPr>
        <w:t>“</w:t>
      </w:r>
      <w:r>
        <w:rPr>
          <w:spacing w:val="-2"/>
        </w:rPr>
        <w:t>affiliate</w:t>
      </w:r>
      <w:r w:rsidR="008A6F0A">
        <w:rPr>
          <w:spacing w:val="-2"/>
        </w:rPr>
        <w:t>”</w:t>
      </w:r>
      <w:r>
        <w:rPr>
          <w:spacing w:val="-2"/>
        </w:rPr>
        <w:t xml:space="preserve"> if the open video system operator holds 5</w:t>
      </w:r>
      <w:r w:rsidR="008A6F0A">
        <w:rPr>
          <w:spacing w:val="-2"/>
        </w:rPr>
        <w:t xml:space="preserve"> percent</w:t>
      </w:r>
      <w:r>
        <w:rPr>
          <w:spacing w:val="-2"/>
        </w:rPr>
        <w:t xml:space="preserve"> or more of the entity</w:t>
      </w:r>
      <w:r w:rsidR="008A6F0A">
        <w:rPr>
          <w:spacing w:val="-2"/>
        </w:rPr>
        <w:t>’</w:t>
      </w:r>
      <w:r>
        <w:rPr>
          <w:spacing w:val="-2"/>
        </w:rPr>
        <w:t xml:space="preserve">s stock, whether voting or non-voting.  </w:t>
      </w:r>
      <w:r>
        <w:rPr>
          <w:i/>
          <w:spacing w:val="-2"/>
        </w:rPr>
        <w:t>Implementation of Section 302 of the Telecommunications Act of 1996, Open Video Systems</w:t>
      </w:r>
      <w:r>
        <w:rPr>
          <w:spacing w:val="-2"/>
        </w:rPr>
        <w:t>,</w:t>
      </w:r>
      <w:r>
        <w:rPr>
          <w:i/>
          <w:spacing w:val="-2"/>
        </w:rPr>
        <w:t xml:space="preserve"> </w:t>
      </w:r>
      <w:r>
        <w:rPr>
          <w:spacing w:val="-2"/>
        </w:rPr>
        <w:t xml:space="preserve">11 FCC </w:t>
      </w:r>
      <w:r>
        <w:rPr>
          <w:spacing w:val="-2"/>
        </w:rPr>
        <w:t>Rcd</w:t>
      </w:r>
      <w:r>
        <w:rPr>
          <w:spacing w:val="-2"/>
        </w:rPr>
        <w:t xml:space="preserve"> 20227, 20235 (1996) (</w:t>
      </w:r>
      <w:r>
        <w:rPr>
          <w:i/>
          <w:spacing w:val="-2"/>
        </w:rPr>
        <w:t>Third Report and Order</w:t>
      </w:r>
      <w:r>
        <w:rPr>
          <w:spacing w:val="-2"/>
        </w:rPr>
        <w:t>); s</w:t>
      </w:r>
      <w:r>
        <w:rPr>
          <w:i/>
          <w:spacing w:val="-2"/>
        </w:rPr>
        <w:t xml:space="preserve">ee also </w:t>
      </w:r>
      <w:r>
        <w:rPr>
          <w:spacing w:val="-2"/>
        </w:rPr>
        <w:t>47 CFR § 76.1500(g).</w:t>
      </w:r>
    </w:p>
  </w:footnote>
  <w:footnote w:id="11">
    <w:p w:rsidR="00AB0776" w:rsidP="008A6F0A" w14:paraId="161DFB31" w14:textId="284C19AA">
      <w:pPr>
        <w:pStyle w:val="FootnoteText"/>
        <w:tabs>
          <w:tab w:val="left" w:pos="-720"/>
        </w:tabs>
        <w:suppressAutoHyphens/>
        <w:rPr>
          <w:spacing w:val="-2"/>
        </w:rPr>
      </w:pPr>
      <w:r>
        <w:rPr>
          <w:rStyle w:val="FootnoteReference"/>
          <w:spacing w:val="-2"/>
        </w:rPr>
        <w:footnoteRef/>
      </w:r>
      <w:r>
        <w:rPr>
          <w:spacing w:val="-2"/>
        </w:rPr>
        <w:t xml:space="preserve"> 47 U.S.C. § 573(b).  This provision sets forth the Commission</w:t>
      </w:r>
      <w:r w:rsidR="008A6F0A">
        <w:rPr>
          <w:spacing w:val="-2"/>
        </w:rPr>
        <w:t>’</w:t>
      </w:r>
      <w:r>
        <w:rPr>
          <w:spacing w:val="-2"/>
        </w:rPr>
        <w:t xml:space="preserve">s requirements regarding non-discriminatory carriage; just and reasonable rates, terms and conditions; a one-third capacity limit on the amount of activated channel capacity on which an open video system operator may distribute programming when demand for carriage exceeds system capacity; channel sharing; sports exclusivity, network non-duplication and syndicated exclusivity; and non-discriminatory treatment in presenting information to subscribers.  </w:t>
      </w:r>
      <w:r>
        <w:rPr>
          <w:i/>
          <w:spacing w:val="-2"/>
        </w:rPr>
        <w:t>See</w:t>
      </w:r>
      <w:r>
        <w:rPr>
          <w:spacing w:val="-2"/>
        </w:rPr>
        <w:t xml:space="preserve"> </w:t>
      </w:r>
      <w:r>
        <w:rPr>
          <w:i/>
          <w:spacing w:val="-2"/>
        </w:rPr>
        <w:t>also</w:t>
      </w:r>
      <w:r>
        <w:rPr>
          <w:spacing w:val="-2"/>
        </w:rPr>
        <w:t xml:space="preserve"> 47 CFR § 76.1502(a).</w:t>
      </w:r>
    </w:p>
  </w:footnote>
  <w:footnote w:id="12">
    <w:p w:rsidR="00D94E1E" w14:paraId="3737A16B" w14:textId="6AD126F1">
      <w:pPr>
        <w:pStyle w:val="FootnoteText"/>
      </w:pPr>
      <w:r>
        <w:rPr>
          <w:rStyle w:val="FootnoteReference"/>
        </w:rPr>
        <w:footnoteRef/>
      </w:r>
      <w:r>
        <w:t xml:space="preserve"> </w:t>
      </w:r>
      <w:r w:rsidRPr="00D94E1E">
        <w:t>47 CFR § 76.1502(d)(</w:t>
      </w:r>
      <w:r w:rsidR="001D3026">
        <w:t>2</w:t>
      </w:r>
      <w:r w:rsidRPr="00D94E1E">
        <w:t>).</w:t>
      </w:r>
      <w:r>
        <w:t xml:space="preserve"> </w:t>
      </w:r>
    </w:p>
  </w:footnote>
  <w:footnote w:id="13">
    <w:p w:rsidR="00DB2B1D" w14:paraId="08F7C464" w14:textId="6A78A518">
      <w:pPr>
        <w:pStyle w:val="FootnoteText"/>
      </w:pPr>
      <w:r>
        <w:rPr>
          <w:rStyle w:val="FootnoteReference"/>
        </w:rPr>
        <w:footnoteRef/>
      </w:r>
      <w:r>
        <w:t xml:space="preserve"> </w:t>
      </w:r>
      <w:r w:rsidRPr="00DB2B1D">
        <w:rPr>
          <w:i/>
          <w:iCs/>
        </w:rPr>
        <w:t>See</w:t>
      </w:r>
      <w:r w:rsidRPr="00DB2B1D">
        <w:t xml:space="preserve"> 47 CFR § 76.1502(c)(6) (emphasis added); 47 CFR § 76.1502(d)(1) (“On or before the date an FCC Form 1275 is filed with the Commission, the applicant must serve a copy of its filing</w:t>
      </w:r>
      <w:r w:rsidRPr="00DB2B1D">
        <w:rPr>
          <w:i/>
          <w:iCs/>
        </w:rPr>
        <w:t xml:space="preserve"> on all local communities </w:t>
      </w:r>
      <w:r w:rsidRPr="00DB2B1D">
        <w:t>identified pursuant to paragraph (c)(6) of this section . . . .” (emphasis added)).</w:t>
      </w:r>
    </w:p>
  </w:footnote>
  <w:footnote w:id="14">
    <w:p w:rsidR="007F2DD7" w14:paraId="67FB24EE" w14:textId="7AE49BC8">
      <w:pPr>
        <w:pStyle w:val="FootnoteText"/>
      </w:pPr>
      <w:r>
        <w:rPr>
          <w:rStyle w:val="FootnoteReference"/>
        </w:rPr>
        <w:footnoteRef/>
      </w:r>
      <w:r>
        <w:t xml:space="preserve"> For example, the application lists two CUIDs within the Wilkes-Barre-Scranton-Hazleton DMA – PA 0830 (Scranton, PA) and PA 0399 (Hazleton, PA)</w:t>
      </w:r>
      <w:r w:rsidR="00AA258A">
        <w:t xml:space="preserve"> – </w:t>
      </w:r>
      <w:r w:rsidR="00C60B1A">
        <w:t>but the service list indicates that only the Mayor of the City of Wilkes-Barre, PA has been served</w:t>
      </w:r>
      <w:r w:rsidR="009C3DEB">
        <w:t xml:space="preserve"> with Digital Broadcasting’s application</w:t>
      </w:r>
      <w:r w:rsidR="00C60B1A">
        <w:t>.</w:t>
      </w:r>
    </w:p>
  </w:footnote>
  <w:footnote w:id="15">
    <w:p w:rsidR="004C7101" w14:paraId="158596B3" w14:textId="00FD6054">
      <w:pPr>
        <w:pStyle w:val="FootnoteText"/>
      </w:pPr>
      <w:r>
        <w:rPr>
          <w:rStyle w:val="FootnoteReference"/>
        </w:rPr>
        <w:footnoteRef/>
      </w:r>
      <w:r>
        <w:t xml:space="preserve"> </w:t>
      </w:r>
      <w:r w:rsidRPr="004C7101">
        <w:t xml:space="preserve">We note that, under our rules, an applicant may refile a certification application.  The Commission will consider a revised or refiled FCC Form 1275 to be a new proceeding.  </w:t>
      </w:r>
      <w:r w:rsidRPr="004C7101">
        <w:rPr>
          <w:i/>
          <w:iCs/>
        </w:rPr>
        <w:t>See</w:t>
      </w:r>
      <w:r w:rsidRPr="004C7101">
        <w:t xml:space="preserve"> 47 CFR § 76.1502(f).  </w:t>
      </w:r>
      <w:r w:rsidR="008F4383">
        <w:t>Any future</w:t>
      </w:r>
      <w:r w:rsidR="00D74455">
        <w:t xml:space="preserve"> filing should</w:t>
      </w:r>
      <w:r w:rsidR="00115736">
        <w:t xml:space="preserve"> list each community covered by the CUIDs </w:t>
      </w:r>
      <w:r w:rsidR="006B4C8E">
        <w:t>and</w:t>
      </w:r>
      <w:r w:rsidR="00EC2B82">
        <w:t xml:space="preserve"> specify</w:t>
      </w:r>
      <w:r w:rsidR="006B4C8E">
        <w:t xml:space="preserve"> who</w:t>
      </w:r>
      <w:r w:rsidR="00EC2B82">
        <w:t xml:space="preserve"> from each of those communities</w:t>
      </w:r>
      <w:r w:rsidR="00115736">
        <w:t xml:space="preserve"> was served with the application.</w:t>
      </w:r>
    </w:p>
  </w:footnote>
  <w:footnote w:id="16">
    <w:p w:rsidR="00AB0776" w:rsidP="008A6F0A" w14:paraId="173A50FC" w14:textId="764955E2">
      <w:pPr>
        <w:pStyle w:val="FootnoteText"/>
        <w:tabs>
          <w:tab w:val="left" w:pos="-720"/>
        </w:tabs>
        <w:suppressAutoHyphens/>
        <w:rPr>
          <w:spacing w:val="-2"/>
        </w:rPr>
      </w:pPr>
      <w:r>
        <w:rPr>
          <w:rStyle w:val="FootnoteReference"/>
          <w:spacing w:val="-2"/>
        </w:rPr>
        <w:footnoteRef/>
      </w:r>
      <w:r>
        <w:rPr>
          <w:spacing w:val="-2"/>
        </w:rP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F24" w14:paraId="0B20A5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776" w:rsidP="00AB0776" w14:paraId="78451DA0" w14:textId="01370184">
    <w:pPr>
      <w:tabs>
        <w:tab w:val="center" w:pos="4680"/>
        <w:tab w:val="right" w:pos="9360"/>
      </w:tabs>
      <w:suppressAutoHyphens/>
      <w:spacing w:line="227" w:lineRule="auto"/>
      <w:rPr>
        <w:spacing w:val="-2"/>
      </w:rPr>
    </w:pPr>
    <w:r>
      <w:rPr>
        <w:b/>
        <w:spacing w:val="-2"/>
      </w:rPr>
      <w:tab/>
      <w:t>Federal Communications Commission</w:t>
    </w:r>
    <w:r>
      <w:rPr>
        <w:spacing w:val="-2"/>
      </w:rPr>
      <w:tab/>
    </w:r>
    <w:r>
      <w:rPr>
        <w:b/>
        <w:spacing w:val="-2"/>
      </w:rPr>
      <w:t>DA</w:t>
    </w:r>
    <w:r>
      <w:rPr>
        <w:b/>
      </w:rPr>
      <w:t xml:space="preserve"> </w:t>
    </w:r>
    <w:r>
      <w:rPr>
        <w:b/>
      </w:rPr>
      <w:t>21-</w:t>
    </w:r>
    <w:r w:rsidR="009D5F24">
      <w:rPr>
        <w:b/>
      </w:rPr>
      <w:t>1652</w:t>
    </w:r>
  </w:p>
  <w:p w:rsidR="00AB0776" w:rsidP="00AB0776" w14:paraId="0E8E7432" w14:textId="410EF62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txbx>
                      <w:txbxContent>
                        <w:p w:rsidR="00AB0776" w:rsidP="00AB0776"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AB0776" w:rsidP="00AB0776" w14:paraId="4CF95E84" w14:textId="77777777"/>
                </w:txbxContent>
              </v:textbox>
              <w10:wrap anchorx="margin"/>
            </v:rect>
          </w:pict>
        </mc:Fallback>
      </mc:AlternateContent>
    </w:r>
  </w:p>
  <w:p w:rsidR="00AB0776" w14:paraId="48BC2C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F24" w14:paraId="056E1D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linkStyl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26"/>
    <w:rsid w:val="0000517F"/>
    <w:rsid w:val="000462BF"/>
    <w:rsid w:val="00063B1C"/>
    <w:rsid w:val="000A514E"/>
    <w:rsid w:val="000F66A2"/>
    <w:rsid w:val="00115736"/>
    <w:rsid w:val="00137775"/>
    <w:rsid w:val="0014617A"/>
    <w:rsid w:val="00180623"/>
    <w:rsid w:val="001D3026"/>
    <w:rsid w:val="002565DD"/>
    <w:rsid w:val="00267278"/>
    <w:rsid w:val="0028130D"/>
    <w:rsid w:val="00281B8F"/>
    <w:rsid w:val="00284EA6"/>
    <w:rsid w:val="0029616E"/>
    <w:rsid w:val="002B2A26"/>
    <w:rsid w:val="002C6164"/>
    <w:rsid w:val="002E5374"/>
    <w:rsid w:val="00300715"/>
    <w:rsid w:val="003844B6"/>
    <w:rsid w:val="004219D9"/>
    <w:rsid w:val="004C7101"/>
    <w:rsid w:val="004C7FBA"/>
    <w:rsid w:val="004E36BE"/>
    <w:rsid w:val="004E7EB6"/>
    <w:rsid w:val="0050618B"/>
    <w:rsid w:val="00527C61"/>
    <w:rsid w:val="00552A60"/>
    <w:rsid w:val="00552E15"/>
    <w:rsid w:val="005F2C3F"/>
    <w:rsid w:val="00635F92"/>
    <w:rsid w:val="006949B6"/>
    <w:rsid w:val="006B4C8E"/>
    <w:rsid w:val="006D07E2"/>
    <w:rsid w:val="007D3308"/>
    <w:rsid w:val="007F2DD7"/>
    <w:rsid w:val="0080383F"/>
    <w:rsid w:val="00806AB4"/>
    <w:rsid w:val="00892C12"/>
    <w:rsid w:val="008A6F0A"/>
    <w:rsid w:val="008B7930"/>
    <w:rsid w:val="008F4383"/>
    <w:rsid w:val="009A198A"/>
    <w:rsid w:val="009C3DEB"/>
    <w:rsid w:val="009D5F24"/>
    <w:rsid w:val="009F08A3"/>
    <w:rsid w:val="00A1546F"/>
    <w:rsid w:val="00AA258A"/>
    <w:rsid w:val="00AB0776"/>
    <w:rsid w:val="00AD61A0"/>
    <w:rsid w:val="00B3213E"/>
    <w:rsid w:val="00C60B1A"/>
    <w:rsid w:val="00C668D5"/>
    <w:rsid w:val="00C95AE8"/>
    <w:rsid w:val="00CC37B4"/>
    <w:rsid w:val="00CF7F90"/>
    <w:rsid w:val="00D44481"/>
    <w:rsid w:val="00D641D3"/>
    <w:rsid w:val="00D74455"/>
    <w:rsid w:val="00D90301"/>
    <w:rsid w:val="00D94E1E"/>
    <w:rsid w:val="00DA1AFB"/>
    <w:rsid w:val="00DB2B1D"/>
    <w:rsid w:val="00DC3CD5"/>
    <w:rsid w:val="00E00835"/>
    <w:rsid w:val="00EC2B82"/>
    <w:rsid w:val="00F05673"/>
    <w:rsid w:val="00F752BF"/>
    <w:rsid w:val="00FE7F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191143"/>
  <w15:chartTrackingRefBased/>
  <w15:docId w15:val="{48E28C45-C351-48D5-B722-92E94F42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D5F2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D5F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D5F24"/>
    <w:pPr>
      <w:keepNext/>
      <w:numPr>
        <w:ilvl w:val="1"/>
        <w:numId w:val="3"/>
      </w:numPr>
      <w:spacing w:after="120"/>
      <w:outlineLvl w:val="1"/>
    </w:pPr>
    <w:rPr>
      <w:b/>
    </w:rPr>
  </w:style>
  <w:style w:type="paragraph" w:styleId="Heading3">
    <w:name w:val="heading 3"/>
    <w:basedOn w:val="Normal"/>
    <w:next w:val="ParaNum"/>
    <w:link w:val="Heading3Char"/>
    <w:qFormat/>
    <w:rsid w:val="009D5F2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D5F2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D5F2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D5F2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D5F2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D5F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D5F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D5F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5F24"/>
  </w:style>
  <w:style w:type="character" w:customStyle="1" w:styleId="Heading1Char">
    <w:name w:val="Heading 1 Char"/>
    <w:basedOn w:val="DefaultParagraphFont"/>
    <w:link w:val="Heading1"/>
    <w:rsid w:val="00AB077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B077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B077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AB077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B077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AB077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B077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B077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AB0776"/>
    <w:rPr>
      <w:rFonts w:ascii="Times New Roman" w:eastAsia="Times New Roman" w:hAnsi="Times New Roman" w:cs="Times New Roman"/>
      <w:b/>
      <w:snapToGrid w:val="0"/>
      <w:kern w:val="28"/>
      <w:szCs w:val="20"/>
    </w:rPr>
  </w:style>
  <w:style w:type="paragraph" w:customStyle="1" w:styleId="ParaNum">
    <w:name w:val="ParaNum"/>
    <w:basedOn w:val="Normal"/>
    <w:rsid w:val="009D5F24"/>
    <w:pPr>
      <w:numPr>
        <w:numId w:val="2"/>
      </w:numPr>
      <w:tabs>
        <w:tab w:val="clear" w:pos="1080"/>
        <w:tab w:val="num" w:pos="1440"/>
      </w:tabs>
      <w:spacing w:after="120"/>
    </w:pPr>
  </w:style>
  <w:style w:type="paragraph" w:styleId="EndnoteText">
    <w:name w:val="endnote text"/>
    <w:basedOn w:val="Normal"/>
    <w:link w:val="EndnoteTextChar"/>
    <w:semiHidden/>
    <w:rsid w:val="009D5F24"/>
    <w:rPr>
      <w:sz w:val="20"/>
    </w:rPr>
  </w:style>
  <w:style w:type="character" w:customStyle="1" w:styleId="EndnoteTextChar">
    <w:name w:val="Endnote Text Char"/>
    <w:basedOn w:val="DefaultParagraphFont"/>
    <w:link w:val="EndnoteText"/>
    <w:semiHidden/>
    <w:rsid w:val="00AB0776"/>
    <w:rPr>
      <w:rFonts w:ascii="Times New Roman" w:eastAsia="Times New Roman" w:hAnsi="Times New Roman" w:cs="Times New Roman"/>
      <w:snapToGrid w:val="0"/>
      <w:kern w:val="28"/>
      <w:sz w:val="20"/>
      <w:szCs w:val="20"/>
    </w:rPr>
  </w:style>
  <w:style w:type="character" w:styleId="EndnoteReference">
    <w:name w:val="endnote reference"/>
    <w:semiHidden/>
    <w:rsid w:val="009D5F24"/>
    <w:rPr>
      <w:vertAlign w:val="superscript"/>
    </w:rPr>
  </w:style>
  <w:style w:type="paragraph" w:styleId="FootnoteText">
    <w:name w:val="footnote text"/>
    <w:link w:val="FootnoteTextChar"/>
    <w:rsid w:val="009D5F2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B0776"/>
    <w:rPr>
      <w:rFonts w:ascii="Times New Roman" w:eastAsia="Times New Roman" w:hAnsi="Times New Roman" w:cs="Times New Roman"/>
      <w:sz w:val="20"/>
      <w:szCs w:val="20"/>
    </w:rPr>
  </w:style>
  <w:style w:type="character" w:styleId="FootnoteReference">
    <w:name w:val="footnote reference"/>
    <w:rsid w:val="009D5F24"/>
    <w:rPr>
      <w:rFonts w:ascii="Times New Roman" w:hAnsi="Times New Roman"/>
      <w:dstrike w:val="0"/>
      <w:color w:val="auto"/>
      <w:sz w:val="20"/>
      <w:vertAlign w:val="superscript"/>
    </w:rPr>
  </w:style>
  <w:style w:type="paragraph" w:styleId="TOC1">
    <w:name w:val="toc 1"/>
    <w:basedOn w:val="Normal"/>
    <w:next w:val="Normal"/>
    <w:semiHidden/>
    <w:rsid w:val="009D5F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D5F24"/>
    <w:pPr>
      <w:tabs>
        <w:tab w:val="left" w:pos="720"/>
        <w:tab w:val="right" w:leader="dot" w:pos="9360"/>
      </w:tabs>
      <w:suppressAutoHyphens/>
      <w:ind w:left="720" w:right="720" w:hanging="360"/>
    </w:pPr>
    <w:rPr>
      <w:noProof/>
    </w:rPr>
  </w:style>
  <w:style w:type="paragraph" w:styleId="TOC3">
    <w:name w:val="toc 3"/>
    <w:basedOn w:val="Normal"/>
    <w:next w:val="Normal"/>
    <w:semiHidden/>
    <w:rsid w:val="009D5F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D5F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D5F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D5F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D5F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D5F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D5F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D5F24"/>
    <w:pPr>
      <w:tabs>
        <w:tab w:val="right" w:pos="9360"/>
      </w:tabs>
      <w:suppressAutoHyphens/>
    </w:pPr>
  </w:style>
  <w:style w:type="character" w:customStyle="1" w:styleId="EquationCaption">
    <w:name w:val="_Equation Caption"/>
    <w:rsid w:val="009D5F24"/>
  </w:style>
  <w:style w:type="paragraph" w:styleId="Header">
    <w:name w:val="header"/>
    <w:basedOn w:val="Normal"/>
    <w:link w:val="HeaderChar"/>
    <w:autoRedefine/>
    <w:rsid w:val="009D5F24"/>
    <w:pPr>
      <w:tabs>
        <w:tab w:val="center" w:pos="4680"/>
        <w:tab w:val="right" w:pos="9360"/>
      </w:tabs>
    </w:pPr>
    <w:rPr>
      <w:b/>
    </w:rPr>
  </w:style>
  <w:style w:type="character" w:customStyle="1" w:styleId="HeaderChar">
    <w:name w:val="Header Char"/>
    <w:basedOn w:val="DefaultParagraphFont"/>
    <w:link w:val="Header"/>
    <w:rsid w:val="00AB0776"/>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9D5F24"/>
    <w:pPr>
      <w:tabs>
        <w:tab w:val="center" w:pos="4320"/>
        <w:tab w:val="right" w:pos="8640"/>
      </w:tabs>
    </w:pPr>
  </w:style>
  <w:style w:type="character" w:customStyle="1" w:styleId="FooterChar">
    <w:name w:val="Footer Char"/>
    <w:link w:val="Footer"/>
    <w:uiPriority w:val="99"/>
    <w:rsid w:val="009D5F24"/>
    <w:rPr>
      <w:rFonts w:ascii="Times New Roman" w:eastAsia="Times New Roman" w:hAnsi="Times New Roman" w:cs="Times New Roman"/>
      <w:snapToGrid w:val="0"/>
      <w:kern w:val="28"/>
      <w:szCs w:val="20"/>
    </w:rPr>
  </w:style>
  <w:style w:type="character" w:styleId="PageNumber">
    <w:name w:val="page number"/>
    <w:basedOn w:val="DefaultParagraphFont"/>
    <w:rsid w:val="009D5F24"/>
  </w:style>
  <w:style w:type="paragraph" w:styleId="BlockText">
    <w:name w:val="Block Text"/>
    <w:basedOn w:val="Normal"/>
    <w:rsid w:val="009D5F24"/>
    <w:pPr>
      <w:spacing w:after="240"/>
      <w:ind w:left="1440" w:right="1440"/>
    </w:pPr>
  </w:style>
  <w:style w:type="paragraph" w:customStyle="1" w:styleId="Paratitle">
    <w:name w:val="Para title"/>
    <w:basedOn w:val="Normal"/>
    <w:rsid w:val="009D5F24"/>
    <w:pPr>
      <w:tabs>
        <w:tab w:val="center" w:pos="9270"/>
      </w:tabs>
      <w:spacing w:after="240"/>
    </w:pPr>
    <w:rPr>
      <w:spacing w:val="-2"/>
    </w:rPr>
  </w:style>
  <w:style w:type="paragraph" w:customStyle="1" w:styleId="Bullet">
    <w:name w:val="Bullet"/>
    <w:basedOn w:val="Normal"/>
    <w:rsid w:val="009D5F24"/>
    <w:pPr>
      <w:tabs>
        <w:tab w:val="left" w:pos="2160"/>
      </w:tabs>
      <w:spacing w:after="220"/>
      <w:ind w:left="2160" w:hanging="720"/>
    </w:pPr>
  </w:style>
  <w:style w:type="paragraph" w:customStyle="1" w:styleId="TableFormat">
    <w:name w:val="TableFormat"/>
    <w:basedOn w:val="Bullet"/>
    <w:rsid w:val="009D5F24"/>
    <w:pPr>
      <w:tabs>
        <w:tab w:val="clear" w:pos="2160"/>
        <w:tab w:val="left" w:pos="5040"/>
      </w:tabs>
      <w:ind w:left="5040" w:hanging="3600"/>
    </w:pPr>
  </w:style>
  <w:style w:type="paragraph" w:customStyle="1" w:styleId="TOCTitle">
    <w:name w:val="TOC Title"/>
    <w:basedOn w:val="Normal"/>
    <w:rsid w:val="009D5F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D5F24"/>
    <w:pPr>
      <w:jc w:val="center"/>
    </w:pPr>
    <w:rPr>
      <w:rFonts w:ascii="Times New Roman Bold" w:hAnsi="Times New Roman Bold"/>
      <w:b/>
      <w:bCs/>
      <w:caps/>
      <w:szCs w:val="22"/>
    </w:rPr>
  </w:style>
  <w:style w:type="character" w:styleId="Hyperlink">
    <w:name w:val="Hyperlink"/>
    <w:rsid w:val="009D5F24"/>
    <w:rPr>
      <w:color w:val="0000FF"/>
      <w:u w:val="single"/>
    </w:rPr>
  </w:style>
  <w:style w:type="paragraph" w:styleId="Title">
    <w:name w:val="Title"/>
    <w:basedOn w:val="Normal"/>
    <w:next w:val="Heading1"/>
    <w:link w:val="TitleChar"/>
    <w:qFormat/>
    <w:rsid w:val="00AB0776"/>
    <w:pPr>
      <w:jc w:val="center"/>
      <w:outlineLvl w:val="0"/>
    </w:pPr>
    <w:rPr>
      <w:b/>
    </w:rPr>
  </w:style>
  <w:style w:type="character" w:customStyle="1" w:styleId="TitleChar">
    <w:name w:val="Title Char"/>
    <w:basedOn w:val="DefaultParagraphFont"/>
    <w:link w:val="Title"/>
    <w:rsid w:val="00AB0776"/>
    <w:rPr>
      <w:rFonts w:ascii="Times New Roman" w:eastAsia="Times New Roman" w:hAnsi="Times New Roman" w:cs="Times New Roman"/>
      <w:b/>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