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61C9C31"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2A0E4C3" w14:textId="77777777">
      <w:pPr>
        <w:pStyle w:val="StyleBoldCentered"/>
      </w:pPr>
      <w:r>
        <w:t>F</w:t>
      </w:r>
      <w:r>
        <w:rPr>
          <w:caps w:val="0"/>
        </w:rPr>
        <w:t>ederal Communications Commission</w:t>
      </w:r>
    </w:p>
    <w:p w:rsidR="004C2EE3" w:rsidP="00096D8C" w14:paraId="1174C1F8" w14:textId="77777777">
      <w:pPr>
        <w:pStyle w:val="StyleBoldCentered"/>
      </w:pPr>
      <w:r>
        <w:rPr>
          <w:caps w:val="0"/>
        </w:rPr>
        <w:t>Washington, D.C. 20554</w:t>
      </w:r>
    </w:p>
    <w:p w:rsidR="004C2EE3" w:rsidP="0070224F" w14:paraId="4741F241" w14:textId="77777777"/>
    <w:tbl>
      <w:tblPr>
        <w:tblW w:w="0" w:type="auto"/>
        <w:tblLayout w:type="fixed"/>
        <w:tblLook w:val="0000"/>
      </w:tblPr>
      <w:tblGrid>
        <w:gridCol w:w="4698"/>
        <w:gridCol w:w="630"/>
        <w:gridCol w:w="4248"/>
      </w:tblGrid>
      <w:tr w14:paraId="3E3D9145" w14:textId="77777777">
        <w:tblPrEx>
          <w:tblW w:w="0" w:type="auto"/>
          <w:tblLayout w:type="fixed"/>
          <w:tblLook w:val="0000"/>
        </w:tblPrEx>
        <w:tc>
          <w:tcPr>
            <w:tcW w:w="4698" w:type="dxa"/>
          </w:tcPr>
          <w:p w:rsidR="004C2EE3" w14:paraId="7B0629A4" w14:textId="77777777">
            <w:pPr>
              <w:tabs>
                <w:tab w:val="center" w:pos="4680"/>
              </w:tabs>
              <w:suppressAutoHyphens/>
              <w:rPr>
                <w:spacing w:val="-2"/>
              </w:rPr>
            </w:pPr>
            <w:r>
              <w:rPr>
                <w:spacing w:val="-2"/>
              </w:rPr>
              <w:t>In the Matter of</w:t>
            </w:r>
          </w:p>
          <w:p w:rsidR="004C2EE3" w14:paraId="367869F2" w14:textId="77777777">
            <w:pPr>
              <w:tabs>
                <w:tab w:val="center" w:pos="4680"/>
              </w:tabs>
              <w:suppressAutoHyphens/>
              <w:rPr>
                <w:spacing w:val="-2"/>
              </w:rPr>
            </w:pPr>
          </w:p>
          <w:p w:rsidR="004A3C48" w:rsidP="009F2562" w14:paraId="206FACCA" w14:textId="688D44DC">
            <w:pPr>
              <w:tabs>
                <w:tab w:val="center" w:pos="4680"/>
              </w:tabs>
              <w:suppressAutoHyphens/>
              <w:rPr>
                <w:spacing w:val="-2"/>
              </w:rPr>
            </w:pPr>
            <w:r w:rsidRPr="009F2562">
              <w:rPr>
                <w:spacing w:val="-2"/>
              </w:rPr>
              <w:t>Amendment of Section 73.622(</w:t>
            </w:r>
            <w:r w:rsidRPr="009F2562">
              <w:rPr>
                <w:spacing w:val="-2"/>
              </w:rPr>
              <w:t>i</w:t>
            </w:r>
            <w:r w:rsidRPr="009F2562">
              <w:rPr>
                <w:spacing w:val="-2"/>
              </w:rPr>
              <w:t>),</w:t>
            </w:r>
            <w:r>
              <w:t xml:space="preserve"> </w:t>
            </w:r>
            <w:r w:rsidRPr="004A3C48">
              <w:rPr>
                <w:spacing w:val="-2"/>
              </w:rPr>
              <w:t>Post-Transition</w:t>
            </w:r>
            <w:r>
              <w:rPr>
                <w:spacing w:val="-2"/>
              </w:rPr>
              <w:t xml:space="preserve"> </w:t>
            </w:r>
            <w:r w:rsidRPr="004A3C48">
              <w:rPr>
                <w:spacing w:val="-2"/>
              </w:rPr>
              <w:t>Table of DTV Allotments,</w:t>
            </w:r>
            <w:r>
              <w:t xml:space="preserve"> </w:t>
            </w:r>
            <w:r w:rsidRPr="004A3C48">
              <w:rPr>
                <w:spacing w:val="-2"/>
              </w:rPr>
              <w:t>Television Broadcast</w:t>
            </w:r>
            <w:r>
              <w:rPr>
                <w:spacing w:val="-2"/>
              </w:rPr>
              <w:t xml:space="preserve"> </w:t>
            </w:r>
            <w:r w:rsidR="00E208EC">
              <w:rPr>
                <w:spacing w:val="-2"/>
              </w:rPr>
              <w:t xml:space="preserve">Stations </w:t>
            </w:r>
            <w:r w:rsidRPr="00E208EC" w:rsidR="00E208EC">
              <w:rPr>
                <w:spacing w:val="-2"/>
              </w:rPr>
              <w:t>(</w:t>
            </w:r>
            <w:r w:rsidR="008E6B05">
              <w:rPr>
                <w:spacing w:val="-2"/>
              </w:rPr>
              <w:t>Jonesboro, Arkansas</w:t>
            </w:r>
            <w:r w:rsidRPr="00E208EC" w:rsidR="00E208EC">
              <w:rPr>
                <w:spacing w:val="-2"/>
              </w:rPr>
              <w:t>)</w:t>
            </w:r>
          </w:p>
          <w:p w:rsidR="004C2EE3" w:rsidRPr="007115F7" w:rsidP="009F2562" w14:paraId="44853C02" w14:textId="1282A029">
            <w:pPr>
              <w:tabs>
                <w:tab w:val="center" w:pos="4680"/>
              </w:tabs>
              <w:suppressAutoHyphens/>
              <w:rPr>
                <w:spacing w:val="-2"/>
              </w:rPr>
            </w:pPr>
          </w:p>
        </w:tc>
        <w:tc>
          <w:tcPr>
            <w:tcW w:w="630" w:type="dxa"/>
          </w:tcPr>
          <w:p w:rsidR="004C2EE3" w14:paraId="465C036D" w14:textId="77777777">
            <w:pPr>
              <w:tabs>
                <w:tab w:val="center" w:pos="4680"/>
              </w:tabs>
              <w:suppressAutoHyphens/>
              <w:rPr>
                <w:b/>
                <w:spacing w:val="-2"/>
              </w:rPr>
            </w:pPr>
            <w:r>
              <w:rPr>
                <w:b/>
                <w:spacing w:val="-2"/>
              </w:rPr>
              <w:t>)</w:t>
            </w:r>
          </w:p>
          <w:p w:rsidR="004C2EE3" w14:paraId="52FC3940" w14:textId="77777777">
            <w:pPr>
              <w:tabs>
                <w:tab w:val="center" w:pos="4680"/>
              </w:tabs>
              <w:suppressAutoHyphens/>
              <w:rPr>
                <w:b/>
                <w:spacing w:val="-2"/>
              </w:rPr>
            </w:pPr>
            <w:r>
              <w:rPr>
                <w:b/>
                <w:spacing w:val="-2"/>
              </w:rPr>
              <w:t>)</w:t>
            </w:r>
          </w:p>
          <w:p w:rsidR="004C2EE3" w14:paraId="312D1F1F" w14:textId="77777777">
            <w:pPr>
              <w:tabs>
                <w:tab w:val="center" w:pos="4680"/>
              </w:tabs>
              <w:suppressAutoHyphens/>
              <w:rPr>
                <w:b/>
                <w:spacing w:val="-2"/>
              </w:rPr>
            </w:pPr>
            <w:r>
              <w:rPr>
                <w:b/>
                <w:spacing w:val="-2"/>
              </w:rPr>
              <w:t>)</w:t>
            </w:r>
          </w:p>
          <w:p w:rsidR="004C2EE3" w14:paraId="2B0FBE0E" w14:textId="77777777">
            <w:pPr>
              <w:tabs>
                <w:tab w:val="center" w:pos="4680"/>
              </w:tabs>
              <w:suppressAutoHyphens/>
              <w:rPr>
                <w:b/>
                <w:spacing w:val="-2"/>
              </w:rPr>
            </w:pPr>
            <w:r>
              <w:rPr>
                <w:b/>
                <w:spacing w:val="-2"/>
              </w:rPr>
              <w:t>)</w:t>
            </w:r>
          </w:p>
          <w:p w:rsidR="004A3C48" w:rsidRPr="009F2562" w14:paraId="0F97A235" w14:textId="7E0CB274">
            <w:pPr>
              <w:tabs>
                <w:tab w:val="center" w:pos="4680"/>
              </w:tabs>
              <w:suppressAutoHyphens/>
              <w:rPr>
                <w:b/>
                <w:spacing w:val="-2"/>
              </w:rPr>
            </w:pPr>
            <w:r>
              <w:rPr>
                <w:b/>
                <w:spacing w:val="-2"/>
              </w:rPr>
              <w:t>)</w:t>
            </w:r>
          </w:p>
        </w:tc>
        <w:tc>
          <w:tcPr>
            <w:tcW w:w="4248" w:type="dxa"/>
          </w:tcPr>
          <w:p w:rsidR="004C2EE3" w14:paraId="47367464" w14:textId="77777777">
            <w:pPr>
              <w:tabs>
                <w:tab w:val="center" w:pos="4680"/>
              </w:tabs>
              <w:suppressAutoHyphens/>
              <w:rPr>
                <w:spacing w:val="-2"/>
              </w:rPr>
            </w:pPr>
          </w:p>
          <w:p w:rsidR="004C2EE3" w14:paraId="0F1BEF75" w14:textId="77777777">
            <w:pPr>
              <w:pStyle w:val="TOAHeading"/>
              <w:tabs>
                <w:tab w:val="center" w:pos="4680"/>
                <w:tab w:val="clear" w:pos="9360"/>
              </w:tabs>
              <w:rPr>
                <w:spacing w:val="-2"/>
              </w:rPr>
            </w:pPr>
          </w:p>
          <w:p w:rsidR="009F2562" w:rsidRPr="009F2562" w:rsidP="009F2562" w14:paraId="7372A6C3" w14:textId="1020B568">
            <w:pPr>
              <w:pStyle w:val="TOAHeading"/>
              <w:tabs>
                <w:tab w:val="center" w:pos="4680"/>
              </w:tabs>
              <w:rPr>
                <w:spacing w:val="-2"/>
              </w:rPr>
            </w:pPr>
            <w:r w:rsidRPr="009F2562">
              <w:rPr>
                <w:spacing w:val="-2"/>
              </w:rPr>
              <w:t>MB Docket No. 21-</w:t>
            </w:r>
            <w:r w:rsidR="0032122C">
              <w:rPr>
                <w:spacing w:val="-2"/>
              </w:rPr>
              <w:t>56</w:t>
            </w:r>
          </w:p>
          <w:p w:rsidR="004C2EE3" w:rsidP="009F2562" w14:paraId="3DBE07C9" w14:textId="59254E72">
            <w:pPr>
              <w:tabs>
                <w:tab w:val="center" w:pos="4680"/>
              </w:tabs>
              <w:suppressAutoHyphens/>
              <w:rPr>
                <w:spacing w:val="-2"/>
              </w:rPr>
            </w:pPr>
            <w:r w:rsidRPr="009F2562">
              <w:rPr>
                <w:spacing w:val="-2"/>
              </w:rPr>
              <w:t>RM-</w:t>
            </w:r>
            <w:r w:rsidR="0032122C">
              <w:rPr>
                <w:spacing w:val="-2"/>
              </w:rPr>
              <w:t>11881</w:t>
            </w:r>
          </w:p>
        </w:tc>
      </w:tr>
    </w:tbl>
    <w:p w:rsidR="00841AB1" w:rsidP="00F021FA" w14:paraId="66DA8B09" w14:textId="6E1F5D2D">
      <w:pPr>
        <w:pStyle w:val="StyleBoldCentered"/>
      </w:pPr>
      <w:r>
        <w:t>Notice of proposed rulemaking</w:t>
      </w:r>
    </w:p>
    <w:p w:rsidR="004C2EE3" w14:paraId="6914C331" w14:textId="77777777">
      <w:pPr>
        <w:tabs>
          <w:tab w:val="left" w:pos="-720"/>
        </w:tabs>
        <w:suppressAutoHyphens/>
        <w:spacing w:line="227" w:lineRule="auto"/>
        <w:rPr>
          <w:spacing w:val="-2"/>
        </w:rPr>
      </w:pPr>
    </w:p>
    <w:p w:rsidR="004C2EE3" w:rsidP="00133F79" w14:paraId="5C91105B" w14:textId="69E96646">
      <w:pPr>
        <w:tabs>
          <w:tab w:val="left" w:pos="720"/>
          <w:tab w:val="right" w:pos="9360"/>
        </w:tabs>
        <w:suppressAutoHyphens/>
        <w:spacing w:line="227" w:lineRule="auto"/>
        <w:rPr>
          <w:b/>
          <w:spacing w:val="-2"/>
        </w:rPr>
      </w:pPr>
      <w:r>
        <w:rPr>
          <w:b/>
          <w:spacing w:val="-2"/>
        </w:rPr>
        <w:t xml:space="preserve">Adopted:  </w:t>
      </w:r>
      <w:r w:rsidR="00783ACC">
        <w:rPr>
          <w:b/>
          <w:spacing w:val="-2"/>
        </w:rPr>
        <w:t>February 12</w:t>
      </w:r>
      <w:r w:rsidR="009F2562">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83ACC">
        <w:rPr>
          <w:b/>
          <w:spacing w:val="-2"/>
        </w:rPr>
        <w:t>February 12</w:t>
      </w:r>
      <w:r w:rsidR="009F2562">
        <w:rPr>
          <w:b/>
          <w:spacing w:val="-2"/>
        </w:rPr>
        <w:t>, 2021</w:t>
      </w:r>
    </w:p>
    <w:p w:rsidR="009F2562" w:rsidP="00133F79" w14:paraId="3E06AEA5" w14:textId="2166B8B3">
      <w:pPr>
        <w:tabs>
          <w:tab w:val="left" w:pos="720"/>
          <w:tab w:val="right" w:pos="9360"/>
        </w:tabs>
        <w:suppressAutoHyphens/>
        <w:spacing w:line="227" w:lineRule="auto"/>
        <w:rPr>
          <w:b/>
          <w:spacing w:val="-2"/>
        </w:rPr>
      </w:pPr>
    </w:p>
    <w:p w:rsidR="009F2562" w:rsidRPr="001E1C45" w:rsidP="009F2562" w14:paraId="300353D6" w14:textId="77777777">
      <w:pPr>
        <w:tabs>
          <w:tab w:val="left" w:pos="720"/>
          <w:tab w:val="left" w:pos="5760"/>
        </w:tabs>
        <w:suppressAutoHyphens/>
        <w:jc w:val="both"/>
        <w:rPr>
          <w:b/>
          <w:spacing w:val="-3"/>
          <w:kern w:val="0"/>
          <w:szCs w:val="22"/>
        </w:rPr>
      </w:pPr>
      <w:r w:rsidRPr="001E1C45">
        <w:rPr>
          <w:b/>
          <w:spacing w:val="-3"/>
          <w:kern w:val="0"/>
          <w:szCs w:val="22"/>
        </w:rPr>
        <w:t>Comment Date:  [30 days after date of publication in the Federal Register]</w:t>
      </w:r>
    </w:p>
    <w:p w:rsidR="009F2562" w:rsidRPr="009F2562" w:rsidP="000E7316" w14:paraId="7CC86CD0" w14:textId="0C8869C4">
      <w:pPr>
        <w:tabs>
          <w:tab w:val="left" w:pos="720"/>
          <w:tab w:val="left" w:pos="5760"/>
        </w:tabs>
        <w:jc w:val="both"/>
        <w:rPr>
          <w:b/>
          <w:spacing w:val="-3"/>
          <w:kern w:val="0"/>
          <w:szCs w:val="22"/>
        </w:rPr>
      </w:pPr>
      <w:r w:rsidRPr="001E1C45">
        <w:rPr>
          <w:b/>
          <w:spacing w:val="-3"/>
          <w:kern w:val="0"/>
          <w:szCs w:val="22"/>
        </w:rPr>
        <w:t>Reply Comment Date:  [45 days after date of publication in the Federal Register]</w:t>
      </w:r>
    </w:p>
    <w:p w:rsidR="00822CE0" w:rsidP="000E7316" w14:paraId="442D5FEE" w14:textId="77777777"/>
    <w:p w:rsidR="00412FC5" w:rsidP="000E7316" w14:paraId="7E6CFF97" w14:textId="7621DAB6">
      <w:pPr>
        <w:rPr>
          <w:spacing w:val="-2"/>
        </w:rPr>
      </w:pPr>
      <w:r>
        <w:t xml:space="preserve">By </w:t>
      </w:r>
      <w:r w:rsidR="004E4A22">
        <w:t>the</w:t>
      </w:r>
      <w:r w:rsidR="002A2D2E">
        <w:t xml:space="preserve"> </w:t>
      </w:r>
      <w:r w:rsidRPr="009F2562" w:rsidR="009F2562">
        <w:rPr>
          <w:spacing w:val="-2"/>
        </w:rPr>
        <w:t>Chief, Video Division, Media Bureau</w:t>
      </w:r>
      <w:r>
        <w:rPr>
          <w:spacing w:val="-2"/>
        </w:rPr>
        <w:t>:</w:t>
      </w:r>
    </w:p>
    <w:p w:rsidR="009F2562" w:rsidRPr="009F2562" w:rsidP="000E7316" w14:paraId="7564BA14" w14:textId="77777777">
      <w:pPr>
        <w:rPr>
          <w:spacing w:val="-2"/>
        </w:rPr>
      </w:pPr>
    </w:p>
    <w:p w:rsidR="003B6FA0" w:rsidP="000E7316" w14:paraId="40E0F3EC" w14:textId="1BE2D425">
      <w:pPr>
        <w:pStyle w:val="Heading1"/>
        <w:keepNext w:val="0"/>
        <w:suppressAutoHyphens w:val="0"/>
      </w:pPr>
      <w:r>
        <w:t>Introduction</w:t>
      </w:r>
    </w:p>
    <w:p w:rsidR="009F2562" w:rsidRPr="009F2562" w:rsidP="000E7316" w14:paraId="58356F15" w14:textId="37E83B37">
      <w:pPr>
        <w:pStyle w:val="ParaNum"/>
      </w:pPr>
      <w:r w:rsidRPr="00E208EC">
        <w:t xml:space="preserve">The </w:t>
      </w:r>
      <w:r w:rsidR="00787DB6">
        <w:t>Video Division</w:t>
      </w:r>
      <w:r w:rsidRPr="00E208EC">
        <w:t xml:space="preserve"> has before it a petition for rulemaking filed November 27, 2020 by </w:t>
      </w:r>
      <w:r w:rsidR="00AF0D12">
        <w:t>Gray Television Licensee, LLC</w:t>
      </w:r>
      <w:r w:rsidRPr="00E208EC">
        <w:t xml:space="preserve"> (</w:t>
      </w:r>
      <w:r w:rsidR="00BF05D9">
        <w:t xml:space="preserve">Gray or the </w:t>
      </w:r>
      <w:r w:rsidR="00507BFC">
        <w:t>Petitioner</w:t>
      </w:r>
      <w:r w:rsidRPr="00E208EC">
        <w:t xml:space="preserve">), the licensee of </w:t>
      </w:r>
      <w:r w:rsidR="008E6B05">
        <w:t>KAIT</w:t>
      </w:r>
      <w:r w:rsidR="001A5237">
        <w:t xml:space="preserve"> (ABC)</w:t>
      </w:r>
      <w:r w:rsidRPr="00E208EC">
        <w:t xml:space="preserve">, channel </w:t>
      </w:r>
      <w:r w:rsidR="00C256D8">
        <w:t>8</w:t>
      </w:r>
      <w:r w:rsidRPr="00E208EC">
        <w:t xml:space="preserve">, </w:t>
      </w:r>
      <w:r w:rsidR="00C256D8">
        <w:t>Jonesboro,</w:t>
      </w:r>
      <w:r w:rsidR="00FB7347">
        <w:t xml:space="preserve"> </w:t>
      </w:r>
      <w:r w:rsidR="00C256D8">
        <w:t>Arkansas</w:t>
      </w:r>
      <w:r w:rsidRPr="00E208EC">
        <w:t>.</w:t>
      </w:r>
      <w:r>
        <w:rPr>
          <w:rStyle w:val="FootnoteReference"/>
        </w:rPr>
        <w:footnoteReference w:id="3"/>
      </w:r>
      <w:r w:rsidRPr="00E208EC">
        <w:t xml:space="preserve">  </w:t>
      </w:r>
      <w:r w:rsidR="00BF05D9">
        <w:t>Gray</w:t>
      </w:r>
      <w:r w:rsidRPr="00E208EC">
        <w:t xml:space="preserve"> requests the substitution of channel </w:t>
      </w:r>
      <w:r w:rsidR="00C256D8">
        <w:t>27</w:t>
      </w:r>
      <w:r w:rsidRPr="00E208EC">
        <w:t xml:space="preserve"> for channel </w:t>
      </w:r>
      <w:r w:rsidR="00C256D8">
        <w:t>8</w:t>
      </w:r>
      <w:r w:rsidRPr="00E208EC">
        <w:t xml:space="preserve"> at </w:t>
      </w:r>
      <w:r w:rsidR="00C256D8">
        <w:t>Jonesboro, Arkansas</w:t>
      </w:r>
      <w:r w:rsidR="000E7316">
        <w:t>,</w:t>
      </w:r>
      <w:r w:rsidR="00341BB1">
        <w:t xml:space="preserve"> </w:t>
      </w:r>
      <w:r w:rsidRPr="00E208EC">
        <w:t>in the DTV Table of Allotments.</w:t>
      </w:r>
      <w:r>
        <w:rPr>
          <w:rStyle w:val="FootnoteReference"/>
        </w:rPr>
        <w:footnoteReference w:id="4"/>
      </w:r>
      <w:r w:rsidRPr="009F2562">
        <w:t xml:space="preserve"> </w:t>
      </w:r>
    </w:p>
    <w:p w:rsidR="006F1759" w:rsidRPr="006F1759" w:rsidP="000E7316" w14:paraId="71EF0B57" w14:textId="54F305B1">
      <w:pPr>
        <w:pStyle w:val="Heading1"/>
        <w:keepNext w:val="0"/>
        <w:suppressAutoHyphens w:val="0"/>
      </w:pPr>
      <w:r>
        <w:t>Background</w:t>
      </w:r>
    </w:p>
    <w:p w:rsidR="009F2562" w:rsidP="000E7316" w14:paraId="3F04E79A" w14:textId="7D2A2EAD">
      <w:pPr>
        <w:pStyle w:val="ParaNum"/>
        <w:widowControl/>
      </w:pPr>
      <w:r w:rsidRPr="00E208EC">
        <w:t xml:space="preserve">In support of its channel substitution request, </w:t>
      </w:r>
      <w:r w:rsidR="001A5237">
        <w:t>Gray</w:t>
      </w:r>
      <w:r w:rsidRPr="00E208EC">
        <w:t xml:space="preserve"> states that the Commission has recognized that VHF channels have certain propagation characteristics which may cause reception issues for some viewers, </w:t>
      </w:r>
      <w:r w:rsidRPr="00E208EC" w:rsidR="00327A95">
        <w:t xml:space="preserve">and also that </w:t>
      </w:r>
      <w:r w:rsidR="00327A95">
        <w:t>the “</w:t>
      </w:r>
      <w:r w:rsidRPr="00E208EC" w:rsidR="00327A95">
        <w:t>reception of VHF signals require larger antennas</w:t>
      </w:r>
      <w:r w:rsidR="00327A95">
        <w:t xml:space="preserve"> . . . relative </w:t>
      </w:r>
      <w:r w:rsidRPr="00E208EC" w:rsidR="00327A95">
        <w:t>to UHF channels.”</w:t>
      </w:r>
      <w:r>
        <w:rPr>
          <w:vertAlign w:val="superscript"/>
        </w:rPr>
        <w:footnoteReference w:id="5"/>
      </w:r>
      <w:r w:rsidRPr="00E208EC">
        <w:t xml:space="preserve">  According to </w:t>
      </w:r>
      <w:r w:rsidR="00D2308F">
        <w:t>Gray</w:t>
      </w:r>
      <w:r w:rsidRPr="00E208EC">
        <w:t>, “</w:t>
      </w:r>
      <w:r w:rsidR="00437790">
        <w:t xml:space="preserve">many of its viewers experience </w:t>
      </w:r>
      <w:r w:rsidR="00425EAC">
        <w:t xml:space="preserve">significant </w:t>
      </w:r>
      <w:r w:rsidR="00437790">
        <w:t xml:space="preserve">difficulty receiving </w:t>
      </w:r>
      <w:r w:rsidR="00D734A5">
        <w:t>K</w:t>
      </w:r>
      <w:r w:rsidR="00D2308F">
        <w:t>AIT</w:t>
      </w:r>
      <w:r w:rsidR="00437790">
        <w:t>’s signal</w:t>
      </w:r>
      <w:r w:rsidR="000C7622">
        <w:t>.</w:t>
      </w:r>
      <w:r w:rsidR="00437790">
        <w:t>”</w:t>
      </w:r>
      <w:r>
        <w:rPr>
          <w:vertAlign w:val="superscript"/>
        </w:rPr>
        <w:footnoteReference w:id="6"/>
      </w:r>
      <w:r w:rsidRPr="00E208EC">
        <w:t xml:space="preserve"> </w:t>
      </w:r>
      <w:r w:rsidR="001F2E5A">
        <w:t xml:space="preserve"> </w:t>
      </w:r>
      <w:r w:rsidR="00D2308F">
        <w:t>Gray</w:t>
      </w:r>
      <w:r w:rsidRPr="00E208EC">
        <w:t xml:space="preserve"> further states that</w:t>
      </w:r>
      <w:r w:rsidR="00D2308F">
        <w:t xml:space="preserve"> while there is</w:t>
      </w:r>
      <w:r w:rsidR="00892071">
        <w:t xml:space="preserve"> small terrain limited</w:t>
      </w:r>
      <w:r w:rsidR="00D2308F">
        <w:t xml:space="preserve"> predicted loss </w:t>
      </w:r>
      <w:r w:rsidR="00892071">
        <w:t>area</w:t>
      </w:r>
      <w:r w:rsidR="00D2308F">
        <w:t>, the viewers</w:t>
      </w:r>
      <w:r w:rsidR="00892071">
        <w:t xml:space="preserve"> will </w:t>
      </w:r>
      <w:r w:rsidR="00892071">
        <w:t>continue to be well served by at least five other stations and</w:t>
      </w:r>
      <w:r w:rsidR="00D2308F">
        <w:t xml:space="preserve"> receive ABC network service from</w:t>
      </w:r>
      <w:r w:rsidR="00892071">
        <w:t xml:space="preserve"> WAT</w:t>
      </w:r>
      <w:r w:rsidR="00506DB1">
        <w:t>N</w:t>
      </w:r>
      <w:r w:rsidR="00892071">
        <w:t xml:space="preserve">-TV, </w:t>
      </w:r>
      <w:r w:rsidR="005F32E9">
        <w:t>Memphis, Tennessee</w:t>
      </w:r>
      <w:r w:rsidRPr="00E208EC">
        <w:t>.</w:t>
      </w:r>
      <w:r>
        <w:rPr>
          <w:vertAlign w:val="superscript"/>
        </w:rPr>
        <w:footnoteReference w:id="7"/>
      </w:r>
    </w:p>
    <w:p w:rsidR="006F1759" w:rsidP="000E7316" w14:paraId="2CF71786" w14:textId="689FAB00">
      <w:pPr>
        <w:pStyle w:val="Heading1"/>
        <w:keepNext w:val="0"/>
        <w:suppressAutoHyphens w:val="0"/>
      </w:pPr>
      <w:r w:rsidRPr="009F2562">
        <w:t>Discussion</w:t>
      </w:r>
      <w:r>
        <w:t xml:space="preserve">  </w:t>
      </w:r>
    </w:p>
    <w:p w:rsidR="00E208EC" w:rsidRPr="00E208EC" w:rsidP="000E7316" w14:paraId="6E80C642" w14:textId="299EE326">
      <w:pPr>
        <w:pStyle w:val="ParaNum"/>
      </w:pPr>
      <w:r w:rsidRPr="00E208EC">
        <w:t xml:space="preserve">We believe that the </w:t>
      </w:r>
      <w:r w:rsidR="00E334A8">
        <w:t>Gray’s</w:t>
      </w:r>
      <w:r w:rsidR="009E136D">
        <w:t xml:space="preserve"> </w:t>
      </w:r>
      <w:r w:rsidRPr="00E208EC">
        <w:t xml:space="preserve">channel substitution proposal warrants consideration.  Channel </w:t>
      </w:r>
      <w:r w:rsidR="00044E4A">
        <w:t>27</w:t>
      </w:r>
      <w:r w:rsidRPr="00E208EC">
        <w:t xml:space="preserve"> can be substituted for channel </w:t>
      </w:r>
      <w:r w:rsidR="00044E4A">
        <w:t>8</w:t>
      </w:r>
      <w:r w:rsidRPr="00E208EC" w:rsidR="00311E3F">
        <w:t xml:space="preserve"> </w:t>
      </w:r>
      <w:r w:rsidRPr="00E208EC">
        <w:t xml:space="preserve">at </w:t>
      </w:r>
      <w:r w:rsidR="00044E4A">
        <w:t>Jonesboro, Arkansas</w:t>
      </w:r>
      <w:r w:rsidRPr="00E208EC">
        <w:t>, as proposed, in compliance with the principal community coverage requirements of section 73.625(a) of the Commission’s rules</w:t>
      </w:r>
      <w:r w:rsidR="000E7316">
        <w:t xml:space="preserve"> (rules),</w:t>
      </w:r>
      <w:r>
        <w:rPr>
          <w:vertAlign w:val="superscript"/>
        </w:rPr>
        <w:footnoteReference w:id="8"/>
      </w:r>
      <w:r w:rsidRPr="00E208EC">
        <w:t xml:space="preserve"> at coordinates </w:t>
      </w:r>
      <w:r w:rsidR="00044E4A">
        <w:t>35</w:t>
      </w:r>
      <w:r w:rsidR="00896190">
        <w:t>-</w:t>
      </w:r>
      <w:r w:rsidR="00044E4A">
        <w:t>53</w:t>
      </w:r>
      <w:r w:rsidR="00896190">
        <w:t>-</w:t>
      </w:r>
      <w:r w:rsidR="00044E4A">
        <w:t>22</w:t>
      </w:r>
      <w:r w:rsidR="00896190">
        <w:t>.0</w:t>
      </w:r>
      <w:r w:rsidRPr="00E208EC">
        <w:t xml:space="preserve"> N and </w:t>
      </w:r>
      <w:r w:rsidR="00896190">
        <w:t>9</w:t>
      </w:r>
      <w:r w:rsidR="00044E4A">
        <w:t>0</w:t>
      </w:r>
      <w:r w:rsidR="00896190">
        <w:t>-5</w:t>
      </w:r>
      <w:r w:rsidR="00DF445A">
        <w:t>6</w:t>
      </w:r>
      <w:r w:rsidR="00896190">
        <w:t>-</w:t>
      </w:r>
      <w:r w:rsidR="00044E4A">
        <w:t>8</w:t>
      </w:r>
      <w:r w:rsidR="00896190">
        <w:t>.0</w:t>
      </w:r>
      <w:r w:rsidRPr="00E208EC">
        <w:t xml:space="preserve"> W.  In addition, we find that this channel change meets the technical requirements set forth in sections 73.616 and 73.623 of the </w:t>
      </w:r>
      <w:r w:rsidR="00F24E3B">
        <w:t>r</w:t>
      </w:r>
      <w:r w:rsidRPr="00E208EC">
        <w:t>ules.</w:t>
      </w:r>
      <w:r>
        <w:rPr>
          <w:vertAlign w:val="superscript"/>
        </w:rPr>
        <w:footnoteReference w:id="9"/>
      </w:r>
      <w:r w:rsidRPr="00E208EC">
        <w:t xml:space="preserve">  We propose to substitute channel </w:t>
      </w:r>
      <w:r w:rsidR="00044E4A">
        <w:t>27</w:t>
      </w:r>
      <w:r w:rsidR="003532A0">
        <w:t xml:space="preserve"> </w:t>
      </w:r>
      <w:r w:rsidRPr="00E208EC">
        <w:t xml:space="preserve">for channel </w:t>
      </w:r>
      <w:r w:rsidR="00044E4A">
        <w:t>8</w:t>
      </w:r>
      <w:r w:rsidRPr="00E208EC">
        <w:t xml:space="preserve"> for </w:t>
      </w:r>
      <w:r w:rsidR="00D734A5">
        <w:t>K</w:t>
      </w:r>
      <w:r w:rsidR="00044E4A">
        <w:t>AIT</w:t>
      </w:r>
      <w:r w:rsidRPr="00E208EC" w:rsidR="008248C2">
        <w:t xml:space="preserve"> </w:t>
      </w:r>
      <w:r w:rsidRPr="00E208EC">
        <w:t>with the following specifications:</w:t>
      </w:r>
    </w:p>
    <w:p w:rsidR="00E208EC" w:rsidRPr="00E208EC" w:rsidP="000E7316" w14:paraId="5D42D3AD" w14:textId="77777777">
      <w:pPr>
        <w:pStyle w:val="ParaNum"/>
        <w:numPr>
          <w:ilvl w:val="0"/>
          <w:numId w:val="0"/>
        </w:numPr>
        <w:ind w:firstLine="720"/>
      </w:pPr>
      <w:r w:rsidRPr="00E208EC">
        <w:rPr>
          <w:u w:val="single"/>
        </w:rPr>
        <w:t>City and State</w:t>
      </w:r>
      <w:r w:rsidRPr="00E208EC">
        <w:tab/>
      </w:r>
      <w:r w:rsidRPr="00E208EC">
        <w:tab/>
      </w:r>
      <w:r w:rsidRPr="00E208EC">
        <w:tab/>
      </w:r>
      <w:r w:rsidRPr="00E208EC">
        <w:rPr>
          <w:u w:val="single"/>
        </w:rPr>
        <w:t>DTV Channel</w:t>
      </w:r>
      <w:r w:rsidRPr="00E208EC">
        <w:tab/>
      </w:r>
      <w:r w:rsidRPr="00E208EC">
        <w:rPr>
          <w:u w:val="single"/>
        </w:rPr>
        <w:t>DTV Power (kW)</w:t>
      </w:r>
      <w:r w:rsidRPr="00E208EC">
        <w:tab/>
      </w:r>
      <w:r w:rsidRPr="00E208EC">
        <w:rPr>
          <w:u w:val="single"/>
        </w:rPr>
        <w:t>Antenna HAAT (m)</w:t>
      </w:r>
    </w:p>
    <w:p w:rsidR="00E208EC" w:rsidP="000E7316" w14:paraId="1728D40F" w14:textId="7CC755C0">
      <w:pPr>
        <w:pStyle w:val="ParaNum"/>
        <w:numPr>
          <w:ilvl w:val="0"/>
          <w:numId w:val="0"/>
        </w:numPr>
        <w:ind w:firstLine="720"/>
      </w:pPr>
      <w:r>
        <w:t>Jonesboro, Arkansas</w:t>
      </w:r>
      <w:r w:rsidRPr="00E208EC">
        <w:tab/>
      </w:r>
      <w:r w:rsidR="007C16F4">
        <w:tab/>
      </w:r>
      <w:r w:rsidR="00044E4A">
        <w:t>27</w:t>
      </w:r>
      <w:r w:rsidRPr="00E208EC">
        <w:tab/>
      </w:r>
      <w:r w:rsidRPr="00E208EC">
        <w:tab/>
      </w:r>
      <w:r w:rsidR="00896190">
        <w:t>1000</w:t>
      </w:r>
      <w:r w:rsidRPr="00E208EC">
        <w:tab/>
      </w:r>
      <w:r w:rsidRPr="00E208EC">
        <w:tab/>
      </w:r>
      <w:r w:rsidRPr="00E208EC">
        <w:tab/>
      </w:r>
      <w:r w:rsidR="00044E4A">
        <w:t>527.4</w:t>
      </w:r>
    </w:p>
    <w:p w:rsidR="00E208EC" w:rsidRPr="005D3FB0" w:rsidP="000E7316" w14:paraId="502BBC97" w14:textId="616C1CA3">
      <w:pPr>
        <w:pStyle w:val="ParaNum"/>
      </w:pPr>
      <w:r>
        <w:t>Accordingly, we seek comment on the proposed amendment of the Post-Transition Table of DTV Allotments, section 73.622(</w:t>
      </w:r>
      <w:r>
        <w:t>i</w:t>
      </w:r>
      <w:r>
        <w:t xml:space="preserve">) of the </w:t>
      </w:r>
      <w:r w:rsidR="00F24E3B">
        <w:t>r</w:t>
      </w:r>
      <w:r>
        <w:t>ules,</w:t>
      </w:r>
      <w:r>
        <w:rPr>
          <w:rStyle w:val="FootnoteReference"/>
          <w:spacing w:val="-3"/>
          <w:szCs w:val="22"/>
        </w:rPr>
        <w:footnoteReference w:id="10"/>
      </w:r>
      <w:r>
        <w:t xml:space="preserve"> for the community listed below, to read as follows:</w:t>
      </w:r>
    </w:p>
    <w:p w:rsidR="00E208EC" w:rsidP="000E7316" w14:paraId="38EEE02C" w14:textId="77777777">
      <w:pPr>
        <w:pStyle w:val="AppNum"/>
        <w:numPr>
          <w:ilvl w:val="0"/>
          <w:numId w:val="0"/>
        </w:numPr>
        <w:spacing w:after="120"/>
        <w:ind w:left="4320"/>
        <w:rPr>
          <w:rFonts w:ascii="Times New Roman" w:hAnsi="Times New Roman"/>
          <w:spacing w:val="-3"/>
          <w:sz w:val="22"/>
          <w:szCs w:val="22"/>
          <w:u w:val="single"/>
        </w:rPr>
      </w:pPr>
      <w:bookmarkStart w:id="1" w:name="_Hlk62218186"/>
      <w:r>
        <w:rPr>
          <w:rFonts w:ascii="Times New Roman" w:hAnsi="Times New Roman"/>
          <w:spacing w:val="-3"/>
          <w:sz w:val="22"/>
          <w:szCs w:val="22"/>
          <w:u w:val="single"/>
        </w:rPr>
        <w:t>Channel No.</w:t>
      </w:r>
    </w:p>
    <w:p w:rsidR="00E208EC" w:rsidP="000E7316" w14:paraId="3F1AC05E" w14:textId="77777777">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sidRPr="00E208EC">
        <w:rPr>
          <w:rFonts w:ascii="Times New Roman" w:hAnsi="Times New Roman"/>
          <w:spacing w:val="-3"/>
          <w:sz w:val="22"/>
          <w:szCs w:val="22"/>
        </w:rPr>
        <w:tab/>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Proposed</w:t>
      </w:r>
      <w:r w:rsidRPr="00E208EC">
        <w:rPr>
          <w:rFonts w:ascii="Times New Roman" w:hAnsi="Times New Roman"/>
          <w:spacing w:val="-3"/>
          <w:sz w:val="22"/>
          <w:szCs w:val="22"/>
        </w:rPr>
        <w:tab/>
      </w:r>
    </w:p>
    <w:p w:rsidR="00E208EC" w:rsidRPr="00E208EC" w:rsidP="000E7316" w14:paraId="77138FC7" w14:textId="7E2092BB">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Jonesboro, Arkansas</w:t>
      </w:r>
      <w:r>
        <w:rPr>
          <w:rFonts w:ascii="Times New Roman" w:hAnsi="Times New Roman"/>
          <w:spacing w:val="-3"/>
          <w:sz w:val="22"/>
          <w:szCs w:val="22"/>
        </w:rPr>
        <w:tab/>
      </w:r>
      <w:r w:rsidR="00F91E0E">
        <w:rPr>
          <w:rFonts w:ascii="Times New Roman" w:hAnsi="Times New Roman"/>
          <w:spacing w:val="-3"/>
          <w:sz w:val="22"/>
          <w:szCs w:val="22"/>
        </w:rPr>
        <w:tab/>
      </w:r>
      <w:r w:rsidR="005F32E9">
        <w:rPr>
          <w:rFonts w:ascii="Times New Roman" w:hAnsi="Times New Roman"/>
          <w:spacing w:val="-3"/>
          <w:sz w:val="22"/>
          <w:szCs w:val="22"/>
        </w:rPr>
        <w:t>8, *20, 48</w:t>
      </w:r>
      <w:r>
        <w:rPr>
          <w:rFonts w:ascii="Times New Roman" w:hAnsi="Times New Roman"/>
          <w:spacing w:val="-3"/>
          <w:sz w:val="22"/>
          <w:szCs w:val="22"/>
        </w:rPr>
        <w:tab/>
      </w:r>
      <w:r>
        <w:rPr>
          <w:rFonts w:ascii="Times New Roman" w:hAnsi="Times New Roman"/>
          <w:spacing w:val="-3"/>
          <w:sz w:val="22"/>
          <w:szCs w:val="22"/>
        </w:rPr>
        <w:tab/>
      </w:r>
      <w:r w:rsidR="005F32E9">
        <w:rPr>
          <w:rFonts w:ascii="Times New Roman" w:hAnsi="Times New Roman"/>
          <w:spacing w:val="-3"/>
          <w:sz w:val="22"/>
          <w:szCs w:val="22"/>
        </w:rPr>
        <w:t>*20, 27, 48</w:t>
      </w:r>
    </w:p>
    <w:bookmarkEnd w:id="1"/>
    <w:p w:rsidR="00787DB6" w:rsidRPr="005E3497" w:rsidP="000E7316" w14:paraId="1365F57F" w14:textId="77777777">
      <w:pPr>
        <w:pStyle w:val="Heading1"/>
        <w:keepNext w:val="0"/>
        <w:suppressAutoHyphens w:val="0"/>
      </w:pPr>
      <w:r>
        <w:t>Procedural matters</w:t>
      </w:r>
    </w:p>
    <w:p w:rsidR="00787DB6" w:rsidRPr="009F2562" w:rsidP="000E7316" w14:paraId="4987B9EA" w14:textId="209EBF2F">
      <w:pPr>
        <w:pStyle w:val="ParaNum"/>
      </w:pPr>
      <w:r w:rsidRPr="00202AF5">
        <w:rPr>
          <w:i/>
          <w:iCs/>
        </w:rPr>
        <w:t>Showings Required</w:t>
      </w:r>
      <w:r w:rsidRPr="009F2562">
        <w:t xml:space="preserve">.  Comments are invited on the proposal discussed in </w:t>
      </w:r>
      <w:r>
        <w:t>this</w:t>
      </w:r>
      <w:r w:rsidRPr="009F2562">
        <w:t xml:space="preserve"> Notice of Proposed Rulemaking</w:t>
      </w:r>
      <w:r>
        <w:t xml:space="preserve"> (</w:t>
      </w:r>
      <w:r w:rsidRPr="003B6FA0">
        <w:rPr>
          <w:i/>
          <w:iCs/>
        </w:rPr>
        <w:t>NPRM</w:t>
      </w:r>
      <w:r>
        <w:t>)</w:t>
      </w:r>
      <w:r w:rsidRPr="009F2562">
        <w:t xml:space="preserve">.  </w:t>
      </w:r>
      <w:r w:rsidR="00F24E3B">
        <w:t xml:space="preserve">The </w:t>
      </w:r>
      <w:r w:rsidR="00507BFC">
        <w:t>Petitioner</w:t>
      </w:r>
      <w:r w:rsidRPr="009F2562">
        <w:t xml:space="preserve"> </w:t>
      </w:r>
      <w:r w:rsidRPr="0025083E" w:rsidR="0025083E">
        <w:t xml:space="preserve">or any </w:t>
      </w:r>
      <w:r w:rsidR="0025083E">
        <w:t>proponent</w:t>
      </w:r>
      <w:r w:rsidRPr="0025083E" w:rsidR="0025083E">
        <w:t xml:space="preserve"> that expresses interest in the allotment </w:t>
      </w:r>
      <w:r w:rsidRPr="009F2562">
        <w:t xml:space="preserve">will be expected to answer whatever questions are presented in initial comments.  The </w:t>
      </w:r>
      <w:r w:rsidR="00507BFC">
        <w:t>petitioner</w:t>
      </w:r>
      <w:r w:rsidRPr="009F2562">
        <w:t xml:space="preserve"> of a proposed allotment is </w:t>
      </w:r>
      <w:r>
        <w:t>required</w:t>
      </w:r>
      <w:r w:rsidRPr="009F2562">
        <w:t xml:space="preserve"> to file comments even if it only resubmits or incorporates by reference its former pleadings.  </w:t>
      </w:r>
      <w:r>
        <w:t xml:space="preserve">The </w:t>
      </w:r>
      <w:r w:rsidR="00507BFC">
        <w:t>petitioner</w:t>
      </w:r>
      <w:r>
        <w:t xml:space="preserve"> must </w:t>
      </w:r>
      <w:r w:rsidRPr="009F2562">
        <w:t>restate its present intention to apply for the channel if it is allotted and, if authorized, to build a station promptly.</w:t>
      </w:r>
      <w:r>
        <w:rPr>
          <w:rStyle w:val="FootnoteReference"/>
        </w:rPr>
        <w:footnoteReference w:id="11"/>
      </w:r>
      <w:r w:rsidRPr="009F2562">
        <w:t xml:space="preserve">  Failure to file may lead to denial of the request.</w:t>
      </w:r>
      <w:r w:rsidR="0025083E">
        <w:t xml:space="preserve">  </w:t>
      </w:r>
      <w:r w:rsidRPr="0025083E" w:rsidR="0025083E">
        <w:t xml:space="preserve">Any requests by a proponent for withdrawal or dismissal of an allotment request must be filed with the Commission in accordance with section 1.420(j) of the </w:t>
      </w:r>
      <w:r w:rsidR="00F24E3B">
        <w:t>r</w:t>
      </w:r>
      <w:r w:rsidRPr="0025083E" w:rsidR="0025083E">
        <w:t>ules.</w:t>
      </w:r>
      <w:r>
        <w:rPr>
          <w:rStyle w:val="FootnoteReference"/>
        </w:rPr>
        <w:footnoteReference w:id="12"/>
      </w:r>
    </w:p>
    <w:p w:rsidR="00787DB6" w:rsidRPr="009F2562" w:rsidP="000E7316" w14:paraId="76F4295C" w14:textId="09DD1E5B">
      <w:pPr>
        <w:pStyle w:val="ParaNum"/>
      </w:pPr>
      <w:r w:rsidRPr="00202AF5">
        <w:rPr>
          <w:i/>
          <w:iCs/>
        </w:rPr>
        <w:t xml:space="preserve">Cut-off </w:t>
      </w:r>
      <w:r w:rsidR="00341BB1">
        <w:rPr>
          <w:i/>
          <w:iCs/>
        </w:rPr>
        <w:t>P</w:t>
      </w:r>
      <w:r w:rsidRPr="00202AF5">
        <w:rPr>
          <w:i/>
          <w:iCs/>
        </w:rPr>
        <w:t>rotection</w:t>
      </w:r>
      <w:r w:rsidRPr="009F2562">
        <w:t>.  The following procedures will govern the consideration of the filings in this proceeding:</w:t>
      </w:r>
    </w:p>
    <w:p w:rsidR="00787DB6" w:rsidRPr="009F2562" w:rsidP="000E7316" w14:paraId="0FE3A915" w14:textId="77777777">
      <w:pPr>
        <w:numPr>
          <w:ilvl w:val="0"/>
          <w:numId w:val="8"/>
        </w:numPr>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3"/>
      </w:r>
      <w:r w:rsidRPr="009F2562">
        <w:t xml:space="preserve">  </w:t>
      </w:r>
    </w:p>
    <w:p w:rsidR="00787DB6" w:rsidP="000E7316" w14:paraId="708D0C75" w14:textId="77777777">
      <w:pPr>
        <w:widowControl/>
        <w:numPr>
          <w:ilvl w:val="0"/>
          <w:numId w:val="8"/>
        </w:numPr>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14"/>
      </w:r>
    </w:p>
    <w:p w:rsidR="00787DB6" w:rsidP="000E7316" w14:paraId="6E23DF9C" w14:textId="7CF5334E">
      <w:pPr>
        <w:pStyle w:val="ParaNum"/>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sidR="00F24E3B">
        <w:rPr>
          <w:szCs w:val="22"/>
        </w:rPr>
        <w:t>r</w:t>
      </w:r>
      <w:r w:rsidRPr="00CE5579">
        <w:rPr>
          <w:szCs w:val="22"/>
        </w:rPr>
        <w:t>ules</w:t>
      </w:r>
      <w:r>
        <w:rPr>
          <w:szCs w:val="22"/>
        </w:rPr>
        <w:t>,</w:t>
      </w:r>
      <w:r>
        <w:rPr>
          <w:rStyle w:val="FootnoteReference"/>
          <w:szCs w:val="22"/>
        </w:rPr>
        <w:footnoteReference w:id="15"/>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16"/>
      </w:r>
    </w:p>
    <w:p w:rsidR="00787DB6" w:rsidRPr="00522221" w:rsidP="000E7316" w14:paraId="71464E4B" w14:textId="77777777">
      <w:pPr>
        <w:numPr>
          <w:ilvl w:val="0"/>
          <w:numId w:val="10"/>
        </w:numPr>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787DB6" w:rsidRPr="00331D74" w:rsidP="000E7316" w14:paraId="31367F5E" w14:textId="59482A4B">
      <w:pPr>
        <w:numPr>
          <w:ilvl w:val="0"/>
          <w:numId w:val="10"/>
        </w:numPr>
        <w:spacing w:after="120"/>
        <w:ind w:left="1080"/>
        <w:rPr>
          <w:szCs w:val="22"/>
        </w:rPr>
      </w:pPr>
      <w:r w:rsidRPr="00522221">
        <w:rPr>
          <w:szCs w:val="22"/>
        </w:rPr>
        <w:t xml:space="preserve">Paper Filers:  Parties who choose to file by paper must file an original and one copy of each filing.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 xml:space="preserve">  </w:t>
      </w:r>
      <w:r w:rsidRPr="00787DB6">
        <w:rPr>
          <w:szCs w:val="22"/>
        </w:rPr>
        <w:t>Any paper filing that is not addressed to the Office of the Secretary will be treated as filed on the day it is received in the Office of the Secretary.</w:t>
      </w:r>
      <w:r w:rsidR="00341BB1">
        <w:rPr>
          <w:szCs w:val="22"/>
        </w:rPr>
        <w:t xml:space="preserve">  </w:t>
      </w:r>
      <w:r w:rsidRPr="00787DB6">
        <w:rPr>
          <w:szCs w:val="22"/>
        </w:rPr>
        <w:t>Accordingly, failure to follow the specified requirements may result in the treatment of a filing as untimely.</w:t>
      </w:r>
    </w:p>
    <w:p w:rsidR="00787DB6" w:rsidRPr="00522221" w:rsidP="000E7316" w14:paraId="14A33E58" w14:textId="77777777">
      <w:pPr>
        <w:numPr>
          <w:ilvl w:val="0"/>
          <w:numId w:val="11"/>
        </w:numPr>
        <w:spacing w:after="120"/>
        <w:rPr>
          <w:szCs w:val="22"/>
        </w:rPr>
      </w:pPr>
      <w:r w:rsidRPr="00522221">
        <w:rPr>
          <w:szCs w:val="22"/>
        </w:rPr>
        <w:t>Commercial overnight mail (other than U.S. Postal Service Express Mail and Priority Mail) must be sent to 9050 Junction Drive, Annapolis Junction, MD 20701.</w:t>
      </w:r>
    </w:p>
    <w:p w:rsidR="00787DB6" w:rsidP="000E7316" w14:paraId="559B6865" w14:textId="77777777">
      <w:pPr>
        <w:numPr>
          <w:ilvl w:val="0"/>
          <w:numId w:val="11"/>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 DC  20554.</w:t>
      </w:r>
    </w:p>
    <w:p w:rsidR="00787DB6" w:rsidP="000E7316" w14:paraId="4600CDE5" w14:textId="093AE7BB">
      <w:pPr>
        <w:numPr>
          <w:ilvl w:val="0"/>
          <w:numId w:val="11"/>
        </w:numPr>
        <w:spacing w:after="120"/>
      </w:pPr>
      <w:r w:rsidRPr="001A7095">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7"/>
      </w:r>
    </w:p>
    <w:p w:rsidR="00D40C1D" w:rsidP="000E7316" w14:paraId="33D8B3D8" w14:textId="3A2427E3">
      <w:pPr>
        <w:pStyle w:val="ListParagraph"/>
        <w:numPr>
          <w:ilvl w:val="0"/>
          <w:numId w:val="11"/>
        </w:numPr>
        <w:spacing w:after="120"/>
      </w:pPr>
      <w:r w:rsidRPr="00D40C1D">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787DB6" w:rsidP="000E7316" w14:paraId="27E7B6EA" w14:textId="5A48EE89">
      <w:pPr>
        <w:pStyle w:val="ParaNum"/>
        <w:numPr>
          <w:ilvl w:val="0"/>
          <w:numId w:val="0"/>
        </w:numPr>
      </w:pPr>
      <w:r w:rsidRPr="005B3D01">
        <w:rPr>
          <w:i/>
          <w:iCs/>
        </w:rPr>
        <w:t>Service.</w:t>
      </w:r>
      <w:r>
        <w:t xml:space="preserve">  Pursuant section </w:t>
      </w:r>
      <w:r w:rsidR="00F24E3B">
        <w:t>1</w:t>
      </w:r>
      <w:r>
        <w:t>.</w:t>
      </w:r>
      <w:r w:rsidR="00F24E3B">
        <w:t>4</w:t>
      </w:r>
      <w:r>
        <w:t xml:space="preserve">20 of the </w:t>
      </w:r>
      <w:r w:rsidR="00F24E3B">
        <w:t>r</w:t>
      </w:r>
      <w:r>
        <w:t>ules,</w:t>
      </w:r>
      <w:r>
        <w:rPr>
          <w:rStyle w:val="FootnoteReference"/>
        </w:rPr>
        <w:footnoteReference w:id="18"/>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The person filing the comments shall serve comments on the petitioners.  Reply comments shall be served on the person(s) who filed comments to which the reply is</w:t>
      </w:r>
      <w:r w:rsidR="004144C7">
        <w:t xml:space="preserve"> </w:t>
      </w:r>
      <w:r w:rsidRPr="001F250D">
        <w:t xml:space="preserve">directed. </w:t>
      </w:r>
      <w:r>
        <w:t xml:space="preserve"> </w:t>
      </w:r>
      <w:r w:rsidRPr="001F250D">
        <w:t>A certificate of service shall accompany such comments and reply comments.</w:t>
      </w:r>
      <w:r>
        <w:rPr>
          <w:rStyle w:val="FootnoteReference"/>
        </w:rPr>
        <w:footnoteReference w:id="19"/>
      </w:r>
      <w:r>
        <w:t xml:space="preserve">  Additionally, a copy of such comments should be served on counsel for petitioner, as follows:</w:t>
      </w:r>
    </w:p>
    <w:p w:rsidR="00CE5579" w:rsidP="000E7316" w14:paraId="6FD786DF" w14:textId="5E268D8F">
      <w:pPr>
        <w:pStyle w:val="ParaNum"/>
        <w:keepNext/>
        <w:keepLines/>
        <w:widowControl/>
        <w:numPr>
          <w:ilvl w:val="0"/>
          <w:numId w:val="0"/>
        </w:numPr>
        <w:spacing w:after="0"/>
        <w:ind w:left="720"/>
      </w:pPr>
      <w:r>
        <w:t>Joan Stewart</w:t>
      </w:r>
      <w:r>
        <w:t xml:space="preserve">, Esq. </w:t>
      </w:r>
    </w:p>
    <w:p w:rsidR="00CE5579" w:rsidP="000E7316" w14:paraId="3A5E1D09" w14:textId="08118477">
      <w:pPr>
        <w:pStyle w:val="ParaNum"/>
        <w:keepNext/>
        <w:keepLines/>
        <w:widowControl/>
        <w:numPr>
          <w:ilvl w:val="0"/>
          <w:numId w:val="0"/>
        </w:numPr>
        <w:spacing w:after="0"/>
        <w:ind w:left="720"/>
      </w:pPr>
      <w:r>
        <w:t>Wiley Rein LLP</w:t>
      </w:r>
    </w:p>
    <w:p w:rsidR="00CE5579" w:rsidP="000E7316" w14:paraId="478CBE35" w14:textId="231370B8">
      <w:pPr>
        <w:pStyle w:val="ParaNum"/>
        <w:keepNext/>
        <w:keepLines/>
        <w:widowControl/>
        <w:numPr>
          <w:ilvl w:val="0"/>
          <w:numId w:val="0"/>
        </w:numPr>
        <w:spacing w:after="0"/>
        <w:ind w:left="720"/>
      </w:pPr>
      <w:r>
        <w:t>1776 K Street NW</w:t>
      </w:r>
    </w:p>
    <w:p w:rsidR="00CE5579" w:rsidRPr="00CE5579" w:rsidP="000E7316" w14:paraId="18E2850A" w14:textId="35D6CF3A">
      <w:pPr>
        <w:pStyle w:val="ParaNum"/>
        <w:keepNext/>
        <w:keepLines/>
        <w:widowControl/>
        <w:numPr>
          <w:ilvl w:val="0"/>
          <w:numId w:val="0"/>
        </w:numPr>
        <w:ind w:left="720"/>
      </w:pPr>
      <w:r>
        <w:t>Washington, D.C.  200</w:t>
      </w:r>
      <w:r w:rsidR="00226A10">
        <w:t>0</w:t>
      </w:r>
      <w:r>
        <w:t>6</w:t>
      </w:r>
    </w:p>
    <w:p w:rsidR="00787DB6" w:rsidP="000E7316" w14:paraId="7E5712FF" w14:textId="6C2C599D">
      <w:pPr>
        <w:pStyle w:val="ParaNum"/>
      </w:pPr>
      <w:r w:rsidRPr="001F250D">
        <w:rPr>
          <w:i/>
          <w:iCs/>
          <w:szCs w:val="22"/>
        </w:rPr>
        <w:t xml:space="preserve">Ex </w:t>
      </w:r>
      <w:r w:rsidRPr="001F250D">
        <w:rPr>
          <w:i/>
          <w:iCs/>
          <w:szCs w:val="22"/>
        </w:rPr>
        <w:t>Parte</w:t>
      </w:r>
      <w:r w:rsidRPr="001F250D">
        <w:rPr>
          <w:i/>
          <w:iCs/>
          <w:szCs w:val="22"/>
        </w:rPr>
        <w:t xml:space="preserve"> Notices</w:t>
      </w:r>
      <w:r w:rsidRPr="00522221">
        <w:rPr>
          <w:i/>
          <w:szCs w:val="22"/>
        </w:rPr>
        <w:t xml:space="preserve">– </w:t>
      </w:r>
      <w:r>
        <w:rPr>
          <w:i/>
          <w:szCs w:val="22"/>
        </w:rPr>
        <w:t>Restricted</w:t>
      </w:r>
      <w:r>
        <w:rPr>
          <w:szCs w:val="22"/>
        </w:rPr>
        <w:t xml:space="preserve">.  </w:t>
      </w:r>
      <w:r w:rsidRPr="00522221">
        <w:rPr>
          <w:szCs w:val="22"/>
        </w:rPr>
        <w:t>The proceeding this Notice initiates shall be treated as a “</w:t>
      </w:r>
      <w:r>
        <w:rPr>
          <w:szCs w:val="22"/>
        </w:rPr>
        <w:t>restricted</w:t>
      </w:r>
      <w:r w:rsidRPr="00522221">
        <w:rPr>
          <w:szCs w:val="22"/>
        </w:rPr>
        <w:t xml:space="preserve">” proceeding in accordance with the Commission’s </w:t>
      </w:r>
      <w:r w:rsidRPr="00522221">
        <w:rPr>
          <w:i/>
          <w:iCs/>
          <w:szCs w:val="22"/>
        </w:rPr>
        <w:t xml:space="preserve">ex </w:t>
      </w:r>
      <w:r w:rsidRPr="00522221">
        <w:rPr>
          <w:i/>
          <w:iCs/>
          <w:szCs w:val="22"/>
        </w:rPr>
        <w:t>parte</w:t>
      </w:r>
      <w:r w:rsidRPr="00522221">
        <w:rPr>
          <w:i/>
          <w:iCs/>
          <w:szCs w:val="22"/>
        </w:rPr>
        <w:t xml:space="preserve"> </w:t>
      </w:r>
      <w:r w:rsidRPr="00522221">
        <w:rPr>
          <w:szCs w:val="22"/>
        </w:rPr>
        <w:t>rules.</w:t>
      </w:r>
      <w:r>
        <w:rPr>
          <w:szCs w:val="22"/>
          <w:vertAlign w:val="superscript"/>
        </w:rPr>
        <w:footnoteReference w:id="20"/>
      </w:r>
      <w:r w:rsidRPr="00522221">
        <w:rPr>
          <w:szCs w:val="22"/>
        </w:rPr>
        <w:t xml:space="preserve">  </w:t>
      </w:r>
      <w:r>
        <w:t xml:space="preserve">For purposes of this restricted notice and comment rulemaking proceeding, members of the public are advised that no </w:t>
      </w:r>
      <w:r w:rsidRPr="00226A10">
        <w:rPr>
          <w:i/>
          <w:iCs/>
        </w:rPr>
        <w:t xml:space="preserve">ex </w:t>
      </w:r>
      <w:r w:rsidRPr="00226A10">
        <w:rPr>
          <w:i/>
          <w:iCs/>
        </w:rPr>
        <w:t>parte</w:t>
      </w:r>
      <w:r>
        <w:t xml:space="preserve"> presentations are permitted from the time the Commission adopts a </w:t>
      </w:r>
      <w:r w:rsidR="00341BB1">
        <w:t xml:space="preserve">notice of proposed rulemaking </w:t>
      </w:r>
      <w:r>
        <w:t>until the proceeding has been decided and such decision in the applicable docket is no longer subject to reconsideration by the Commission or review by any court.</w:t>
      </w:r>
      <w:r>
        <w:rPr>
          <w:rStyle w:val="FootnoteReference"/>
        </w:rPr>
        <w:footnoteReference w:id="21"/>
      </w:r>
      <w:r>
        <w:t xml:space="preserve">  An </w:t>
      </w:r>
      <w:r w:rsidRPr="00341BB1">
        <w:rPr>
          <w:i/>
          <w:iCs/>
        </w:rPr>
        <w:t xml:space="preserve">ex </w:t>
      </w:r>
      <w:r w:rsidRPr="00341BB1">
        <w:rPr>
          <w:i/>
          <w:iCs/>
        </w:rPr>
        <w:t>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22"/>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3"/>
      </w:r>
      <w:r>
        <w:t xml:space="preserve">  Any comment that has not been served on the petitioner constitutes an </w:t>
      </w:r>
      <w:r w:rsidRPr="00341BB1">
        <w:rPr>
          <w:i/>
          <w:iCs/>
        </w:rPr>
        <w:t xml:space="preserve">ex </w:t>
      </w:r>
      <w:r w:rsidRPr="00341BB1">
        <w:rPr>
          <w:i/>
          <w:iCs/>
        </w:rPr>
        <w:t>parte</w:t>
      </w:r>
      <w:r>
        <w:t xml:space="preserve"> presentation and shall not be considered in the proceeding.  Any reply comment which has not been served on the person(s) who filed the comment, to which the reply is directed, constitutes an </w:t>
      </w:r>
      <w:r w:rsidRPr="00341BB1">
        <w:rPr>
          <w:i/>
          <w:iCs/>
        </w:rPr>
        <w:t xml:space="preserve">ex </w:t>
      </w:r>
      <w:r w:rsidRPr="00341BB1">
        <w:rPr>
          <w:i/>
          <w:iCs/>
        </w:rPr>
        <w:t>parte</w:t>
      </w:r>
      <w:r>
        <w:t xml:space="preserve"> presentation and shall not be considered in the proceeding. </w:t>
      </w:r>
    </w:p>
    <w:p w:rsidR="00787DB6" w:rsidP="000E7316" w14:paraId="6D80AC75" w14:textId="77777777">
      <w:pPr>
        <w:pStyle w:val="ParaNum"/>
      </w:pPr>
      <w:r w:rsidRPr="006F1759">
        <w:rPr>
          <w:i/>
          <w:iCs/>
        </w:rPr>
        <w:t xml:space="preserve">Availability of Documents.  </w:t>
      </w:r>
      <w:r w:rsidRPr="006F1759">
        <w:t xml:space="preserve">Comments, reply comments, and </w:t>
      </w:r>
      <w:r w:rsidRPr="00341BB1">
        <w:rPr>
          <w:i/>
          <w:iCs/>
        </w:rPr>
        <w:t xml:space="preserve">ex </w:t>
      </w:r>
      <w:r w:rsidRPr="00341BB1">
        <w:rPr>
          <w:i/>
          <w:iCs/>
        </w:rPr>
        <w:t>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003FD3" w:rsidRPr="006F1759" w:rsidP="000E7316" w14:paraId="0B6326A3" w14:textId="7650F201">
      <w:pPr>
        <w:pStyle w:val="ParaNum"/>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4"/>
      </w:r>
      <w:r>
        <w:t xml:space="preserve"> do not apply to a rulemaking proceeding to amend the DTV Table of Allotments, section 73.622(</w:t>
      </w:r>
      <w:r>
        <w:t>i</w:t>
      </w:r>
      <w:r>
        <w:t>)</w:t>
      </w:r>
      <w:r w:rsidR="00787DB6">
        <w:t xml:space="preserve"> of the </w:t>
      </w:r>
      <w:r w:rsidR="00A73D10">
        <w:t>r</w:t>
      </w:r>
      <w:r w:rsidR="00787DB6">
        <w:t>ules</w:t>
      </w:r>
      <w:r>
        <w:t>.</w:t>
      </w:r>
      <w:r>
        <w:rPr>
          <w:rStyle w:val="FootnoteReference"/>
        </w:rPr>
        <w:footnoteReference w:id="25"/>
      </w:r>
      <w:r>
        <w:t xml:space="preserve">  This document does not contain proposed information collection requirements subject to the Paperwork Reduction Act of 1995.</w:t>
      </w:r>
      <w:r>
        <w:rPr>
          <w:rStyle w:val="FootnoteReference"/>
        </w:rPr>
        <w:footnoteReference w:id="26"/>
      </w:r>
      <w:r>
        <w:t xml:space="preserve">  In addition, therefore, it does not contain any proposed information collection burden “for small business concerns with fewer than 25 employees,” pursuant to the Small Business Paperwork Relief Act of 2002</w:t>
      </w:r>
      <w:r w:rsidR="000A72DA">
        <w:t>.</w:t>
      </w:r>
      <w:r>
        <w:rPr>
          <w:rStyle w:val="FootnoteReference"/>
        </w:rPr>
        <w:footnoteReference w:id="27"/>
      </w:r>
    </w:p>
    <w:p w:rsidR="006F1759" w:rsidRPr="006F1759" w:rsidP="000E7316" w14:paraId="43FFCFCE" w14:textId="1197780A">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e-mail to </w:t>
      </w:r>
      <w:hyperlink r:id="rId5" w:history="1">
        <w:r w:rsidRPr="00522221">
          <w:rPr>
            <w:szCs w:val="22"/>
            <w:u w:val="single"/>
          </w:rPr>
          <w:t>fcc504@fcc.gov</w:t>
        </w:r>
      </w:hyperlink>
      <w:r w:rsidRPr="00522221">
        <w:rPr>
          <w:szCs w:val="22"/>
        </w:rPr>
        <w:t xml:space="preserve"> or call the Consumer &amp; Governmental Affairs Bureau at 202-418-0530 (voice), 202-418-0432 (</w:t>
      </w:r>
      <w:r w:rsidRPr="00522221">
        <w:rPr>
          <w:szCs w:val="22"/>
        </w:rPr>
        <w:t>tty</w:t>
      </w:r>
      <w:r w:rsidRPr="00522221">
        <w:rPr>
          <w:szCs w:val="22"/>
        </w:rPr>
        <w:t>).</w:t>
      </w:r>
    </w:p>
    <w:p w:rsidR="006F1759" w:rsidRPr="006F1759" w:rsidP="000E7316" w14:paraId="5B4C78D2" w14:textId="1B219783">
      <w:pPr>
        <w:pStyle w:val="ParaNum"/>
        <w:widowControl/>
      </w:pPr>
      <w:r w:rsidRPr="00CE5579">
        <w:rPr>
          <w:i/>
          <w:iCs/>
        </w:rPr>
        <w:t>Additional Information</w:t>
      </w:r>
      <w:r>
        <w:t xml:space="preserve">.  </w:t>
      </w:r>
      <w:r w:rsidR="00202AF5">
        <w:t xml:space="preserve">For further information concerning the proceeding listed above, contact </w:t>
      </w:r>
      <w:r w:rsidR="005F32E9">
        <w:t>Joyce Bernstein</w:t>
      </w:r>
      <w:r w:rsidR="00202AF5">
        <w:t>, Video Division, Media Bureau, (202) 418-</w:t>
      </w:r>
      <w:r w:rsidR="005F32E9">
        <w:t>1647</w:t>
      </w:r>
      <w:r w:rsidR="00202AF5">
        <w:t xml:space="preserve">, </w:t>
      </w:r>
      <w:hyperlink r:id="rId7" w:history="1">
        <w:r w:rsidRPr="001740B7" w:rsidR="005F32E9">
          <w:rPr>
            <w:rStyle w:val="Hyperlink"/>
          </w:rPr>
          <w:t>Joyce.Bernstein@fcc.gov</w:t>
        </w:r>
      </w:hyperlink>
      <w:r w:rsidR="00202AF5">
        <w:t xml:space="preserve">. </w:t>
      </w:r>
    </w:p>
    <w:p w:rsidR="006F1759" w:rsidP="000E7316" w14:paraId="3C4FAAC3" w14:textId="6C65607F">
      <w:pPr>
        <w:pStyle w:val="Heading1"/>
        <w:keepNext w:val="0"/>
        <w:suppressAutoHyphens w:val="0"/>
      </w:pPr>
      <w:r>
        <w:t>Ordering clauses</w:t>
      </w:r>
    </w:p>
    <w:p w:rsidR="00202AF5" w:rsidRPr="006F1759" w:rsidP="000E7316" w14:paraId="7BA5FD85" w14:textId="206604E7">
      <w:pPr>
        <w:pStyle w:val="ParaNum"/>
        <w:rPr>
          <w:szCs w:val="22"/>
        </w:rPr>
      </w:pPr>
      <w:r w:rsidRPr="006F1759">
        <w:rPr>
          <w:b/>
          <w:bCs/>
        </w:rPr>
        <w:t>IT IS ORDERED</w:t>
      </w:r>
      <w:r>
        <w:t xml:space="preserve"> that, p</w:t>
      </w:r>
      <w:r w:rsidRPr="009F2562">
        <w:t>ursuant to authority found in 47 U.S.C. sections 4(</w:t>
      </w:r>
      <w:r w:rsidRPr="009F2562">
        <w:t>i</w:t>
      </w:r>
      <w:r w:rsidRPr="009F2562">
        <w:t xml:space="preserve">), 5(c)(1), 303(g) and (r), and 307(b) of the Communications Act of 1934, as amended, </w:t>
      </w:r>
      <w:r w:rsidRPr="00CE5579" w:rsidR="00CE5579">
        <w:t>47 U.S.C. §§ 154</w:t>
      </w:r>
      <w:r w:rsidR="00CE5579">
        <w:t>(</w:t>
      </w:r>
      <w:r w:rsidR="00CE5579">
        <w:t>i</w:t>
      </w:r>
      <w:r w:rsidR="00CE5579">
        <w:t>)</w:t>
      </w:r>
      <w:r w:rsidRPr="00CE5579" w:rsidR="00CE5579">
        <w:t>, 15</w:t>
      </w:r>
      <w:r w:rsidR="00CE5579">
        <w:t>5(c)(1)</w:t>
      </w:r>
      <w:r w:rsidRPr="00CE5579" w:rsidR="00CE5579">
        <w:t>, 303</w:t>
      </w:r>
      <w:r w:rsidR="00CE5579">
        <w:t>(g)</w:t>
      </w:r>
      <w:r w:rsidRPr="00CE5579" w:rsidR="00CE5579">
        <w:t>,</w:t>
      </w:r>
      <w:r w:rsidR="00CE5579">
        <w:t xml:space="preserve"> (r), and</w:t>
      </w:r>
      <w:r w:rsidRPr="00CE5579" w:rsidR="00CE5579">
        <w:t xml:space="preserve"> 307</w:t>
      </w:r>
      <w:r w:rsidR="00CE5579">
        <w:t>(b)</w:t>
      </w:r>
      <w:r w:rsidRPr="00CE5579" w:rsidR="00CE5579">
        <w:t xml:space="preserve"> </w:t>
      </w:r>
      <w:r w:rsidRPr="009F2562">
        <w:t>and sections 0.61, 0.204(b)</w:t>
      </w:r>
      <w:r w:rsidR="00CE5579">
        <w:t>,</w:t>
      </w:r>
      <w:r w:rsidRPr="009F2562">
        <w:t xml:space="preserve"> and 0.283</w:t>
      </w:r>
      <w:r w:rsidR="00CE5579">
        <w:t xml:space="preserve"> of the </w:t>
      </w:r>
      <w:r w:rsidR="00A73D10">
        <w:t>r</w:t>
      </w:r>
      <w:r w:rsidR="00CE5579">
        <w:t>ules</w:t>
      </w:r>
      <w:r w:rsidRPr="009F2562">
        <w:t>,</w:t>
      </w:r>
      <w:r w:rsidR="00CE5579">
        <w:t xml:space="preserve"> 47 CFR §§ 0.61, 0.204(b), and 0.283,</w:t>
      </w:r>
      <w:r w:rsidRPr="009F2562">
        <w:t xml:space="preserve"> </w:t>
      </w:r>
      <w:r w:rsidRPr="006F1759">
        <w:rPr>
          <w:b/>
          <w:bCs/>
        </w:rPr>
        <w:t>IT IS PROPOSED TO AMEND</w:t>
      </w:r>
      <w:r w:rsidRPr="009F2562">
        <w:t xml:space="preserve"> the Post-Transition Table of DTV Allotments, section 73.622(</w:t>
      </w:r>
      <w:r w:rsidRPr="009F2562">
        <w:t>i</w:t>
      </w:r>
      <w:r w:rsidRPr="009F2562">
        <w:t>)</w:t>
      </w:r>
      <w:r w:rsidR="00CE5579">
        <w:t xml:space="preserve"> of the </w:t>
      </w:r>
      <w:r w:rsidR="00A73D10">
        <w:t>r</w:t>
      </w:r>
      <w:r w:rsidR="00CE5579">
        <w:t>ules</w:t>
      </w:r>
      <w:r w:rsidRPr="009F2562">
        <w:t>,</w:t>
      </w:r>
      <w:r w:rsidR="00787DB6">
        <w:t xml:space="preserve"> 47 CFR § 73.622(</w:t>
      </w:r>
      <w:r w:rsidR="00787DB6">
        <w:t>i</w:t>
      </w:r>
      <w:r w:rsidR="00787DB6">
        <w:t>),</w:t>
      </w:r>
      <w:r w:rsidRPr="009F2562">
        <w:t xml:space="preserve"> as set forth in </w:t>
      </w:r>
      <w:r w:rsidR="00CE5579">
        <w:t>this</w:t>
      </w:r>
      <w:r w:rsidRPr="009F2562">
        <w:t xml:space="preserve"> </w:t>
      </w:r>
      <w:r w:rsidRPr="00C256D8" w:rsidR="00745508">
        <w:rPr>
          <w:i/>
          <w:iCs/>
        </w:rPr>
        <w:t>NPRM</w:t>
      </w:r>
      <w:r>
        <w:t xml:space="preserve">, and </w:t>
      </w:r>
      <w:r w:rsidRPr="006F1759">
        <w:rPr>
          <w:szCs w:val="22"/>
        </w:rPr>
        <w:t xml:space="preserve">this </w:t>
      </w:r>
      <w:r w:rsidRPr="0084005D" w:rsidR="00A73D10">
        <w:rPr>
          <w:i/>
          <w:iCs/>
          <w:szCs w:val="22"/>
        </w:rPr>
        <w:t>NPRM</w:t>
      </w:r>
      <w:r w:rsidRPr="006F1759">
        <w:rPr>
          <w:szCs w:val="22"/>
        </w:rPr>
        <w:t xml:space="preserve"> </w:t>
      </w:r>
      <w:r w:rsidRPr="006F1759">
        <w:rPr>
          <w:b/>
          <w:szCs w:val="22"/>
        </w:rPr>
        <w:t xml:space="preserve">IS ADOPTED.  </w:t>
      </w:r>
    </w:p>
    <w:p w:rsidR="006F1759" w:rsidRPr="006F1759" w:rsidP="000E7316" w14:paraId="46BEED75" w14:textId="2D640462">
      <w:pPr>
        <w:pStyle w:val="ParaNum"/>
        <w:rPr>
          <w:szCs w:val="22"/>
        </w:rPr>
      </w:pPr>
      <w:r w:rsidRPr="00522221">
        <w:rPr>
          <w:b/>
          <w:szCs w:val="22"/>
        </w:rPr>
        <w:t>IT IS FURTHER ORDERED</w:t>
      </w:r>
      <w:r w:rsidRPr="00522221">
        <w:rPr>
          <w:szCs w:val="22"/>
        </w:rPr>
        <w:t xml:space="preserve"> that, pursuant to applicable procedures set forth in sections 1.415</w:t>
      </w:r>
      <w:r w:rsidR="003B6FA0">
        <w:rPr>
          <w:szCs w:val="22"/>
        </w:rPr>
        <w:t xml:space="preserve">, </w:t>
      </w:r>
      <w:r w:rsidRPr="00522221">
        <w:rPr>
          <w:szCs w:val="22"/>
        </w:rPr>
        <w:t>1.419</w:t>
      </w:r>
      <w:r w:rsidR="003B6FA0">
        <w:rPr>
          <w:szCs w:val="22"/>
        </w:rPr>
        <w:t>, 1.420</w:t>
      </w:r>
      <w:r w:rsidRPr="00522221">
        <w:rPr>
          <w:szCs w:val="22"/>
        </w:rPr>
        <w:t xml:space="preserve"> of the </w:t>
      </w:r>
      <w:r w:rsidR="00A73D10">
        <w:rPr>
          <w:szCs w:val="22"/>
        </w:rPr>
        <w:t>r</w:t>
      </w:r>
      <w:r w:rsidRPr="00522221">
        <w:rPr>
          <w:szCs w:val="22"/>
        </w:rPr>
        <w:t>ules, 47 CFR §§ 1.415, 1.419,</w:t>
      </w:r>
      <w:r w:rsidR="00352A67">
        <w:rPr>
          <w:szCs w:val="22"/>
        </w:rPr>
        <w:t xml:space="preserve"> and 1.420,</w:t>
      </w:r>
      <w:r w:rsidRPr="00522221">
        <w:rPr>
          <w:szCs w:val="22"/>
        </w:rPr>
        <w:t xml:space="preserve"> interested parties may file comments</w:t>
      </w:r>
      <w:r w:rsidR="009C6F27">
        <w:rPr>
          <w:szCs w:val="22"/>
        </w:rPr>
        <w:t>, including counterproposals,</w:t>
      </w:r>
      <w:r w:rsidRPr="00522221">
        <w:rPr>
          <w:szCs w:val="22"/>
        </w:rPr>
        <w:t xml:space="preserve"> on the </w:t>
      </w:r>
      <w:r w:rsidRPr="000A72DA" w:rsidR="003B6FA0">
        <w:rPr>
          <w:i/>
          <w:iCs/>
          <w:szCs w:val="22"/>
        </w:rPr>
        <w:t>NPRM</w:t>
      </w:r>
      <w:r w:rsidRPr="00522221">
        <w:rPr>
          <w:szCs w:val="22"/>
        </w:rPr>
        <w:t xml:space="preserve"> in </w:t>
      </w:r>
      <w:r>
        <w:rPr>
          <w:szCs w:val="22"/>
        </w:rPr>
        <w:t>MB Docket</w:t>
      </w:r>
      <w:r w:rsidRPr="00522221">
        <w:rPr>
          <w:szCs w:val="22"/>
        </w:rPr>
        <w:t xml:space="preserve"> No. </w:t>
      </w:r>
      <w:r>
        <w:rPr>
          <w:szCs w:val="22"/>
        </w:rPr>
        <w:t>21</w:t>
      </w:r>
      <w:r w:rsidRPr="00522221">
        <w:rPr>
          <w:szCs w:val="22"/>
        </w:rPr>
        <w:t>-</w:t>
      </w:r>
      <w:r w:rsidR="00783ACC">
        <w:rPr>
          <w:szCs w:val="22"/>
        </w:rPr>
        <w:t>56</w:t>
      </w:r>
      <w:r w:rsidRPr="00522221">
        <w:rPr>
          <w:szCs w:val="22"/>
        </w:rPr>
        <w:t xml:space="preserve"> </w:t>
      </w:r>
      <w:r w:rsidR="00787DB6">
        <w:rPr>
          <w:szCs w:val="22"/>
        </w:rPr>
        <w:t>and RM-</w:t>
      </w:r>
      <w:r w:rsidR="00783ACC">
        <w:rPr>
          <w:szCs w:val="22"/>
        </w:rPr>
        <w:t>11881</w:t>
      </w:r>
      <w:bookmarkStart w:id="2" w:name="_GoBack"/>
      <w:bookmarkEnd w:id="2"/>
      <w:r w:rsidR="00787DB6">
        <w:rPr>
          <w:szCs w:val="22"/>
        </w:rPr>
        <w:t xml:space="preserve"> </w:t>
      </w:r>
      <w:r w:rsidRPr="00522221">
        <w:rPr>
          <w:szCs w:val="22"/>
        </w:rPr>
        <w:t xml:space="preserve">on or before thirty (30) days after publication in the </w:t>
      </w:r>
      <w:r w:rsidRPr="0084005D">
        <w:rPr>
          <w:iCs/>
          <w:szCs w:val="22"/>
        </w:rPr>
        <w:t>Federal Regist</w:t>
      </w:r>
      <w:r w:rsidRPr="00273EA0">
        <w:rPr>
          <w:iCs/>
          <w:szCs w:val="22"/>
        </w:rPr>
        <w:t>er</w:t>
      </w:r>
      <w:r w:rsidRPr="00522221">
        <w:rPr>
          <w:szCs w:val="22"/>
        </w:rPr>
        <w:t xml:space="preserve"> and reply comments on or before forty five (45) days after publication in the </w:t>
      </w:r>
      <w:r w:rsidRPr="0084005D">
        <w:rPr>
          <w:iCs/>
          <w:szCs w:val="22"/>
        </w:rPr>
        <w:t>Federal Register</w:t>
      </w:r>
      <w:r w:rsidRPr="00522221">
        <w:rPr>
          <w:szCs w:val="22"/>
        </w:rPr>
        <w:t>.</w:t>
      </w:r>
    </w:p>
    <w:p w:rsidR="009F2562" w:rsidP="000E7316" w14:paraId="25C81251" w14:textId="77777777">
      <w:r>
        <w:tab/>
      </w:r>
      <w:r>
        <w:tab/>
      </w:r>
      <w:r>
        <w:tab/>
      </w:r>
      <w:r>
        <w:tab/>
      </w:r>
      <w:r>
        <w:tab/>
      </w:r>
      <w:r>
        <w:tab/>
        <w:t>FEDERAL COMMUNICATIONS COMMISSION</w:t>
      </w:r>
    </w:p>
    <w:p w:rsidR="009F2562" w:rsidP="000E7316" w14:paraId="077376EF" w14:textId="77777777"/>
    <w:p w:rsidR="009F2562" w:rsidP="000E7316" w14:paraId="73A66991" w14:textId="77777777"/>
    <w:p w:rsidR="009F2562" w:rsidP="000E7316" w14:paraId="522CC919" w14:textId="77777777"/>
    <w:p w:rsidR="009F2562" w:rsidP="000E7316" w14:paraId="1B2BB3CD" w14:textId="77777777"/>
    <w:p w:rsidR="009F2562" w:rsidP="000E7316" w14:paraId="769D92A4" w14:textId="27D1FC4B">
      <w:r>
        <w:tab/>
      </w:r>
      <w:r>
        <w:tab/>
      </w:r>
      <w:r>
        <w:tab/>
      </w:r>
      <w:r>
        <w:tab/>
      </w:r>
      <w:r>
        <w:tab/>
      </w:r>
      <w:r>
        <w:tab/>
      </w:r>
      <w:r w:rsidR="00003FD3">
        <w:t>Barbara A. Kreisman</w:t>
      </w:r>
    </w:p>
    <w:p w:rsidR="009F2562" w:rsidP="000E7316" w14:paraId="7FB1E2D7" w14:textId="7732950B">
      <w:r>
        <w:tab/>
      </w:r>
      <w:r>
        <w:tab/>
      </w:r>
      <w:r>
        <w:tab/>
      </w:r>
      <w:r>
        <w:tab/>
      </w:r>
      <w:r>
        <w:tab/>
      </w:r>
      <w:r>
        <w:tab/>
      </w:r>
      <w:r w:rsidR="00003FD3">
        <w:t>Chief, Video Division</w:t>
      </w:r>
    </w:p>
    <w:p w:rsidR="00003FD3" w:rsidRPr="009F2562" w:rsidP="000E7316" w14:paraId="6A8CBD02" w14:textId="4D1B0B88">
      <w:r>
        <w:tab/>
      </w:r>
      <w:r>
        <w:tab/>
      </w:r>
      <w:r>
        <w:tab/>
      </w:r>
      <w:r>
        <w:tab/>
      </w:r>
      <w:r>
        <w:tab/>
      </w:r>
      <w:r>
        <w:tab/>
        <w:t>Media Bureau</w:t>
      </w:r>
    </w:p>
    <w:sectPr w:rsidSect="006F1759">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3B48E6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0C821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19500BBF" w14:textId="09FB754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E8B029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2BAB" w14:paraId="08D59621" w14:textId="77777777">
      <w:r>
        <w:separator/>
      </w:r>
    </w:p>
  </w:footnote>
  <w:footnote w:type="continuationSeparator" w:id="1">
    <w:p w:rsidR="00F52BAB" w:rsidP="00C721AC" w14:paraId="167994CC" w14:textId="77777777">
      <w:pPr>
        <w:spacing w:before="120"/>
        <w:rPr>
          <w:sz w:val="20"/>
        </w:rPr>
      </w:pPr>
      <w:r>
        <w:rPr>
          <w:sz w:val="20"/>
        </w:rPr>
        <w:t xml:space="preserve">(Continued from previous page)  </w:t>
      </w:r>
      <w:r>
        <w:rPr>
          <w:sz w:val="20"/>
        </w:rPr>
        <w:separator/>
      </w:r>
    </w:p>
  </w:footnote>
  <w:footnote w:type="continuationNotice" w:id="2">
    <w:p w:rsidR="00F52BAB" w:rsidP="00C721AC" w14:paraId="39D57109" w14:textId="77777777">
      <w:pPr>
        <w:jc w:val="right"/>
        <w:rPr>
          <w:sz w:val="20"/>
        </w:rPr>
      </w:pPr>
      <w:r>
        <w:rPr>
          <w:sz w:val="20"/>
        </w:rPr>
        <w:t>(continued….)</w:t>
      </w:r>
    </w:p>
  </w:footnote>
  <w:footnote w:id="3">
    <w:p w:rsidR="003B6FA0" w:rsidP="004A2A44" w14:paraId="7E6DE131" w14:textId="5920803A">
      <w:pPr>
        <w:pStyle w:val="FootnoteText"/>
        <w:widowControl w:val="0"/>
      </w:pPr>
      <w:r w:rsidRPr="00273EA0">
        <w:rPr>
          <w:rStyle w:val="FootnoteReference"/>
        </w:rPr>
        <w:footnoteRef/>
      </w:r>
      <w:r w:rsidRPr="00273EA0">
        <w:t xml:space="preserve"> </w:t>
      </w:r>
      <w:r w:rsidRPr="00273EA0" w:rsidR="00EA0CA8">
        <w:t>Petition of Gray Television Licensee, LLC for Rulemaking (filed Nov. 27, 2020)</w:t>
      </w:r>
      <w:r w:rsidRPr="00273EA0" w:rsidR="00897354">
        <w:t>, LMS File No</w:t>
      </w:r>
      <w:r w:rsidRPr="00273EA0" w:rsidR="001F2E5A">
        <w:t xml:space="preserve">. </w:t>
      </w:r>
      <w:r w:rsidRPr="00273EA0" w:rsidR="00AA6025">
        <w:t>00001</w:t>
      </w:r>
      <w:r w:rsidR="00AA6025">
        <w:t>27</w:t>
      </w:r>
      <w:r w:rsidR="00AB6B83">
        <w:t>5</w:t>
      </w:r>
      <w:r w:rsidR="0070751D">
        <w:t>29</w:t>
      </w:r>
      <w:r w:rsidR="00BF05D9">
        <w:t xml:space="preserve">.  Gray amended its petition on February 1, 2021 to provide additional information regarding alternate television services available in </w:t>
      </w:r>
      <w:r w:rsidR="001C3ECB">
        <w:t xml:space="preserve">the </w:t>
      </w:r>
      <w:r w:rsidR="00BF05D9">
        <w:t>predicted loss area</w:t>
      </w:r>
      <w:r w:rsidRPr="00273EA0" w:rsidR="00AA6025">
        <w:t xml:space="preserve"> </w:t>
      </w:r>
      <w:r w:rsidRPr="00273EA0" w:rsidR="00EA0CA8">
        <w:t>(</w:t>
      </w:r>
      <w:r w:rsidR="00BF05D9">
        <w:t xml:space="preserve">Amended </w:t>
      </w:r>
      <w:r w:rsidRPr="00273EA0" w:rsidR="00EA0CA8">
        <w:t>Petition).</w:t>
      </w:r>
      <w:r w:rsidRPr="00273EA0" w:rsidR="00EA0CA8">
        <w:t xml:space="preserve"> </w:t>
      </w:r>
    </w:p>
  </w:footnote>
  <w:footnote w:id="4">
    <w:p w:rsidR="009F2562" w:rsidRPr="00F11D79" w:rsidP="004A2A44" w14:paraId="7E3F1A41" w14:textId="7E9006EB">
      <w:pPr>
        <w:spacing w:after="120"/>
        <w:rPr>
          <w:sz w:val="20"/>
        </w:rPr>
      </w:pPr>
      <w:r>
        <w:rPr>
          <w:rStyle w:val="FootnoteReference"/>
        </w:rPr>
        <w:footnoteRef/>
      </w:r>
      <w:r>
        <w:t xml:space="preserve"> </w:t>
      </w:r>
      <w:r w:rsidR="00945222">
        <w:rPr>
          <w:sz w:val="20"/>
        </w:rPr>
        <w:t xml:space="preserve">On April 13, 2017, the Commission completed the incentive auction and broadcast television spectrum repacking authorized by the Spectrum Act. </w:t>
      </w:r>
      <w:r w:rsidRPr="00F14545" w:rsidR="00945222">
        <w:rPr>
          <w:sz w:val="20"/>
        </w:rPr>
        <w:t xml:space="preserve"> </w:t>
      </w:r>
      <w:r w:rsidRPr="00F14545" w:rsidR="00945222">
        <w:rPr>
          <w:rStyle w:val="Emphasis"/>
          <w:sz w:val="20"/>
        </w:rPr>
        <w:t>See</w:t>
      </w:r>
      <w:r w:rsidRPr="00F14545" w:rsidR="00945222">
        <w:rPr>
          <w:sz w:val="20"/>
        </w:rPr>
        <w:t xml:space="preserve"> Middle Class Tax Relief and Job Creation Act of 2012, </w:t>
      </w:r>
      <w:r w:rsidRPr="001F250D" w:rsidR="00945222">
        <w:rPr>
          <w:sz w:val="20"/>
        </w:rPr>
        <w:t>Pub. L. No. 112-96</w:t>
      </w:r>
      <w:r w:rsidRPr="00F14545" w:rsidR="00945222">
        <w:rPr>
          <w:sz w:val="20"/>
        </w:rPr>
        <w:t xml:space="preserve">, §§ 6402 (codified at </w:t>
      </w:r>
      <w:r w:rsidRPr="001F250D" w:rsidR="00945222">
        <w:rPr>
          <w:sz w:val="20"/>
        </w:rPr>
        <w:t>47 U.S.C. § 309(j)(8)(G)</w:t>
      </w:r>
      <w:r w:rsidRPr="00F14545" w:rsidR="00945222">
        <w:rPr>
          <w:sz w:val="20"/>
        </w:rPr>
        <w:t xml:space="preserve">), 6403 (codified at </w:t>
      </w:r>
      <w:r w:rsidRPr="001F250D" w:rsidR="00945222">
        <w:rPr>
          <w:sz w:val="20"/>
        </w:rPr>
        <w:t>47 U.S.C. § 1452</w:t>
      </w:r>
      <w:r w:rsidRPr="00F14545" w:rsidR="00945222">
        <w:rPr>
          <w:sz w:val="20"/>
        </w:rPr>
        <w:t>), 126 Stat. 156 (2012) (Spectrum Act</w:t>
      </w:r>
      <w:r w:rsidR="00945222">
        <w:rPr>
          <w:sz w:val="20"/>
        </w:rPr>
        <w:t>);</w:t>
      </w:r>
      <w:r w:rsidRPr="00D62C5A" w:rsidR="00945222">
        <w:rPr>
          <w:i/>
          <w:sz w:val="2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sidRPr="00D62C5A" w:rsidR="00945222">
        <w:rPr>
          <w:sz w:val="20"/>
        </w:rPr>
        <w:t xml:space="preserve">, GN Docket No. 12-268, Public Notice, 32 FCC </w:t>
      </w:r>
      <w:r w:rsidRPr="00D62C5A" w:rsidR="00945222">
        <w:rPr>
          <w:sz w:val="20"/>
        </w:rPr>
        <w:t>Rcd</w:t>
      </w:r>
      <w:r w:rsidRPr="00D62C5A" w:rsidR="00945222">
        <w:rPr>
          <w:sz w:val="20"/>
        </w:rPr>
        <w:t xml:space="preserve"> 2786 (2017).  </w:t>
      </w:r>
      <w:r w:rsidR="00945222">
        <w:rPr>
          <w:sz w:val="20"/>
        </w:rPr>
        <w:t>T</w:t>
      </w:r>
      <w:r w:rsidRPr="00D62C5A" w:rsidR="00945222">
        <w:rPr>
          <w:sz w:val="20"/>
        </w:rPr>
        <w:t>he post-incentive auction transition period</w:t>
      </w:r>
      <w:r w:rsidR="00945222">
        <w:rPr>
          <w:sz w:val="20"/>
        </w:rPr>
        <w:t xml:space="preserve"> ended on July 13, 2020.</w:t>
      </w:r>
      <w:r w:rsidRPr="00D62C5A" w:rsidR="00945222">
        <w:rPr>
          <w:sz w:val="20"/>
        </w:rPr>
        <w:t xml:space="preserve"> </w:t>
      </w:r>
      <w:r w:rsidR="00945222">
        <w:rPr>
          <w:sz w:val="20"/>
        </w:rPr>
        <w:t xml:space="preserve"> T</w:t>
      </w:r>
      <w:r w:rsidRPr="00D62C5A" w:rsidR="00945222">
        <w:rPr>
          <w:sz w:val="20"/>
        </w:rPr>
        <w:t xml:space="preserve">he </w:t>
      </w:r>
      <w:r w:rsidR="00945222">
        <w:rPr>
          <w:sz w:val="20"/>
        </w:rPr>
        <w:t xml:space="preserve">Media </w:t>
      </w:r>
      <w:r w:rsidRPr="00D62C5A" w:rsidR="00945222">
        <w:rPr>
          <w:sz w:val="20"/>
        </w:rPr>
        <w:t>Bureau will amend the rules to reflect all new full power channel assignments in a revised Table of Allotments.</w:t>
      </w:r>
      <w:r w:rsidR="00945222">
        <w:rPr>
          <w:sz w:val="20"/>
        </w:rPr>
        <w:t xml:space="preserve">  Because the Table has not yet been amended, the Division will continue to refer to the Post-Transition Table of DTV Allotments, 47 CFR § 73.622(</w:t>
      </w:r>
      <w:r w:rsidR="00945222">
        <w:rPr>
          <w:sz w:val="20"/>
        </w:rPr>
        <w:t>i</w:t>
      </w:r>
      <w:r w:rsidR="00945222">
        <w:rPr>
          <w:sz w:val="20"/>
        </w:rPr>
        <w:t>) (2018), for the purpose of this proceeding</w:t>
      </w:r>
      <w:r w:rsidRPr="00F11D79" w:rsidR="00945222">
        <w:rPr>
          <w:sz w:val="20"/>
        </w:rPr>
        <w:t>.</w:t>
      </w:r>
    </w:p>
  </w:footnote>
  <w:footnote w:id="5">
    <w:p w:rsidR="00E208EC" w:rsidRPr="003356E8" w:rsidP="004A2A44" w14:paraId="3F1F9A6B" w14:textId="4B580860">
      <w:pPr>
        <w:pStyle w:val="FootnoteText"/>
        <w:widowControl w:val="0"/>
      </w:pPr>
      <w:r w:rsidRPr="008B497D">
        <w:rPr>
          <w:rStyle w:val="FootnoteReference"/>
        </w:rPr>
        <w:footnoteRef/>
      </w:r>
      <w:r w:rsidRPr="008B497D">
        <w:t xml:space="preserve"> </w:t>
      </w:r>
      <w:r w:rsidR="00692E04">
        <w:t xml:space="preserve">Amended </w:t>
      </w:r>
      <w:r>
        <w:t>Petition</w:t>
      </w:r>
      <w:r w:rsidRPr="008B497D">
        <w:t xml:space="preserve"> at </w:t>
      </w:r>
      <w:r>
        <w:t>2</w:t>
      </w:r>
      <w:r w:rsidR="00113A6F">
        <w:t>-3</w:t>
      </w:r>
      <w:r>
        <w:t xml:space="preserve">, citing </w:t>
      </w:r>
      <w:r w:rsidRPr="003356E8">
        <w:rPr>
          <w:i/>
          <w:iCs/>
        </w:rPr>
        <w:t>Innovation in the Broadcast Television Bands: Allocations, Channel Sharing and Improvements to VHF</w:t>
      </w:r>
      <w:r w:rsidRPr="003356E8">
        <w:t>,</w:t>
      </w:r>
      <w:r>
        <w:t xml:space="preserve"> ET Docket No. 10-235, Notice of Proposed Rulemaking, 25 FCC </w:t>
      </w:r>
      <w:r>
        <w:t>Rcd</w:t>
      </w:r>
      <w:r>
        <w:t xml:space="preserve"> 16498, 16511, para. 42 (2010)</w:t>
      </w:r>
      <w:r w:rsidR="00E462E9">
        <w:t>.</w:t>
      </w:r>
    </w:p>
  </w:footnote>
  <w:footnote w:id="6">
    <w:p w:rsidR="00E208EC" w:rsidRPr="00DE199A" w:rsidP="004A2A44" w14:paraId="3A73DE3A" w14:textId="66DC9F11">
      <w:pPr>
        <w:pStyle w:val="FootnoteText"/>
        <w:widowControl w:val="0"/>
      </w:pPr>
      <w:r w:rsidRPr="00DE199A">
        <w:rPr>
          <w:rStyle w:val="FootnoteReference"/>
        </w:rPr>
        <w:footnoteRef/>
      </w:r>
      <w:r w:rsidRPr="00DE199A">
        <w:t xml:space="preserve"> </w:t>
      </w:r>
      <w:r w:rsidR="00692E04">
        <w:t xml:space="preserve">Amended Petition, </w:t>
      </w:r>
      <w:r w:rsidR="00C27ED4">
        <w:t xml:space="preserve">Engineering Exhibit at </w:t>
      </w:r>
      <w:r w:rsidR="00A86487">
        <w:t>1</w:t>
      </w:r>
      <w:r w:rsidRPr="00DE199A">
        <w:t>.</w:t>
      </w:r>
    </w:p>
  </w:footnote>
  <w:footnote w:id="7">
    <w:p w:rsidR="00E208EC" w:rsidRPr="003F7895" w:rsidP="004A2A44" w14:paraId="358975E3" w14:textId="4D9CE2C1">
      <w:pPr>
        <w:pStyle w:val="FootnoteText"/>
        <w:widowControl w:val="0"/>
      </w:pPr>
      <w:r w:rsidRPr="003F7895">
        <w:rPr>
          <w:rStyle w:val="FootnoteReference"/>
        </w:rPr>
        <w:footnoteRef/>
      </w:r>
      <w:r w:rsidRPr="003F7895">
        <w:t xml:space="preserve"> </w:t>
      </w:r>
      <w:r w:rsidRPr="005F32E9" w:rsidR="005F32E9">
        <w:rPr>
          <w:i/>
          <w:iCs/>
        </w:rPr>
        <w:t>Id</w:t>
      </w:r>
      <w:r w:rsidR="005F32E9">
        <w:t xml:space="preserve">. at 6.  Gray also states that its channel 27 proposal will provide the only television service to 6,338 persons and a second service to 46,752 persons.  </w:t>
      </w:r>
      <w:r w:rsidRPr="005F32E9" w:rsidR="005F32E9">
        <w:rPr>
          <w:i/>
          <w:iCs/>
        </w:rPr>
        <w:t>Id</w:t>
      </w:r>
      <w:r w:rsidR="005F32E9">
        <w:t>. at 5.</w:t>
      </w:r>
    </w:p>
  </w:footnote>
  <w:footnote w:id="8">
    <w:p w:rsidR="00E208EC" w:rsidRPr="00BE3330" w:rsidP="004A2A44" w14:paraId="70D5F471" w14:textId="77777777">
      <w:pPr>
        <w:pStyle w:val="FootnoteText"/>
        <w:widowControl w:val="0"/>
      </w:pPr>
      <w:r>
        <w:rPr>
          <w:rStyle w:val="FootnoteReference"/>
        </w:rPr>
        <w:footnoteRef/>
      </w:r>
      <w:r>
        <w:t xml:space="preserve"> 47 CFR § 73.625(a).</w:t>
      </w:r>
      <w:bookmarkStart w:id="0" w:name="SR;334"/>
      <w:bookmarkEnd w:id="0"/>
    </w:p>
  </w:footnote>
  <w:footnote w:id="9">
    <w:p w:rsidR="00E208EC" w:rsidP="004A2A44" w14:paraId="5B0F8BD5" w14:textId="77777777">
      <w:pPr>
        <w:pStyle w:val="FootnoteText"/>
        <w:widowControl w:val="0"/>
      </w:pPr>
      <w:r w:rsidRPr="003F7A73">
        <w:rPr>
          <w:rStyle w:val="FootnoteReference"/>
        </w:rPr>
        <w:footnoteRef/>
      </w:r>
      <w:r w:rsidRPr="003F7A73">
        <w:t xml:space="preserve"> 47 CFR §§ 73.616, 73.623.</w:t>
      </w:r>
    </w:p>
  </w:footnote>
  <w:footnote w:id="10">
    <w:p w:rsidR="00E208EC" w:rsidP="004A2A44" w14:paraId="7C22B204" w14:textId="77777777">
      <w:pPr>
        <w:pStyle w:val="FootnoteText"/>
        <w:widowControl w:val="0"/>
      </w:pPr>
      <w:r>
        <w:rPr>
          <w:rStyle w:val="FootnoteReference"/>
        </w:rPr>
        <w:footnoteRef/>
      </w:r>
      <w:r>
        <w:t xml:space="preserve"> 47 CFR § 73.622(</w:t>
      </w:r>
      <w:r>
        <w:t>i</w:t>
      </w:r>
      <w:r>
        <w:t>).</w:t>
      </w:r>
    </w:p>
  </w:footnote>
  <w:footnote w:id="11">
    <w:p w:rsidR="00C43C45" w14:paraId="6AFB4931" w14:textId="6D158313">
      <w:pPr>
        <w:pStyle w:val="FootnoteText"/>
      </w:pPr>
      <w:r>
        <w:rPr>
          <w:rStyle w:val="FootnoteReference"/>
        </w:rPr>
        <w:footnoteRef/>
      </w:r>
      <w:r>
        <w:t xml:space="preserve"> </w:t>
      </w:r>
      <w:r w:rsidRPr="00C43C45">
        <w:rPr>
          <w:i/>
          <w:iCs/>
        </w:rPr>
        <w:t>See, e.g., Buffalo, Io</w:t>
      </w:r>
      <w:r w:rsidR="003B2BBE">
        <w:rPr>
          <w:i/>
          <w:iCs/>
        </w:rPr>
        <w:t>l</w:t>
      </w:r>
      <w:r w:rsidRPr="00C43C45">
        <w:rPr>
          <w:i/>
          <w:iCs/>
        </w:rPr>
        <w:t>a, Normangee, and Madisonville, Texas</w:t>
      </w:r>
      <w:r w:rsidRPr="00C43C45">
        <w:t xml:space="preserve">, Report and Order, </w:t>
      </w:r>
      <w:r w:rsidR="000E7316">
        <w:t xml:space="preserve">MB Docket No. 07-729, </w:t>
      </w:r>
      <w:r w:rsidRPr="00C43C45">
        <w:t xml:space="preserve">24 FCC </w:t>
      </w:r>
      <w:r w:rsidRPr="00C43C45">
        <w:t>Rcd</w:t>
      </w:r>
      <w:r w:rsidRPr="00C43C45">
        <w:t xml:space="preserve"> 8192, 8194</w:t>
      </w:r>
      <w:r>
        <w:t>, para. 9</w:t>
      </w:r>
      <w:r w:rsidRPr="00C43C45">
        <w:t xml:space="preserve"> (</w:t>
      </w:r>
      <w:r w:rsidR="007A0571">
        <w:t>Aud. Div.</w:t>
      </w:r>
      <w:r w:rsidRPr="00C43C45">
        <w:t xml:space="preserve"> 2009).</w:t>
      </w:r>
    </w:p>
  </w:footnote>
  <w:footnote w:id="12">
    <w:p w:rsidR="0025083E" w14:paraId="427A9357" w14:textId="01284AFE">
      <w:pPr>
        <w:pStyle w:val="FootnoteText"/>
      </w:pPr>
      <w:r>
        <w:rPr>
          <w:rStyle w:val="FootnoteReference"/>
        </w:rPr>
        <w:footnoteRef/>
      </w:r>
      <w:r>
        <w:t xml:space="preserve"> </w:t>
      </w:r>
      <w:r w:rsidRPr="0025083E">
        <w:t>47 CFR § 1.420(j).</w:t>
      </w:r>
    </w:p>
  </w:footnote>
  <w:footnote w:id="13">
    <w:p w:rsidR="00787DB6" w:rsidP="004A2A44" w14:paraId="6790A2ED" w14:textId="77777777">
      <w:pPr>
        <w:pStyle w:val="FootnoteText"/>
        <w:widowControl w:val="0"/>
      </w:pPr>
      <w:r>
        <w:rPr>
          <w:rStyle w:val="FootnoteReference"/>
        </w:rPr>
        <w:footnoteRef/>
      </w:r>
      <w:r>
        <w:t xml:space="preserve"> </w:t>
      </w:r>
      <w:r w:rsidRPr="003B6FA0">
        <w:t xml:space="preserve">47 CFR </w:t>
      </w:r>
      <w:r>
        <w:t>§</w:t>
      </w:r>
      <w:r w:rsidRPr="003B6FA0">
        <w:t>1.420(d)</w:t>
      </w:r>
      <w:r>
        <w:t>.</w:t>
      </w:r>
    </w:p>
  </w:footnote>
  <w:footnote w:id="14">
    <w:p w:rsidR="00787DB6" w:rsidP="004A2A44" w14:paraId="23A4F6BA" w14:textId="77777777">
      <w:pPr>
        <w:pStyle w:val="FootnoteText"/>
        <w:widowControl w:val="0"/>
      </w:pPr>
      <w:r>
        <w:rPr>
          <w:rStyle w:val="FootnoteReference"/>
        </w:rPr>
        <w:footnoteRef/>
      </w:r>
      <w:r>
        <w:t xml:space="preserve"> </w:t>
      </w:r>
      <w:r w:rsidRPr="005F375B">
        <w:t>47 CFR § 1.420(</w:t>
      </w:r>
      <w:r>
        <w:t>g)(2)</w:t>
      </w:r>
      <w:r w:rsidRPr="005F375B">
        <w:t>.</w:t>
      </w:r>
    </w:p>
  </w:footnote>
  <w:footnote w:id="15">
    <w:p w:rsidR="00787DB6" w:rsidP="004A2A44" w14:paraId="0A9A0428" w14:textId="77777777">
      <w:pPr>
        <w:pStyle w:val="FootnoteText"/>
        <w:widowControl w:val="0"/>
      </w:pPr>
      <w:r>
        <w:rPr>
          <w:rStyle w:val="FootnoteReference"/>
        </w:rPr>
        <w:footnoteRef/>
      </w:r>
      <w:r>
        <w:t xml:space="preserve"> </w:t>
      </w:r>
      <w:r w:rsidRPr="003B6FA0">
        <w:t>47 CFR §§ 1.415, 1.419,</w:t>
      </w:r>
      <w:r>
        <w:t xml:space="preserve"> and 1.420.</w:t>
      </w:r>
    </w:p>
  </w:footnote>
  <w:footnote w:id="16">
    <w:p w:rsidR="00787DB6" w:rsidRPr="006F1759" w:rsidP="004A2A44" w14:paraId="519E2A0D"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17">
    <w:p w:rsidR="00787DB6" w:rsidP="004A2A44" w14:paraId="5568348A"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xml:space="preserve">, Public Notice, 35 FCC </w:t>
      </w:r>
      <w:r w:rsidRPr="001F250D">
        <w:rPr>
          <w:spacing w:val="-3"/>
        </w:rPr>
        <w:t>Rcd</w:t>
      </w:r>
      <w:r w:rsidRPr="001F250D">
        <w:rPr>
          <w:spacing w:val="-3"/>
        </w:rPr>
        <w:t xml:space="preserve"> 2788 (2020).</w:t>
      </w:r>
    </w:p>
  </w:footnote>
  <w:footnote w:id="18">
    <w:p w:rsidR="00787DB6" w:rsidP="004A2A44" w14:paraId="19B47497" w14:textId="62E530DA">
      <w:pPr>
        <w:pStyle w:val="FootnoteText"/>
        <w:widowControl w:val="0"/>
      </w:pPr>
      <w:r>
        <w:rPr>
          <w:rStyle w:val="FootnoteReference"/>
        </w:rPr>
        <w:footnoteRef/>
      </w:r>
      <w:r>
        <w:t xml:space="preserve"> 47 CFR § </w:t>
      </w:r>
      <w:r w:rsidR="00810450">
        <w:t>1</w:t>
      </w:r>
      <w:r>
        <w:t>.</w:t>
      </w:r>
      <w:r w:rsidR="00810450">
        <w:t>4</w:t>
      </w:r>
      <w:r>
        <w:t>20.</w:t>
      </w:r>
    </w:p>
  </w:footnote>
  <w:footnote w:id="19">
    <w:p w:rsidR="00787DB6" w:rsidP="004A2A44" w14:paraId="3AE99242" w14:textId="77777777">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Pr="005E3497">
        <w:t>1.420(a), (b) and (c)</w:t>
      </w:r>
      <w:r>
        <w:t>.</w:t>
      </w:r>
    </w:p>
  </w:footnote>
  <w:footnote w:id="20">
    <w:p w:rsidR="00787DB6" w:rsidRPr="00522221" w:rsidP="004A2A44" w14:paraId="7C64ED07" w14:textId="77777777">
      <w:pPr>
        <w:pStyle w:val="FootnoteText"/>
        <w:widowControl w:val="0"/>
        <w:rPr>
          <w:i/>
          <w:iCs/>
        </w:rPr>
      </w:pPr>
      <w:r w:rsidRPr="00522221">
        <w:rPr>
          <w:rStyle w:val="FootnoteReference"/>
        </w:rPr>
        <w:footnoteRef/>
      </w:r>
      <w:r w:rsidRPr="00522221">
        <w:t xml:space="preserve"> 47 CFR §</w:t>
      </w:r>
      <w:r>
        <w:t>§</w:t>
      </w:r>
      <w:r w:rsidRPr="00522221">
        <w:t xml:space="preserve"> 1.1200 </w:t>
      </w:r>
      <w:r w:rsidRPr="00522221">
        <w:rPr>
          <w:i/>
          <w:iCs/>
        </w:rPr>
        <w:t>et seq.</w:t>
      </w:r>
    </w:p>
  </w:footnote>
  <w:footnote w:id="21">
    <w:p w:rsidR="00787DB6" w:rsidP="004A2A44" w14:paraId="46E60E5E" w14:textId="77777777">
      <w:pPr>
        <w:pStyle w:val="FootnoteText"/>
        <w:widowControl w:val="0"/>
      </w:pPr>
      <w:r>
        <w:rPr>
          <w:rStyle w:val="FootnoteReference"/>
        </w:rPr>
        <w:footnoteRef/>
      </w:r>
      <w:r>
        <w:t xml:space="preserve"> 47 CFR § 1.1208.</w:t>
      </w:r>
    </w:p>
  </w:footnote>
  <w:footnote w:id="22">
    <w:p w:rsidR="00787DB6" w:rsidP="004A2A44" w14:paraId="02C20A7D" w14:textId="77777777">
      <w:pPr>
        <w:pStyle w:val="FootnoteText"/>
        <w:widowControl w:val="0"/>
      </w:pPr>
      <w:r>
        <w:rPr>
          <w:rStyle w:val="FootnoteReference"/>
        </w:rPr>
        <w:footnoteRef/>
      </w:r>
      <w:r>
        <w:t xml:space="preserve"> 47 CFR § 1.1204(a)(10).</w:t>
      </w:r>
    </w:p>
  </w:footnote>
  <w:footnote w:id="23">
    <w:p w:rsidR="00787DB6" w:rsidP="004A2A44" w14:paraId="691904D2" w14:textId="592A7688">
      <w:pPr>
        <w:pStyle w:val="FootnoteText"/>
        <w:widowControl w:val="0"/>
      </w:pPr>
      <w:r>
        <w:rPr>
          <w:rStyle w:val="FootnoteReference"/>
        </w:rPr>
        <w:footnoteRef/>
      </w:r>
      <w:r>
        <w:t xml:space="preserve"> 47 CFR § 1.1204(a)(10)(ii).  In addition, </w:t>
      </w:r>
      <w:r w:rsidRPr="00F30797">
        <w:t xml:space="preserve">an oral presentation in a restricted proceeding not designated for hearing requesting action by a </w:t>
      </w:r>
      <w:r w:rsidRPr="00F30797">
        <w:t>particular date</w:t>
      </w:r>
      <w:r w:rsidRPr="00F30797">
        <w:t xml:space="preserve"> or giving reasons that a proceeding should be expedited other than the need to avoid administrative delay</w:t>
      </w:r>
      <w:r>
        <w:t xml:space="preserve"> is permitted</w:t>
      </w:r>
      <w:r w:rsidRPr="00F30797">
        <w:t>.</w:t>
      </w:r>
      <w:r w:rsidR="00745508">
        <w:t xml:space="preserve"> </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341BB1">
        <w:rPr>
          <w:i/>
          <w:iCs/>
        </w:rPr>
        <w:t xml:space="preserve">ex </w:t>
      </w:r>
      <w:r w:rsidRPr="00341BB1">
        <w:rPr>
          <w:i/>
          <w:iCs/>
        </w:rPr>
        <w:t>parte</w:t>
      </w:r>
      <w:r w:rsidRPr="00F30797">
        <w:t xml:space="preserve"> presentation, subject to the same service requirement.</w:t>
      </w:r>
      <w:r>
        <w:t xml:space="preserve">  </w:t>
      </w:r>
      <w:r w:rsidRPr="00F30797">
        <w:t>47 CFR § 1.1204(a)(1</w:t>
      </w:r>
      <w:r>
        <w:t>1</w:t>
      </w:r>
      <w:r w:rsidRPr="00F30797">
        <w:t>)</w:t>
      </w:r>
      <w:r>
        <w:t>.</w:t>
      </w:r>
    </w:p>
  </w:footnote>
  <w:footnote w:id="24">
    <w:p w:rsidR="00003FD3" w:rsidP="004A2A44" w14:paraId="774DD95A"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25">
    <w:p w:rsidR="00003FD3" w:rsidP="004A2A44" w14:paraId="00983C9F" w14:textId="77777777">
      <w:pPr>
        <w:pStyle w:val="FootnoteText"/>
        <w:widowControl w:val="0"/>
      </w:pPr>
      <w:r>
        <w:rPr>
          <w:rStyle w:val="FootnoteReference"/>
        </w:rPr>
        <w:footnoteRef/>
      </w:r>
      <w:r>
        <w:t xml:space="preserve"> </w:t>
      </w:r>
      <w:r w:rsidRPr="009F2562">
        <w:t>47 CFR § 73.622(</w:t>
      </w:r>
      <w:r w:rsidRPr="009F2562">
        <w:t>i</w:t>
      </w:r>
      <w:r w:rsidRPr="009F2562">
        <w:t>).</w:t>
      </w:r>
    </w:p>
  </w:footnote>
  <w:footnote w:id="26">
    <w:p w:rsidR="000A72DA" w:rsidP="004A2A44" w14:paraId="212E5754" w14:textId="68FE36EC">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27">
    <w:p w:rsidR="000A72DA" w:rsidP="004A2A44" w14:paraId="560844AC" w14:textId="53491AEF">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CF1773" w14:textId="2D5D85D9">
    <w:pPr>
      <w:pStyle w:val="Header"/>
      <w:rPr>
        <w:b w:val="0"/>
      </w:rPr>
    </w:pPr>
    <w:r>
      <w:tab/>
      <w:t>Federal Communications Commission</w:t>
    </w:r>
    <w:r>
      <w:tab/>
    </w:r>
    <w:r w:rsidR="004A2A44">
      <w:t>DA</w:t>
    </w:r>
    <w:r w:rsidR="00BF05D9">
      <w:t xml:space="preserve"> 21-</w:t>
    </w:r>
    <w:r w:rsidR="00783ACC">
      <w:t>165</w:t>
    </w:r>
  </w:p>
  <w:p w:rsidR="00D25FB5" w14:paraId="21C358DE" w14:textId="12ADD1F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E34F81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87EF1E" w14:textId="7A12B4C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A2A44">
      <w:rPr>
        <w:spacing w:val="-2"/>
      </w:rPr>
      <w:t>DA</w:t>
    </w:r>
    <w:r w:rsidR="00897354">
      <w:rPr>
        <w:spacing w:val="-2"/>
      </w:rPr>
      <w:t xml:space="preserve"> 21</w:t>
    </w:r>
    <w:r w:rsidR="004A2A44">
      <w:rPr>
        <w:spacing w:val="-2"/>
      </w:rPr>
      <w:t>-</w:t>
    </w:r>
    <w:r w:rsidR="00783ACC">
      <w:rPr>
        <w:spacing w:val="-2"/>
      </w:rPr>
      <w:t>165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8"/>
  </w:num>
  <w:num w:numId="9">
    <w:abstractNumId w:val="7"/>
  </w:num>
  <w:num w:numId="10">
    <w:abstractNumId w:val="1"/>
  </w:num>
  <w:num w:numId="11">
    <w:abstractNumId w:val="9"/>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formsDesig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03FD3"/>
    <w:rsid w:val="000061EE"/>
    <w:rsid w:val="000219B9"/>
    <w:rsid w:val="00036039"/>
    <w:rsid w:val="00037F90"/>
    <w:rsid w:val="00044E4A"/>
    <w:rsid w:val="000716A9"/>
    <w:rsid w:val="000875BF"/>
    <w:rsid w:val="00096D8C"/>
    <w:rsid w:val="000A72DA"/>
    <w:rsid w:val="000C0B65"/>
    <w:rsid w:val="000C7622"/>
    <w:rsid w:val="000D7B7B"/>
    <w:rsid w:val="000E05FE"/>
    <w:rsid w:val="000E3D42"/>
    <w:rsid w:val="000E7316"/>
    <w:rsid w:val="00113A6F"/>
    <w:rsid w:val="00122BD5"/>
    <w:rsid w:val="001317A9"/>
    <w:rsid w:val="00133F79"/>
    <w:rsid w:val="00134EA3"/>
    <w:rsid w:val="001659A0"/>
    <w:rsid w:val="001740B7"/>
    <w:rsid w:val="00193681"/>
    <w:rsid w:val="00194A66"/>
    <w:rsid w:val="001A5237"/>
    <w:rsid w:val="001A7095"/>
    <w:rsid w:val="001C3ECB"/>
    <w:rsid w:val="001D29F6"/>
    <w:rsid w:val="001D64FD"/>
    <w:rsid w:val="001D6BCF"/>
    <w:rsid w:val="001E01CA"/>
    <w:rsid w:val="001E1C45"/>
    <w:rsid w:val="001F1858"/>
    <w:rsid w:val="001F250D"/>
    <w:rsid w:val="001F2E5A"/>
    <w:rsid w:val="00202AF5"/>
    <w:rsid w:val="00212BDD"/>
    <w:rsid w:val="002268F8"/>
    <w:rsid w:val="0022695F"/>
    <w:rsid w:val="00226A10"/>
    <w:rsid w:val="00232DD1"/>
    <w:rsid w:val="00236ABA"/>
    <w:rsid w:val="0025083E"/>
    <w:rsid w:val="00273EA0"/>
    <w:rsid w:val="00275CF5"/>
    <w:rsid w:val="00282422"/>
    <w:rsid w:val="0028301F"/>
    <w:rsid w:val="00285017"/>
    <w:rsid w:val="002A2D2E"/>
    <w:rsid w:val="002C00E8"/>
    <w:rsid w:val="002C2A5E"/>
    <w:rsid w:val="002D72B9"/>
    <w:rsid w:val="003002F5"/>
    <w:rsid w:val="00311E3F"/>
    <w:rsid w:val="0031233E"/>
    <w:rsid w:val="00315FEE"/>
    <w:rsid w:val="00316968"/>
    <w:rsid w:val="0032122C"/>
    <w:rsid w:val="00327A95"/>
    <w:rsid w:val="00331D74"/>
    <w:rsid w:val="003356E8"/>
    <w:rsid w:val="00341BB1"/>
    <w:rsid w:val="00343749"/>
    <w:rsid w:val="00343F5A"/>
    <w:rsid w:val="00345D82"/>
    <w:rsid w:val="00351EF5"/>
    <w:rsid w:val="00352A67"/>
    <w:rsid w:val="003532A0"/>
    <w:rsid w:val="003660ED"/>
    <w:rsid w:val="00370034"/>
    <w:rsid w:val="00370A81"/>
    <w:rsid w:val="00386604"/>
    <w:rsid w:val="00390A40"/>
    <w:rsid w:val="003B0550"/>
    <w:rsid w:val="003B2BBE"/>
    <w:rsid w:val="003B694F"/>
    <w:rsid w:val="003B6FA0"/>
    <w:rsid w:val="003F171C"/>
    <w:rsid w:val="003F5FC9"/>
    <w:rsid w:val="003F7895"/>
    <w:rsid w:val="003F7A73"/>
    <w:rsid w:val="00406272"/>
    <w:rsid w:val="00412FC5"/>
    <w:rsid w:val="004144C7"/>
    <w:rsid w:val="00417699"/>
    <w:rsid w:val="004210A9"/>
    <w:rsid w:val="00422276"/>
    <w:rsid w:val="004242F1"/>
    <w:rsid w:val="00425EAC"/>
    <w:rsid w:val="00436BE4"/>
    <w:rsid w:val="00437790"/>
    <w:rsid w:val="004418B6"/>
    <w:rsid w:val="00445A00"/>
    <w:rsid w:val="00451B0F"/>
    <w:rsid w:val="00465053"/>
    <w:rsid w:val="00475411"/>
    <w:rsid w:val="0048464E"/>
    <w:rsid w:val="00484F99"/>
    <w:rsid w:val="00493354"/>
    <w:rsid w:val="004A2A44"/>
    <w:rsid w:val="004A3C48"/>
    <w:rsid w:val="004A5916"/>
    <w:rsid w:val="004B33FE"/>
    <w:rsid w:val="004C2EE3"/>
    <w:rsid w:val="004C638D"/>
    <w:rsid w:val="004D6FE1"/>
    <w:rsid w:val="004E4A22"/>
    <w:rsid w:val="004F7ED5"/>
    <w:rsid w:val="00506DB1"/>
    <w:rsid w:val="00507BFC"/>
    <w:rsid w:val="00511968"/>
    <w:rsid w:val="00522221"/>
    <w:rsid w:val="00540ED1"/>
    <w:rsid w:val="005411A9"/>
    <w:rsid w:val="00543469"/>
    <w:rsid w:val="00555584"/>
    <w:rsid w:val="0055614C"/>
    <w:rsid w:val="00563090"/>
    <w:rsid w:val="00566D06"/>
    <w:rsid w:val="005757D6"/>
    <w:rsid w:val="005A7F82"/>
    <w:rsid w:val="005B1762"/>
    <w:rsid w:val="005B3D01"/>
    <w:rsid w:val="005D07C4"/>
    <w:rsid w:val="005D3FB0"/>
    <w:rsid w:val="005E14C2"/>
    <w:rsid w:val="005E3497"/>
    <w:rsid w:val="005F32E9"/>
    <w:rsid w:val="005F375B"/>
    <w:rsid w:val="00607BA5"/>
    <w:rsid w:val="0061180A"/>
    <w:rsid w:val="00626EB6"/>
    <w:rsid w:val="00647E02"/>
    <w:rsid w:val="00655D03"/>
    <w:rsid w:val="00662635"/>
    <w:rsid w:val="006704F5"/>
    <w:rsid w:val="00683388"/>
    <w:rsid w:val="00683F84"/>
    <w:rsid w:val="00692E04"/>
    <w:rsid w:val="00695325"/>
    <w:rsid w:val="006A3717"/>
    <w:rsid w:val="006A4BFB"/>
    <w:rsid w:val="006A6A81"/>
    <w:rsid w:val="006A7A0C"/>
    <w:rsid w:val="006D33F6"/>
    <w:rsid w:val="006F1759"/>
    <w:rsid w:val="006F438A"/>
    <w:rsid w:val="006F7393"/>
    <w:rsid w:val="0070224F"/>
    <w:rsid w:val="0070751D"/>
    <w:rsid w:val="007115F7"/>
    <w:rsid w:val="00712696"/>
    <w:rsid w:val="00726E82"/>
    <w:rsid w:val="00745508"/>
    <w:rsid w:val="0075166D"/>
    <w:rsid w:val="007524CD"/>
    <w:rsid w:val="00780924"/>
    <w:rsid w:val="00783ACC"/>
    <w:rsid w:val="00785689"/>
    <w:rsid w:val="00785CD8"/>
    <w:rsid w:val="00787DB6"/>
    <w:rsid w:val="0079754B"/>
    <w:rsid w:val="007A0571"/>
    <w:rsid w:val="007A163B"/>
    <w:rsid w:val="007A1E6D"/>
    <w:rsid w:val="007A3BAB"/>
    <w:rsid w:val="007B0EB2"/>
    <w:rsid w:val="007C16F4"/>
    <w:rsid w:val="007D4249"/>
    <w:rsid w:val="00810450"/>
    <w:rsid w:val="00810B6F"/>
    <w:rsid w:val="00822CE0"/>
    <w:rsid w:val="008248C2"/>
    <w:rsid w:val="00836EF4"/>
    <w:rsid w:val="0084005D"/>
    <w:rsid w:val="00840FF0"/>
    <w:rsid w:val="00841AB1"/>
    <w:rsid w:val="008470CB"/>
    <w:rsid w:val="00847350"/>
    <w:rsid w:val="0087360E"/>
    <w:rsid w:val="00892071"/>
    <w:rsid w:val="00896190"/>
    <w:rsid w:val="00897354"/>
    <w:rsid w:val="0089784D"/>
    <w:rsid w:val="008A58AA"/>
    <w:rsid w:val="008B497D"/>
    <w:rsid w:val="008B6B96"/>
    <w:rsid w:val="008C68F1"/>
    <w:rsid w:val="008E6B05"/>
    <w:rsid w:val="00916924"/>
    <w:rsid w:val="00921803"/>
    <w:rsid w:val="009243CF"/>
    <w:rsid w:val="00926503"/>
    <w:rsid w:val="00927113"/>
    <w:rsid w:val="00945222"/>
    <w:rsid w:val="00945D64"/>
    <w:rsid w:val="009726D8"/>
    <w:rsid w:val="00985BD1"/>
    <w:rsid w:val="00990D14"/>
    <w:rsid w:val="009A6869"/>
    <w:rsid w:val="009B7B38"/>
    <w:rsid w:val="009C6F27"/>
    <w:rsid w:val="009D7308"/>
    <w:rsid w:val="009D7448"/>
    <w:rsid w:val="009E136D"/>
    <w:rsid w:val="009F2562"/>
    <w:rsid w:val="009F76DB"/>
    <w:rsid w:val="00A32C3B"/>
    <w:rsid w:val="00A42382"/>
    <w:rsid w:val="00A45F4F"/>
    <w:rsid w:val="00A46B85"/>
    <w:rsid w:val="00A600A9"/>
    <w:rsid w:val="00A66590"/>
    <w:rsid w:val="00A71673"/>
    <w:rsid w:val="00A724A0"/>
    <w:rsid w:val="00A73D10"/>
    <w:rsid w:val="00A86487"/>
    <w:rsid w:val="00A929B1"/>
    <w:rsid w:val="00AA55B7"/>
    <w:rsid w:val="00AA5B9E"/>
    <w:rsid w:val="00AA6025"/>
    <w:rsid w:val="00AB2407"/>
    <w:rsid w:val="00AB53DF"/>
    <w:rsid w:val="00AB6B83"/>
    <w:rsid w:val="00AC7242"/>
    <w:rsid w:val="00AF0D12"/>
    <w:rsid w:val="00AF6613"/>
    <w:rsid w:val="00B07E5C"/>
    <w:rsid w:val="00B32A7C"/>
    <w:rsid w:val="00B811F7"/>
    <w:rsid w:val="00B97DD3"/>
    <w:rsid w:val="00BA5DC6"/>
    <w:rsid w:val="00BA6196"/>
    <w:rsid w:val="00BC5600"/>
    <w:rsid w:val="00BC69ED"/>
    <w:rsid w:val="00BC6D8C"/>
    <w:rsid w:val="00BE3330"/>
    <w:rsid w:val="00BF05D9"/>
    <w:rsid w:val="00BF1951"/>
    <w:rsid w:val="00C16F3A"/>
    <w:rsid w:val="00C256D8"/>
    <w:rsid w:val="00C27ED4"/>
    <w:rsid w:val="00C34006"/>
    <w:rsid w:val="00C36B4C"/>
    <w:rsid w:val="00C426B1"/>
    <w:rsid w:val="00C43C45"/>
    <w:rsid w:val="00C66160"/>
    <w:rsid w:val="00C66F10"/>
    <w:rsid w:val="00C721AC"/>
    <w:rsid w:val="00C85F9D"/>
    <w:rsid w:val="00C90D6A"/>
    <w:rsid w:val="00CA247E"/>
    <w:rsid w:val="00CA6D21"/>
    <w:rsid w:val="00CC72B6"/>
    <w:rsid w:val="00CE35EF"/>
    <w:rsid w:val="00CE5579"/>
    <w:rsid w:val="00D0218D"/>
    <w:rsid w:val="00D2014A"/>
    <w:rsid w:val="00D2308F"/>
    <w:rsid w:val="00D2371E"/>
    <w:rsid w:val="00D25FB5"/>
    <w:rsid w:val="00D40C1D"/>
    <w:rsid w:val="00D44223"/>
    <w:rsid w:val="00D62C5A"/>
    <w:rsid w:val="00D734A5"/>
    <w:rsid w:val="00DA059A"/>
    <w:rsid w:val="00DA2529"/>
    <w:rsid w:val="00DB130A"/>
    <w:rsid w:val="00DB2EBB"/>
    <w:rsid w:val="00DC10A1"/>
    <w:rsid w:val="00DC15EC"/>
    <w:rsid w:val="00DC655F"/>
    <w:rsid w:val="00DC746F"/>
    <w:rsid w:val="00DD0B59"/>
    <w:rsid w:val="00DD5445"/>
    <w:rsid w:val="00DD7EBD"/>
    <w:rsid w:val="00DE05D8"/>
    <w:rsid w:val="00DE199A"/>
    <w:rsid w:val="00DF445A"/>
    <w:rsid w:val="00DF62B6"/>
    <w:rsid w:val="00E0049C"/>
    <w:rsid w:val="00E0270B"/>
    <w:rsid w:val="00E07225"/>
    <w:rsid w:val="00E208EC"/>
    <w:rsid w:val="00E20B16"/>
    <w:rsid w:val="00E24A53"/>
    <w:rsid w:val="00E334A8"/>
    <w:rsid w:val="00E462E9"/>
    <w:rsid w:val="00E5257E"/>
    <w:rsid w:val="00E5409F"/>
    <w:rsid w:val="00E560B4"/>
    <w:rsid w:val="00E76017"/>
    <w:rsid w:val="00EA0CA8"/>
    <w:rsid w:val="00EA23F6"/>
    <w:rsid w:val="00EC216A"/>
    <w:rsid w:val="00EE6488"/>
    <w:rsid w:val="00EF7BFB"/>
    <w:rsid w:val="00F021FA"/>
    <w:rsid w:val="00F11D79"/>
    <w:rsid w:val="00F14545"/>
    <w:rsid w:val="00F24E3B"/>
    <w:rsid w:val="00F30797"/>
    <w:rsid w:val="00F356C6"/>
    <w:rsid w:val="00F52BAB"/>
    <w:rsid w:val="00F62E97"/>
    <w:rsid w:val="00F64209"/>
    <w:rsid w:val="00F91E0E"/>
    <w:rsid w:val="00F93BF5"/>
    <w:rsid w:val="00FB7347"/>
    <w:rsid w:val="00FE79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F63BE3E-6A20-4261-BBEB-2E216AC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22C"/>
    <w:pPr>
      <w:widowControl w:val="0"/>
    </w:pPr>
    <w:rPr>
      <w:snapToGrid w:val="0"/>
      <w:kern w:val="28"/>
      <w:sz w:val="22"/>
    </w:rPr>
  </w:style>
  <w:style w:type="paragraph" w:styleId="Heading1">
    <w:name w:val="heading 1"/>
    <w:basedOn w:val="Normal"/>
    <w:next w:val="ParaNum"/>
    <w:qFormat/>
    <w:rsid w:val="0032122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2122C"/>
    <w:pPr>
      <w:keepNext/>
      <w:numPr>
        <w:ilvl w:val="1"/>
        <w:numId w:val="3"/>
      </w:numPr>
      <w:spacing w:after="120"/>
      <w:outlineLvl w:val="1"/>
    </w:pPr>
    <w:rPr>
      <w:b/>
    </w:rPr>
  </w:style>
  <w:style w:type="paragraph" w:styleId="Heading3">
    <w:name w:val="heading 3"/>
    <w:basedOn w:val="Normal"/>
    <w:next w:val="ParaNum"/>
    <w:qFormat/>
    <w:rsid w:val="0032122C"/>
    <w:pPr>
      <w:keepNext/>
      <w:numPr>
        <w:ilvl w:val="2"/>
        <w:numId w:val="3"/>
      </w:numPr>
      <w:tabs>
        <w:tab w:val="left" w:pos="2160"/>
      </w:tabs>
      <w:spacing w:after="120"/>
      <w:outlineLvl w:val="2"/>
    </w:pPr>
    <w:rPr>
      <w:b/>
    </w:rPr>
  </w:style>
  <w:style w:type="paragraph" w:styleId="Heading4">
    <w:name w:val="heading 4"/>
    <w:basedOn w:val="Normal"/>
    <w:next w:val="ParaNum"/>
    <w:qFormat/>
    <w:rsid w:val="0032122C"/>
    <w:pPr>
      <w:keepNext/>
      <w:numPr>
        <w:ilvl w:val="3"/>
        <w:numId w:val="3"/>
      </w:numPr>
      <w:tabs>
        <w:tab w:val="left" w:pos="2880"/>
      </w:tabs>
      <w:spacing w:after="120"/>
      <w:outlineLvl w:val="3"/>
    </w:pPr>
    <w:rPr>
      <w:b/>
    </w:rPr>
  </w:style>
  <w:style w:type="paragraph" w:styleId="Heading5">
    <w:name w:val="heading 5"/>
    <w:basedOn w:val="Normal"/>
    <w:next w:val="ParaNum"/>
    <w:qFormat/>
    <w:rsid w:val="0032122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2122C"/>
    <w:pPr>
      <w:numPr>
        <w:ilvl w:val="5"/>
        <w:numId w:val="3"/>
      </w:numPr>
      <w:tabs>
        <w:tab w:val="left" w:pos="4320"/>
      </w:tabs>
      <w:spacing w:after="120"/>
      <w:outlineLvl w:val="5"/>
    </w:pPr>
    <w:rPr>
      <w:b/>
    </w:rPr>
  </w:style>
  <w:style w:type="paragraph" w:styleId="Heading7">
    <w:name w:val="heading 7"/>
    <w:basedOn w:val="Normal"/>
    <w:next w:val="ParaNum"/>
    <w:qFormat/>
    <w:rsid w:val="0032122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2122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2122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212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2122C"/>
  </w:style>
  <w:style w:type="paragraph" w:customStyle="1" w:styleId="ParaNum">
    <w:name w:val="ParaNum"/>
    <w:basedOn w:val="Normal"/>
    <w:link w:val="ParaNumChar1"/>
    <w:rsid w:val="0032122C"/>
    <w:pPr>
      <w:numPr>
        <w:numId w:val="2"/>
      </w:numPr>
      <w:tabs>
        <w:tab w:val="clear" w:pos="1080"/>
        <w:tab w:val="num" w:pos="1440"/>
      </w:tabs>
      <w:spacing w:after="120"/>
    </w:pPr>
  </w:style>
  <w:style w:type="paragraph" w:styleId="EndnoteText">
    <w:name w:val="endnote text"/>
    <w:basedOn w:val="Normal"/>
    <w:semiHidden/>
    <w:rsid w:val="0032122C"/>
    <w:rPr>
      <w:sz w:val="20"/>
    </w:rPr>
  </w:style>
  <w:style w:type="character" w:styleId="EndnoteReference">
    <w:name w:val="endnote reference"/>
    <w:semiHidden/>
    <w:rsid w:val="0032122C"/>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32122C"/>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32122C"/>
    <w:rPr>
      <w:rFonts w:ascii="Times New Roman" w:hAnsi="Times New Roman"/>
      <w:dstrike w:val="0"/>
      <w:color w:val="auto"/>
      <w:sz w:val="20"/>
      <w:vertAlign w:val="superscript"/>
    </w:rPr>
  </w:style>
  <w:style w:type="paragraph" w:styleId="TOC1">
    <w:name w:val="toc 1"/>
    <w:basedOn w:val="Normal"/>
    <w:next w:val="Normal"/>
    <w:semiHidden/>
    <w:rsid w:val="0032122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2122C"/>
    <w:pPr>
      <w:tabs>
        <w:tab w:val="left" w:pos="720"/>
        <w:tab w:val="right" w:leader="dot" w:pos="9360"/>
      </w:tabs>
      <w:suppressAutoHyphens/>
      <w:ind w:left="720" w:right="720" w:hanging="360"/>
    </w:pPr>
    <w:rPr>
      <w:noProof/>
    </w:rPr>
  </w:style>
  <w:style w:type="paragraph" w:styleId="TOC3">
    <w:name w:val="toc 3"/>
    <w:basedOn w:val="Normal"/>
    <w:next w:val="Normal"/>
    <w:semiHidden/>
    <w:rsid w:val="0032122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2122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2122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2122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2122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2122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2122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2122C"/>
    <w:pPr>
      <w:tabs>
        <w:tab w:val="right" w:pos="9360"/>
      </w:tabs>
      <w:suppressAutoHyphens/>
    </w:pPr>
  </w:style>
  <w:style w:type="character" w:customStyle="1" w:styleId="EquationCaption">
    <w:name w:val="_Equation Caption"/>
    <w:rsid w:val="0032122C"/>
  </w:style>
  <w:style w:type="paragraph" w:styleId="Header">
    <w:name w:val="header"/>
    <w:basedOn w:val="Normal"/>
    <w:autoRedefine/>
    <w:rsid w:val="0032122C"/>
    <w:pPr>
      <w:tabs>
        <w:tab w:val="center" w:pos="4680"/>
        <w:tab w:val="right" w:pos="9360"/>
      </w:tabs>
    </w:pPr>
    <w:rPr>
      <w:b/>
    </w:rPr>
  </w:style>
  <w:style w:type="paragraph" w:styleId="Footer">
    <w:name w:val="footer"/>
    <w:basedOn w:val="Normal"/>
    <w:link w:val="FooterChar"/>
    <w:uiPriority w:val="99"/>
    <w:rsid w:val="0032122C"/>
    <w:pPr>
      <w:tabs>
        <w:tab w:val="center" w:pos="4320"/>
        <w:tab w:val="right" w:pos="8640"/>
      </w:tabs>
    </w:pPr>
  </w:style>
  <w:style w:type="character" w:styleId="PageNumber">
    <w:name w:val="page number"/>
    <w:basedOn w:val="DefaultParagraphFont"/>
    <w:rsid w:val="0032122C"/>
  </w:style>
  <w:style w:type="paragraph" w:styleId="BlockText">
    <w:name w:val="Block Text"/>
    <w:basedOn w:val="Normal"/>
    <w:rsid w:val="0032122C"/>
    <w:pPr>
      <w:spacing w:after="240"/>
      <w:ind w:left="1440" w:right="1440"/>
    </w:pPr>
  </w:style>
  <w:style w:type="paragraph" w:customStyle="1" w:styleId="Paratitle">
    <w:name w:val="Para title"/>
    <w:basedOn w:val="Normal"/>
    <w:rsid w:val="0032122C"/>
    <w:pPr>
      <w:tabs>
        <w:tab w:val="center" w:pos="9270"/>
      </w:tabs>
      <w:spacing w:after="240"/>
    </w:pPr>
    <w:rPr>
      <w:spacing w:val="-2"/>
    </w:rPr>
  </w:style>
  <w:style w:type="paragraph" w:customStyle="1" w:styleId="Bullet">
    <w:name w:val="Bullet"/>
    <w:basedOn w:val="Normal"/>
    <w:rsid w:val="0032122C"/>
    <w:pPr>
      <w:tabs>
        <w:tab w:val="left" w:pos="2160"/>
      </w:tabs>
      <w:spacing w:after="220"/>
      <w:ind w:left="2160" w:hanging="720"/>
    </w:pPr>
  </w:style>
  <w:style w:type="paragraph" w:customStyle="1" w:styleId="TableFormat">
    <w:name w:val="TableFormat"/>
    <w:basedOn w:val="Bullet"/>
    <w:rsid w:val="0032122C"/>
    <w:pPr>
      <w:tabs>
        <w:tab w:val="clear" w:pos="2160"/>
        <w:tab w:val="left" w:pos="5040"/>
      </w:tabs>
      <w:ind w:left="5040" w:hanging="3600"/>
    </w:pPr>
  </w:style>
  <w:style w:type="paragraph" w:customStyle="1" w:styleId="TOCTitle">
    <w:name w:val="TOC Title"/>
    <w:basedOn w:val="Normal"/>
    <w:rsid w:val="0032122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2122C"/>
    <w:pPr>
      <w:jc w:val="center"/>
    </w:pPr>
    <w:rPr>
      <w:rFonts w:ascii="Times New Roman Bold" w:hAnsi="Times New Roman Bold"/>
      <w:b/>
      <w:bCs/>
      <w:caps/>
      <w:szCs w:val="22"/>
    </w:rPr>
  </w:style>
  <w:style w:type="character" w:styleId="Hyperlink">
    <w:name w:val="Hyperlink"/>
    <w:rsid w:val="0032122C"/>
    <w:rPr>
      <w:color w:val="0000FF"/>
      <w:u w:val="single"/>
    </w:rPr>
  </w:style>
  <w:style w:type="character" w:customStyle="1" w:styleId="FooterChar">
    <w:name w:val="Footer Char"/>
    <w:link w:val="Footer"/>
    <w:uiPriority w:val="99"/>
    <w:rsid w:val="0032122C"/>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UnresolvedMention">
    <w:name w:val="Unresolved Mention"/>
    <w:basedOn w:val="DefaultParagraphFont"/>
    <w:uiPriority w:val="99"/>
    <w:semiHidden/>
    <w:unhideWhenUsed/>
    <w:rsid w:val="001F250D"/>
    <w:rPr>
      <w:color w:val="605E5C"/>
      <w:shd w:val="clear" w:color="auto" w:fill="E1DFDD"/>
    </w:rPr>
  </w:style>
  <w:style w:type="character" w:customStyle="1" w:styleId="ParaNumChar1">
    <w:name w:val="ParaNum Char1"/>
    <w:link w:val="ParaNum"/>
    <w:locked/>
    <w:rsid w:val="001F250D"/>
    <w:rPr>
      <w:snapToGrid w:val="0"/>
      <w:kern w:val="28"/>
      <w:sz w:val="22"/>
    </w:rPr>
  </w:style>
  <w:style w:type="paragraph" w:styleId="ListParagraph">
    <w:name w:val="List Paragraph"/>
    <w:basedOn w:val="Normal"/>
    <w:uiPriority w:val="34"/>
    <w:qFormat/>
    <w:rsid w:val="00D40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yperlink" Target="mailto:Joyce.Bernstei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