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59439F" w:rsidRPr="00740838" w:rsidP="0059439F" w14:paraId="1E18C0B2" w14:textId="77777777">
      <w:pPr>
        <w:jc w:val="center"/>
        <w:rPr>
          <w:b/>
        </w:rPr>
      </w:pPr>
      <w:r w:rsidRPr="00740838">
        <w:rPr>
          <w:rFonts w:ascii="Times New Roman Bold" w:hAnsi="Times New Roman Bold"/>
          <w:b/>
          <w:kern w:val="0"/>
          <w:szCs w:val="22"/>
        </w:rPr>
        <w:t>Before</w:t>
      </w:r>
      <w:r w:rsidRPr="00740838">
        <w:rPr>
          <w:b/>
        </w:rPr>
        <w:t xml:space="preserve"> the</w:t>
      </w:r>
    </w:p>
    <w:p w:rsidR="0059439F" w:rsidRPr="00740838" w:rsidP="0059439F" w14:paraId="36A52CE1" w14:textId="77777777">
      <w:pPr>
        <w:pStyle w:val="StyleBoldCentered"/>
      </w:pPr>
      <w:r w:rsidRPr="00740838">
        <w:t>F</w:t>
      </w:r>
      <w:r w:rsidRPr="00740838">
        <w:rPr>
          <w:caps w:val="0"/>
        </w:rPr>
        <w:t>ederal Communications Commission</w:t>
      </w:r>
    </w:p>
    <w:p w:rsidR="0059439F" w:rsidRPr="00740838" w:rsidP="0059439F" w14:paraId="79B780C3" w14:textId="77777777">
      <w:pPr>
        <w:pStyle w:val="StyleBoldCentered"/>
      </w:pPr>
      <w:r w:rsidRPr="00740838">
        <w:rPr>
          <w:caps w:val="0"/>
        </w:rPr>
        <w:t>Washington, D.C. 20554</w:t>
      </w:r>
    </w:p>
    <w:p w:rsidR="0059439F" w:rsidRPr="00740838" w:rsidP="0059439F" w14:paraId="0FD3AE8E" w14:textId="77777777"/>
    <w:p w:rsidR="0059439F" w:rsidRPr="00740838" w:rsidP="0059439F" w14:paraId="46DC3ED9" w14:textId="77777777"/>
    <w:tbl>
      <w:tblPr>
        <w:tblW w:w="0" w:type="auto"/>
        <w:tblLayout w:type="fixed"/>
        <w:tblLook w:val="0000"/>
      </w:tblPr>
      <w:tblGrid>
        <w:gridCol w:w="4698"/>
        <w:gridCol w:w="630"/>
        <w:gridCol w:w="4248"/>
      </w:tblGrid>
      <w:tr w14:paraId="79F62177" w14:textId="77777777" w:rsidTr="00CC5881">
        <w:tblPrEx>
          <w:tblW w:w="0" w:type="auto"/>
          <w:tblLayout w:type="fixed"/>
          <w:tblLook w:val="0000"/>
        </w:tblPrEx>
        <w:tc>
          <w:tcPr>
            <w:tcW w:w="4698" w:type="dxa"/>
          </w:tcPr>
          <w:p w:rsidR="0059439F" w:rsidRPr="00740838" w:rsidP="00CC5881" w14:paraId="0A63ECB1" w14:textId="77777777">
            <w:pPr>
              <w:tabs>
                <w:tab w:val="center" w:pos="4680"/>
              </w:tabs>
              <w:suppressAutoHyphens/>
              <w:rPr>
                <w:spacing w:val="-2"/>
              </w:rPr>
            </w:pPr>
            <w:r w:rsidRPr="00740838">
              <w:rPr>
                <w:spacing w:val="-2"/>
              </w:rPr>
              <w:t xml:space="preserve">In the Matter of </w:t>
            </w:r>
          </w:p>
          <w:p w:rsidR="0059439F" w:rsidRPr="00740838" w:rsidP="00CC5881" w14:paraId="367BFE52" w14:textId="77777777">
            <w:pPr>
              <w:tabs>
                <w:tab w:val="center" w:pos="4680"/>
              </w:tabs>
              <w:suppressAutoHyphens/>
              <w:rPr>
                <w:spacing w:val="-2"/>
              </w:rPr>
            </w:pPr>
          </w:p>
          <w:p w:rsidR="0059439F" w:rsidP="00CC5881" w14:paraId="6AC202F8" w14:textId="77777777">
            <w:pPr>
              <w:tabs>
                <w:tab w:val="center" w:pos="4680"/>
              </w:tabs>
              <w:suppressAutoHyphens/>
              <w:rPr>
                <w:spacing w:val="-2"/>
              </w:rPr>
            </w:pPr>
            <w:r w:rsidRPr="00740838">
              <w:rPr>
                <w:spacing w:val="-2"/>
              </w:rPr>
              <w:t>Rural Health Care Support Mechanism</w:t>
            </w:r>
          </w:p>
          <w:p w:rsidR="00EF1A9E" w:rsidP="00CC5881" w14:paraId="797513A0" w14:textId="77777777">
            <w:pPr>
              <w:tabs>
                <w:tab w:val="center" w:pos="4680"/>
              </w:tabs>
              <w:suppressAutoHyphens/>
              <w:rPr>
                <w:spacing w:val="-2"/>
              </w:rPr>
            </w:pPr>
          </w:p>
          <w:p w:rsidR="00EF1A9E" w:rsidRPr="00740838" w:rsidP="00CC5881" w14:paraId="4DD85639" w14:textId="485FD773">
            <w:pPr>
              <w:tabs>
                <w:tab w:val="center" w:pos="4680"/>
              </w:tabs>
              <w:suppressAutoHyphens/>
              <w:rPr>
                <w:spacing w:val="-2"/>
              </w:rPr>
            </w:pPr>
            <w:r>
              <w:rPr>
                <w:spacing w:val="-2"/>
              </w:rPr>
              <w:t>Promoting Telehealth in Rural America</w:t>
            </w:r>
          </w:p>
        </w:tc>
        <w:tc>
          <w:tcPr>
            <w:tcW w:w="630" w:type="dxa"/>
          </w:tcPr>
          <w:p w:rsidR="0059439F" w:rsidRPr="00740838" w:rsidP="00CC5881" w14:paraId="7F7098A7" w14:textId="77777777">
            <w:pPr>
              <w:tabs>
                <w:tab w:val="center" w:pos="4680"/>
              </w:tabs>
              <w:suppressAutoHyphens/>
              <w:rPr>
                <w:b/>
                <w:spacing w:val="-2"/>
              </w:rPr>
            </w:pPr>
            <w:r w:rsidRPr="00740838">
              <w:rPr>
                <w:b/>
                <w:spacing w:val="-2"/>
              </w:rPr>
              <w:t>)</w:t>
            </w:r>
          </w:p>
          <w:p w:rsidR="0059439F" w:rsidRPr="00740838" w:rsidP="00CC5881" w14:paraId="1D9D379B" w14:textId="77777777">
            <w:pPr>
              <w:tabs>
                <w:tab w:val="center" w:pos="4680"/>
              </w:tabs>
              <w:suppressAutoHyphens/>
              <w:rPr>
                <w:b/>
                <w:spacing w:val="-2"/>
              </w:rPr>
            </w:pPr>
            <w:r w:rsidRPr="00740838">
              <w:rPr>
                <w:b/>
                <w:spacing w:val="-2"/>
              </w:rPr>
              <w:t>)</w:t>
            </w:r>
          </w:p>
          <w:p w:rsidR="0059439F" w:rsidRPr="00740838" w:rsidP="00CC5881" w14:paraId="336AEF61" w14:textId="77777777">
            <w:pPr>
              <w:tabs>
                <w:tab w:val="center" w:pos="4680"/>
              </w:tabs>
              <w:suppressAutoHyphens/>
              <w:rPr>
                <w:b/>
                <w:spacing w:val="-2"/>
              </w:rPr>
            </w:pPr>
            <w:r w:rsidRPr="00740838">
              <w:rPr>
                <w:b/>
                <w:spacing w:val="-2"/>
              </w:rPr>
              <w:t>)</w:t>
            </w:r>
          </w:p>
          <w:p w:rsidR="0059439F" w:rsidP="00CC5881" w14:paraId="286E2D50" w14:textId="33251910">
            <w:pPr>
              <w:tabs>
                <w:tab w:val="center" w:pos="4680"/>
              </w:tabs>
              <w:suppressAutoHyphens/>
              <w:rPr>
                <w:b/>
                <w:spacing w:val="-2"/>
              </w:rPr>
            </w:pPr>
            <w:r w:rsidRPr="00740838">
              <w:rPr>
                <w:b/>
                <w:spacing w:val="-2"/>
              </w:rPr>
              <w:t>)</w:t>
            </w:r>
          </w:p>
          <w:p w:rsidR="00EF1A9E" w:rsidP="00CC5881" w14:paraId="313F4751" w14:textId="15430F96">
            <w:pPr>
              <w:tabs>
                <w:tab w:val="center" w:pos="4680"/>
              </w:tabs>
              <w:suppressAutoHyphens/>
              <w:rPr>
                <w:b/>
                <w:spacing w:val="-2"/>
              </w:rPr>
            </w:pPr>
            <w:r>
              <w:rPr>
                <w:b/>
                <w:spacing w:val="-2"/>
              </w:rPr>
              <w:t>)</w:t>
            </w:r>
          </w:p>
          <w:p w:rsidR="0059439F" w:rsidRPr="00740838" w:rsidP="00CC5881" w14:paraId="25CD1E12" w14:textId="77777777">
            <w:pPr>
              <w:tabs>
                <w:tab w:val="center" w:pos="4680"/>
              </w:tabs>
              <w:suppressAutoHyphens/>
              <w:rPr>
                <w:b/>
                <w:spacing w:val="-2"/>
              </w:rPr>
            </w:pPr>
          </w:p>
        </w:tc>
        <w:tc>
          <w:tcPr>
            <w:tcW w:w="4248" w:type="dxa"/>
          </w:tcPr>
          <w:p w:rsidR="0059439F" w:rsidRPr="00740838" w:rsidP="00CC5881" w14:paraId="4907615E" w14:textId="77777777">
            <w:pPr>
              <w:tabs>
                <w:tab w:val="center" w:pos="4680"/>
              </w:tabs>
              <w:suppressAutoHyphens/>
              <w:rPr>
                <w:spacing w:val="-2"/>
              </w:rPr>
            </w:pPr>
          </w:p>
          <w:p w:rsidR="0059439F" w:rsidRPr="00740838" w:rsidP="00CC5881" w14:paraId="3B2F4245" w14:textId="77777777">
            <w:pPr>
              <w:pStyle w:val="TOAHeading"/>
              <w:tabs>
                <w:tab w:val="center" w:pos="4680"/>
                <w:tab w:val="clear" w:pos="9360"/>
              </w:tabs>
              <w:rPr>
                <w:spacing w:val="-2"/>
              </w:rPr>
            </w:pPr>
          </w:p>
          <w:p w:rsidR="0059439F" w:rsidP="00CC5881" w14:paraId="152196C6" w14:textId="77777777">
            <w:pPr>
              <w:tabs>
                <w:tab w:val="center" w:pos="4680"/>
              </w:tabs>
              <w:suppressAutoHyphens/>
              <w:rPr>
                <w:spacing w:val="-2"/>
              </w:rPr>
            </w:pPr>
            <w:r w:rsidRPr="00740838">
              <w:rPr>
                <w:spacing w:val="-2"/>
              </w:rPr>
              <w:t>WC Docket No. 02-60</w:t>
            </w:r>
          </w:p>
          <w:p w:rsidR="00EF1A9E" w:rsidP="00CC5881" w14:paraId="108F7DC5" w14:textId="77777777">
            <w:pPr>
              <w:tabs>
                <w:tab w:val="center" w:pos="4680"/>
              </w:tabs>
              <w:suppressAutoHyphens/>
              <w:rPr>
                <w:spacing w:val="-2"/>
              </w:rPr>
            </w:pPr>
          </w:p>
          <w:p w:rsidR="00EF1A9E" w:rsidRPr="00740838" w:rsidP="00CC5881" w14:paraId="1F0E12DB" w14:textId="0FE203B2">
            <w:pPr>
              <w:tabs>
                <w:tab w:val="center" w:pos="4680"/>
              </w:tabs>
              <w:suppressAutoHyphens/>
              <w:rPr>
                <w:spacing w:val="-2"/>
              </w:rPr>
            </w:pPr>
            <w:r>
              <w:rPr>
                <w:spacing w:val="-2"/>
              </w:rPr>
              <w:t>WC Docket No. 17-310</w:t>
            </w:r>
          </w:p>
        </w:tc>
      </w:tr>
    </w:tbl>
    <w:p w:rsidR="0059439F" w:rsidRPr="00740838" w:rsidP="0059439F" w14:paraId="1D80C10C" w14:textId="77777777">
      <w:pPr>
        <w:pStyle w:val="StyleBoldCentered"/>
      </w:pPr>
      <w:r w:rsidRPr="00740838">
        <w:t>order</w:t>
      </w:r>
    </w:p>
    <w:p w:rsidR="0059439F" w:rsidRPr="00740838" w:rsidP="0059439F" w14:paraId="6F7AA0BB" w14:textId="77777777">
      <w:pPr>
        <w:tabs>
          <w:tab w:val="left" w:pos="-720"/>
        </w:tabs>
        <w:suppressAutoHyphens/>
        <w:spacing w:line="227" w:lineRule="auto"/>
        <w:rPr>
          <w:spacing w:val="-2"/>
        </w:rPr>
      </w:pPr>
    </w:p>
    <w:p w:rsidR="0059439F" w:rsidRPr="00740838" w:rsidP="0059439F" w14:paraId="4E7508B0" w14:textId="6A4CBC4B">
      <w:pPr>
        <w:tabs>
          <w:tab w:val="left" w:pos="720"/>
          <w:tab w:val="right" w:pos="9360"/>
        </w:tabs>
        <w:suppressAutoHyphens/>
        <w:spacing w:line="227" w:lineRule="auto"/>
        <w:rPr>
          <w:spacing w:val="-2"/>
        </w:rPr>
      </w:pPr>
      <w:r w:rsidRPr="00740838">
        <w:rPr>
          <w:b/>
          <w:spacing w:val="-2"/>
        </w:rPr>
        <w:t xml:space="preserve">Adopted:  </w:t>
      </w:r>
      <w:r w:rsidRPr="00740838" w:rsidR="004C00D4">
        <w:rPr>
          <w:b/>
          <w:spacing w:val="-2"/>
        </w:rPr>
        <w:t xml:space="preserve">February </w:t>
      </w:r>
      <w:r w:rsidRPr="00D24486" w:rsidR="00D24486">
        <w:rPr>
          <w:b/>
          <w:spacing w:val="-2"/>
        </w:rPr>
        <w:t>12</w:t>
      </w:r>
      <w:r w:rsidRPr="00D24486" w:rsidR="004C00D4">
        <w:rPr>
          <w:b/>
          <w:spacing w:val="-2"/>
        </w:rPr>
        <w:t>,</w:t>
      </w:r>
      <w:r w:rsidRPr="00D24486">
        <w:rPr>
          <w:b/>
          <w:spacing w:val="-2"/>
        </w:rPr>
        <w:t xml:space="preserve"> 202</w:t>
      </w:r>
      <w:r w:rsidRPr="00D24486" w:rsidR="002536D3">
        <w:rPr>
          <w:b/>
          <w:spacing w:val="-2"/>
        </w:rPr>
        <w:t>1</w:t>
      </w:r>
      <w:r w:rsidRPr="00740838">
        <w:rPr>
          <w:b/>
          <w:spacing w:val="-2"/>
        </w:rPr>
        <w:tab/>
        <w:t xml:space="preserve">Released:  </w:t>
      </w:r>
      <w:r w:rsidRPr="00740838" w:rsidR="00A91B89">
        <w:rPr>
          <w:b/>
          <w:spacing w:val="-2"/>
        </w:rPr>
        <w:t>February</w:t>
      </w:r>
      <w:r w:rsidRPr="00740838">
        <w:rPr>
          <w:b/>
          <w:spacing w:val="-2"/>
        </w:rPr>
        <w:t xml:space="preserve"> </w:t>
      </w:r>
      <w:r w:rsidRPr="00D24486" w:rsidR="00D24486">
        <w:rPr>
          <w:b/>
          <w:spacing w:val="-2"/>
        </w:rPr>
        <w:t>12</w:t>
      </w:r>
      <w:r w:rsidRPr="00D24486">
        <w:rPr>
          <w:b/>
          <w:spacing w:val="-2"/>
        </w:rPr>
        <w:t>,</w:t>
      </w:r>
      <w:r w:rsidRPr="00740838">
        <w:rPr>
          <w:b/>
          <w:spacing w:val="-2"/>
        </w:rPr>
        <w:t xml:space="preserve"> 202</w:t>
      </w:r>
      <w:r w:rsidRPr="00740838" w:rsidR="002536D3">
        <w:rPr>
          <w:b/>
          <w:spacing w:val="-2"/>
        </w:rPr>
        <w:t>1</w:t>
      </w:r>
    </w:p>
    <w:p w:rsidR="0059439F" w:rsidRPr="00740838" w:rsidP="0059439F" w14:paraId="7ADB315C" w14:textId="77777777"/>
    <w:p w:rsidR="0059439F" w:rsidRPr="00740838" w:rsidP="0059439F" w14:paraId="46018611" w14:textId="77777777">
      <w:pPr>
        <w:rPr>
          <w:spacing w:val="-2"/>
        </w:rPr>
      </w:pPr>
      <w:r w:rsidRPr="00740838">
        <w:t xml:space="preserve">By the </w:t>
      </w:r>
      <w:r w:rsidRPr="00740838">
        <w:rPr>
          <w:spacing w:val="-2"/>
        </w:rPr>
        <w:t>Chief, Wireline Competition Bureau:</w:t>
      </w:r>
    </w:p>
    <w:p w:rsidR="0059439F" w:rsidRPr="00740838" w:rsidP="0059439F" w14:paraId="43810687" w14:textId="77777777">
      <w:pPr>
        <w:rPr>
          <w:spacing w:val="-2"/>
        </w:rPr>
      </w:pPr>
    </w:p>
    <w:p w:rsidR="0059439F" w:rsidRPr="00740838" w:rsidP="0059439F" w14:paraId="47E44667" w14:textId="77777777">
      <w:pPr>
        <w:pStyle w:val="Heading1"/>
      </w:pPr>
      <w:r w:rsidRPr="00740838">
        <w:t>Introduction</w:t>
      </w:r>
    </w:p>
    <w:p w:rsidR="00EF1A9E" w:rsidRPr="00740838" w:rsidP="00222D5B" w14:paraId="635213B1" w14:textId="6055D134">
      <w:pPr>
        <w:pStyle w:val="ParaNum"/>
      </w:pPr>
      <w:r>
        <w:t xml:space="preserve">In this </w:t>
      </w:r>
      <w:r w:rsidR="001B6574">
        <w:t>Order</w:t>
      </w:r>
      <w:r>
        <w:t xml:space="preserve">, </w:t>
      </w:r>
      <w:r w:rsidR="00ED1217">
        <w:t xml:space="preserve">the Wireline Competition Bureau (Bureau) </w:t>
      </w:r>
      <w:r>
        <w:t>waive</w:t>
      </w:r>
      <w:r w:rsidR="00ED1217">
        <w:t>s</w:t>
      </w:r>
      <w:r>
        <w:t xml:space="preserve"> section 54.621(a)(1) of the Commission’s rules and extend</w:t>
      </w:r>
      <w:r w:rsidR="00ED1217">
        <w:t>s</w:t>
      </w:r>
      <w:r>
        <w:t xml:space="preserve"> </w:t>
      </w:r>
      <w:r w:rsidR="009B5DD5">
        <w:t xml:space="preserve">the </w:t>
      </w:r>
      <w:r w:rsidR="00637694">
        <w:t xml:space="preserve">close of </w:t>
      </w:r>
      <w:r>
        <w:t xml:space="preserve">the funding year 2021 </w:t>
      </w:r>
      <w:bookmarkStart w:id="0" w:name="_Hlk64030738"/>
      <w:r>
        <w:t xml:space="preserve">application filing window for the Rural Health Care (RHC) Program </w:t>
      </w:r>
      <w:r w:rsidR="00637694">
        <w:t>until</w:t>
      </w:r>
      <w:r>
        <w:t xml:space="preserve"> June 1, 2021</w:t>
      </w:r>
      <w:bookmarkEnd w:id="0"/>
      <w:r>
        <w:t xml:space="preserve">.  </w:t>
      </w:r>
      <w:r w:rsidR="004451B6">
        <w:t>We find that a</w:t>
      </w:r>
      <w:r>
        <w:t>n extension of the application filing window for funding year 2021 is necessary i</w:t>
      </w:r>
      <w:r w:rsidRPr="00740838" w:rsidR="00CD54A5">
        <w:t>n light of the ongoing disruptions caused by the COVID-19 pandemic to program participants, the emergence of the more contagious new</w:t>
      </w:r>
      <w:r w:rsidRPr="00740838" w:rsidR="00222D5B">
        <w:t xml:space="preserve"> COVID-19</w:t>
      </w:r>
      <w:r w:rsidRPr="00740838" w:rsidR="00CD54A5">
        <w:t xml:space="preserve"> variants, and the overwhelming burden </w:t>
      </w:r>
      <w:r w:rsidRPr="00740838" w:rsidR="00222D5B">
        <w:t xml:space="preserve">placed </w:t>
      </w:r>
      <w:r w:rsidRPr="00740838" w:rsidR="00CD54A5">
        <w:t xml:space="preserve">on health care providers to </w:t>
      </w:r>
      <w:r w:rsidR="00357B80">
        <w:t>administer</w:t>
      </w:r>
      <w:r w:rsidRPr="00740838" w:rsidR="00357B80">
        <w:t xml:space="preserve"> </w:t>
      </w:r>
      <w:r w:rsidRPr="00740838" w:rsidR="00CD54A5">
        <w:t>COVID-19 testing and vaccines</w:t>
      </w:r>
      <w:r w:rsidR="00357B80">
        <w:t>.</w:t>
      </w:r>
    </w:p>
    <w:p w:rsidR="0059439F" w:rsidRPr="00740838" w:rsidP="0059439F" w14:paraId="5CF95B2E" w14:textId="77777777">
      <w:pPr>
        <w:pStyle w:val="Heading1"/>
      </w:pPr>
      <w:r w:rsidRPr="00740838">
        <w:t>background</w:t>
      </w:r>
    </w:p>
    <w:p w:rsidR="00B131D9" w:rsidRPr="00740838" w:rsidP="00916A96" w14:paraId="3D6F3986" w14:textId="4FA7F5E0">
      <w:pPr>
        <w:pStyle w:val="ParaNum"/>
      </w:pPr>
      <w:r w:rsidRPr="00740838">
        <w:t>The Commission’s RHC Program consists of two component programs: (1) the Telecommunications (Telecom) Program; and (2) the Healthcare Connect Fund</w:t>
      </w:r>
      <w:r w:rsidRPr="00740838" w:rsidR="005F3E6D">
        <w:t xml:space="preserve"> (HCF)</w:t>
      </w:r>
      <w:r w:rsidRPr="00740838">
        <w:t xml:space="preserve"> Program.</w:t>
      </w:r>
      <w:r>
        <w:rPr>
          <w:vertAlign w:val="superscript"/>
        </w:rPr>
        <w:footnoteReference w:id="3"/>
      </w:r>
      <w:r w:rsidRPr="00740838">
        <w:t xml:space="preserve"> </w:t>
      </w:r>
      <w:r w:rsidRPr="00740838" w:rsidR="009B264B">
        <w:t xml:space="preserve"> </w:t>
      </w:r>
      <w:r w:rsidRPr="00740838">
        <w:t xml:space="preserve">Eligible health care providers apply for support for eligible services by </w:t>
      </w:r>
      <w:r w:rsidR="000375DF">
        <w:t>submitting funding requests</w:t>
      </w:r>
      <w:r w:rsidRPr="00740838">
        <w:t xml:space="preserve"> </w:t>
      </w:r>
      <w:r w:rsidR="000375DF">
        <w:t xml:space="preserve">(an </w:t>
      </w:r>
      <w:r w:rsidRPr="00740838">
        <w:t>FCC Form 466 in the Telecom Program or an FCC Form 462 in the H</w:t>
      </w:r>
      <w:r w:rsidRPr="00740838" w:rsidR="005F3E6D">
        <w:t>CF</w:t>
      </w:r>
      <w:r w:rsidRPr="00740838">
        <w:t xml:space="preserve"> Program</w:t>
      </w:r>
      <w:r w:rsidR="000375DF">
        <w:t>)</w:t>
      </w:r>
      <w:r w:rsidRPr="00740838">
        <w:t xml:space="preserve"> </w:t>
      </w:r>
      <w:r w:rsidR="000375DF">
        <w:t>to</w:t>
      </w:r>
      <w:r w:rsidRPr="00740838">
        <w:t xml:space="preserve"> </w:t>
      </w:r>
      <w:r w:rsidR="00185E97">
        <w:t>the Universal Service Administrative Company (</w:t>
      </w:r>
      <w:r w:rsidRPr="00740838">
        <w:t>USAC</w:t>
      </w:r>
      <w:r w:rsidR="00185E97">
        <w:t>)</w:t>
      </w:r>
      <w:r w:rsidRPr="00740838">
        <w:t xml:space="preserve"> during </w:t>
      </w:r>
      <w:r w:rsidRPr="00740838" w:rsidR="009B264B">
        <w:t xml:space="preserve">an </w:t>
      </w:r>
      <w:r w:rsidRPr="00740838">
        <w:t>application filing window</w:t>
      </w:r>
      <w:r w:rsidRPr="00740838" w:rsidR="009B264B">
        <w:t>.</w:t>
      </w:r>
      <w:r>
        <w:rPr>
          <w:rStyle w:val="FootnoteReference"/>
        </w:rPr>
        <w:footnoteReference w:id="4"/>
      </w:r>
      <w:r w:rsidRPr="00740838" w:rsidR="009B264B">
        <w:t xml:space="preserve"> </w:t>
      </w:r>
      <w:r w:rsidRPr="00740838">
        <w:t xml:space="preserve"> </w:t>
      </w:r>
      <w:r w:rsidRPr="00740838" w:rsidR="008D59D4">
        <w:t xml:space="preserve">In the 2019 </w:t>
      </w:r>
      <w:r w:rsidRPr="00740838" w:rsidR="008D59D4">
        <w:rPr>
          <w:i/>
          <w:iCs/>
        </w:rPr>
        <w:t>Promoting Telehealth Report and Order</w:t>
      </w:r>
      <w:r w:rsidRPr="00740838" w:rsidR="008D59D4">
        <w:t>,</w:t>
      </w:r>
      <w:r w:rsidRPr="00740838" w:rsidR="008D59D4">
        <w:rPr>
          <w:i/>
          <w:iCs/>
        </w:rPr>
        <w:t xml:space="preserve"> </w:t>
      </w:r>
      <w:r w:rsidRPr="00740838" w:rsidR="008D59D4">
        <w:t>the Commission revised its application filing window</w:t>
      </w:r>
      <w:r w:rsidRPr="00740838" w:rsidR="00BF11D0">
        <w:t xml:space="preserve"> rules </w:t>
      </w:r>
      <w:r w:rsidRPr="00740838">
        <w:t xml:space="preserve">that take effect in </w:t>
      </w:r>
      <w:r w:rsidR="00EF1A9E">
        <w:t>funding year</w:t>
      </w:r>
      <w:r w:rsidRPr="00740838">
        <w:t xml:space="preserve"> 2021.</w:t>
      </w:r>
      <w:r>
        <w:rPr>
          <w:rStyle w:val="FootnoteReference"/>
        </w:rPr>
        <w:footnoteReference w:id="5"/>
      </w:r>
    </w:p>
    <w:p w:rsidR="00B516E4" w:rsidRPr="00646730" w:rsidP="00FF1959" w14:paraId="3FBEA2C6" w14:textId="511BFDE8">
      <w:pPr>
        <w:pStyle w:val="ParaNum"/>
        <w:rPr>
          <w:rFonts w:eastAsia="Calibri"/>
        </w:rPr>
      </w:pPr>
      <w:r w:rsidRPr="00740838">
        <w:t xml:space="preserve">Beginning in </w:t>
      </w:r>
      <w:r w:rsidR="00EF1A9E">
        <w:t>funding year</w:t>
      </w:r>
      <w:r w:rsidRPr="00740838">
        <w:t xml:space="preserve"> 2021, </w:t>
      </w:r>
      <w:r w:rsidR="00D805CC">
        <w:t xml:space="preserve">section 54.621(a)(1) of our rules requires </w:t>
      </w:r>
      <w:r w:rsidRPr="00740838" w:rsidR="00E03E93">
        <w:t xml:space="preserve">USAC </w:t>
      </w:r>
      <w:r w:rsidR="00D805CC">
        <w:t>to</w:t>
      </w:r>
      <w:r w:rsidRPr="00740838" w:rsidR="00E03E93">
        <w:t xml:space="preserve"> </w:t>
      </w:r>
      <w:r w:rsidRPr="00740838" w:rsidR="001C259C">
        <w:t xml:space="preserve">open </w:t>
      </w:r>
      <w:r w:rsidRPr="00740838">
        <w:t>an initial application filing window with an end date no later than 90 days prior to the start of the funding year (i.e., no later than April 1).</w:t>
      </w:r>
      <w:r>
        <w:rPr>
          <w:rStyle w:val="FootnoteReference"/>
        </w:rPr>
        <w:footnoteReference w:id="6"/>
      </w:r>
      <w:r w:rsidRPr="00740838" w:rsidR="006A5A29">
        <w:t xml:space="preserve">  </w:t>
      </w:r>
      <w:r w:rsidRPr="00740838" w:rsidR="00CE2981">
        <w:t xml:space="preserve">The Commission established the </w:t>
      </w:r>
      <w:r w:rsidRPr="00740838" w:rsidR="00CA640F">
        <w:t xml:space="preserve">requirement of the </w:t>
      </w:r>
      <w:r w:rsidRPr="00740838" w:rsidR="00CE2981">
        <w:t>April 1 end date</w:t>
      </w:r>
      <w:r w:rsidRPr="00740838" w:rsidR="00CA640F">
        <w:t xml:space="preserve"> </w:t>
      </w:r>
      <w:r w:rsidR="004C2672">
        <w:t>for</w:t>
      </w:r>
      <w:r w:rsidRPr="00740838" w:rsidR="004C2672">
        <w:t xml:space="preserve"> </w:t>
      </w:r>
      <w:r w:rsidRPr="00740838" w:rsidR="00CE2981">
        <w:t xml:space="preserve">the initial application filing window </w:t>
      </w:r>
      <w:bookmarkStart w:id="1" w:name="_Hlk63793392"/>
      <w:r w:rsidRPr="00740838" w:rsidR="00CE2981">
        <w:t xml:space="preserve">to </w:t>
      </w:r>
      <w:r w:rsidRPr="00646730" w:rsidR="00CE2981">
        <w:rPr>
          <w:rFonts w:eastAsia="Calibri"/>
        </w:rPr>
        <w:t xml:space="preserve">provide more certainty to applicants by </w:t>
      </w:r>
      <w:r w:rsidRPr="00646730">
        <w:rPr>
          <w:rFonts w:eastAsia="Calibri"/>
        </w:rPr>
        <w:t xml:space="preserve">creating a </w:t>
      </w:r>
      <w:r w:rsidR="00A200D0">
        <w:rPr>
          <w:rFonts w:eastAsia="Calibri"/>
        </w:rPr>
        <w:t>consistent</w:t>
      </w:r>
      <w:r w:rsidRPr="00646730">
        <w:rPr>
          <w:rFonts w:eastAsia="Calibri"/>
        </w:rPr>
        <w:t xml:space="preserve"> application filing window close date each year,</w:t>
      </w:r>
      <w:r w:rsidRPr="00646730" w:rsidR="00CE2981">
        <w:rPr>
          <w:rFonts w:eastAsia="Calibri"/>
        </w:rPr>
        <w:t xml:space="preserve"> to give </w:t>
      </w:r>
      <w:r w:rsidRPr="00646730">
        <w:rPr>
          <w:rFonts w:eastAsia="Calibri"/>
        </w:rPr>
        <w:t>USAC</w:t>
      </w:r>
      <w:r w:rsidRPr="00646730" w:rsidR="00CE2981">
        <w:rPr>
          <w:rFonts w:eastAsia="Calibri"/>
        </w:rPr>
        <w:t xml:space="preserve"> time to begin processing submitted RHC Program applications </w:t>
      </w:r>
      <w:r w:rsidRPr="00646730">
        <w:rPr>
          <w:rFonts w:eastAsia="Calibri"/>
        </w:rPr>
        <w:t xml:space="preserve">before the funding year begins, </w:t>
      </w:r>
      <w:r w:rsidRPr="00646730" w:rsidR="00CE2981">
        <w:rPr>
          <w:rFonts w:eastAsia="Calibri"/>
        </w:rPr>
        <w:t xml:space="preserve">and </w:t>
      </w:r>
      <w:r w:rsidR="00DC60C4">
        <w:rPr>
          <w:rFonts w:eastAsia="Calibri"/>
        </w:rPr>
        <w:t>to give</w:t>
      </w:r>
      <w:r w:rsidRPr="00646730" w:rsidR="00DC60C4">
        <w:rPr>
          <w:rFonts w:eastAsia="Calibri"/>
        </w:rPr>
        <w:t xml:space="preserve"> </w:t>
      </w:r>
      <w:r w:rsidRPr="00646730">
        <w:rPr>
          <w:rFonts w:eastAsia="Calibri"/>
        </w:rPr>
        <w:t xml:space="preserve">USAC </w:t>
      </w:r>
      <w:r w:rsidRPr="00646730" w:rsidR="00CE2981">
        <w:rPr>
          <w:rFonts w:eastAsia="Calibri"/>
        </w:rPr>
        <w:t xml:space="preserve">sufficient time to publish a gross </w:t>
      </w:r>
      <w:r w:rsidRPr="00646730" w:rsidR="00CE2981">
        <w:rPr>
          <w:rFonts w:eastAsia="Calibri"/>
        </w:rPr>
        <w:t>demand estimate prior to the start of the funding year</w:t>
      </w:r>
      <w:bookmarkEnd w:id="1"/>
      <w:r w:rsidRPr="00646730" w:rsidR="00CE2981">
        <w:rPr>
          <w:rFonts w:eastAsia="Calibri"/>
        </w:rPr>
        <w:t>.</w:t>
      </w:r>
      <w:r>
        <w:rPr>
          <w:rStyle w:val="FootnoteReference"/>
          <w:rFonts w:eastAsia="Calibri"/>
        </w:rPr>
        <w:footnoteReference w:id="7"/>
      </w:r>
      <w:r w:rsidRPr="00646730" w:rsidR="00CE2981">
        <w:rPr>
          <w:rFonts w:eastAsia="Calibri"/>
        </w:rPr>
        <w:t xml:space="preserve">  </w:t>
      </w:r>
      <w:bookmarkStart w:id="2" w:name="_Hlk64022067"/>
      <w:r w:rsidRPr="00646730" w:rsidR="00CD15D0">
        <w:rPr>
          <w:rFonts w:eastAsia="Calibri"/>
        </w:rPr>
        <w:t>In establishing a</w:t>
      </w:r>
      <w:r w:rsidR="00D87C88">
        <w:rPr>
          <w:rFonts w:eastAsia="Calibri"/>
        </w:rPr>
        <w:t xml:space="preserve"> consistent </w:t>
      </w:r>
      <w:r w:rsidRPr="00646730" w:rsidR="00CD15D0">
        <w:rPr>
          <w:rFonts w:eastAsia="Calibri"/>
        </w:rPr>
        <w:t xml:space="preserve">application </w:t>
      </w:r>
      <w:bookmarkEnd w:id="2"/>
      <w:r w:rsidRPr="00646730" w:rsidR="00CD15D0">
        <w:rPr>
          <w:rFonts w:eastAsia="Calibri"/>
        </w:rPr>
        <w:t xml:space="preserve">filing window close </w:t>
      </w:r>
      <w:r w:rsidR="00D87C88">
        <w:rPr>
          <w:rFonts w:eastAsia="Calibri"/>
        </w:rPr>
        <w:t>each year</w:t>
      </w:r>
      <w:r w:rsidRPr="00646730" w:rsidR="00CD15D0">
        <w:rPr>
          <w:rFonts w:eastAsia="Calibri"/>
        </w:rPr>
        <w:t xml:space="preserve">, the Commission also directed USAC to publish a gross demand estimate </w:t>
      </w:r>
      <w:r w:rsidRPr="00740838" w:rsidR="00CD15D0">
        <w:t xml:space="preserve">30 days </w:t>
      </w:r>
      <w:r w:rsidR="00CD15D0">
        <w:t>before</w:t>
      </w:r>
      <w:r w:rsidRPr="00740838" w:rsidR="00CD15D0">
        <w:t xml:space="preserve"> the start of the </w:t>
      </w:r>
      <w:r w:rsidR="00CD15D0">
        <w:t>applicable</w:t>
      </w:r>
      <w:r w:rsidRPr="00740838" w:rsidR="00CD15D0">
        <w:t xml:space="preserve"> funding year </w:t>
      </w:r>
      <w:r w:rsidR="00CD15D0">
        <w:t xml:space="preserve">and allowed </w:t>
      </w:r>
      <w:r w:rsidRPr="00646730" w:rsidR="00CD15D0">
        <w:rPr>
          <w:rFonts w:eastAsia="Calibri"/>
        </w:rPr>
        <w:t xml:space="preserve">the Bureau </w:t>
      </w:r>
      <w:r w:rsidRPr="00740838" w:rsidR="00CD15D0">
        <w:t>to require a demand estimate to be filed at a different time if warranted by new circumstances.</w:t>
      </w:r>
      <w:r>
        <w:rPr>
          <w:rStyle w:val="FootnoteReference"/>
        </w:rPr>
        <w:footnoteReference w:id="8"/>
      </w:r>
      <w:r w:rsidR="008B32B0">
        <w:t xml:space="preserve">  On July 1, 2020</w:t>
      </w:r>
      <w:r w:rsidR="00495A8A">
        <w:t>,</w:t>
      </w:r>
      <w:r w:rsidR="008B32B0">
        <w:t xml:space="preserve"> USAC announced that the funding year 2021 application filing window would close on April 1, 2021.</w:t>
      </w:r>
      <w:r>
        <w:rPr>
          <w:rStyle w:val="FootnoteReference"/>
        </w:rPr>
        <w:footnoteReference w:id="9"/>
      </w:r>
      <w:r w:rsidR="008B32B0">
        <w:t xml:space="preserve">  </w:t>
      </w:r>
    </w:p>
    <w:p w:rsidR="005A0819" w:rsidRPr="00740838" w:rsidP="00445248" w14:paraId="5EDC46E3" w14:textId="44D95CD9">
      <w:pPr>
        <w:pStyle w:val="ParaNum"/>
      </w:pPr>
      <w:r w:rsidRPr="00740838">
        <w:t>In March 2020, t</w:t>
      </w:r>
      <w:r w:rsidRPr="00740838" w:rsidR="007D1521">
        <w:t xml:space="preserve">he Bureau extended the </w:t>
      </w:r>
      <w:r w:rsidRPr="00740838" w:rsidR="00DF6453">
        <w:t xml:space="preserve">RHC Program </w:t>
      </w:r>
      <w:r w:rsidR="00EF1A9E">
        <w:t>funding year</w:t>
      </w:r>
      <w:r w:rsidRPr="00740838" w:rsidR="007D1521">
        <w:t xml:space="preserve"> 2020 application filing window</w:t>
      </w:r>
      <w:r w:rsidR="00375D28">
        <w:t xml:space="preserve"> until June 30, 2020,</w:t>
      </w:r>
      <w:r w:rsidRPr="00740838" w:rsidR="00DF6453">
        <w:t xml:space="preserve"> </w:t>
      </w:r>
      <w:r w:rsidRPr="00740838" w:rsidR="007D1521">
        <w:t>as</w:t>
      </w:r>
      <w:r w:rsidRPr="00740838" w:rsidR="004B2F04">
        <w:t xml:space="preserve"> the</w:t>
      </w:r>
      <w:r w:rsidRPr="00740838" w:rsidR="00DF6453">
        <w:t xml:space="preserve"> </w:t>
      </w:r>
      <w:r w:rsidRPr="00740838" w:rsidR="007D1521">
        <w:t xml:space="preserve">COVID-19 </w:t>
      </w:r>
      <w:r w:rsidRPr="00740838" w:rsidR="004B2F04">
        <w:t xml:space="preserve">outbreak </w:t>
      </w:r>
      <w:r w:rsidRPr="00740838" w:rsidR="007D1521">
        <w:t xml:space="preserve">rapidly spread </w:t>
      </w:r>
      <w:r w:rsidRPr="00740838" w:rsidR="008D6ECF">
        <w:t>nationwide</w:t>
      </w:r>
      <w:r w:rsidRPr="00740838" w:rsidR="007D1521">
        <w:t xml:space="preserve"> and </w:t>
      </w:r>
      <w:r w:rsidRPr="00740838" w:rsidR="00A23B70">
        <w:t>caused</w:t>
      </w:r>
      <w:r w:rsidRPr="00740838" w:rsidR="00F111E2">
        <w:t xml:space="preserve"> significant</w:t>
      </w:r>
      <w:r w:rsidRPr="00740838" w:rsidR="00A23B70">
        <w:t xml:space="preserve"> disruptions to health care providers.</w:t>
      </w:r>
      <w:r>
        <w:rPr>
          <w:rStyle w:val="FootnoteReference"/>
        </w:rPr>
        <w:footnoteReference w:id="10"/>
      </w:r>
      <w:r w:rsidRPr="00740838" w:rsidR="00052A83">
        <w:t xml:space="preserve"> </w:t>
      </w:r>
      <w:r w:rsidRPr="00740838" w:rsidR="00F111E2">
        <w:t xml:space="preserve"> </w:t>
      </w:r>
      <w:r w:rsidRPr="00740838" w:rsidR="008D6ECF">
        <w:t>Today, a</w:t>
      </w:r>
      <w:r w:rsidRPr="00740838" w:rsidR="00445248">
        <w:t>lmost a year later,</w:t>
      </w:r>
      <w:r w:rsidRPr="00740838" w:rsidR="00484B18">
        <w:t xml:space="preserve"> as</w:t>
      </w:r>
      <w:r w:rsidRPr="00740838" w:rsidR="00AA0615">
        <w:t xml:space="preserve"> the </w:t>
      </w:r>
      <w:r w:rsidRPr="00740838" w:rsidR="00445248">
        <w:t>more contagious new COVID-19 variant</w:t>
      </w:r>
      <w:r w:rsidR="00B516E4">
        <w:t>s</w:t>
      </w:r>
      <w:r w:rsidRPr="00740838" w:rsidR="00445248">
        <w:t xml:space="preserve"> emerge</w:t>
      </w:r>
      <w:r w:rsidRPr="00740838" w:rsidR="008D6ECF">
        <w:t xml:space="preserve"> and spread into many states in the U.S.</w:t>
      </w:r>
      <w:r w:rsidRPr="00740838" w:rsidR="00484B18">
        <w:t>,</w:t>
      </w:r>
      <w:r>
        <w:rPr>
          <w:rStyle w:val="FootnoteReference"/>
        </w:rPr>
        <w:footnoteReference w:id="11"/>
      </w:r>
      <w:r w:rsidRPr="00740838" w:rsidR="00484B18">
        <w:t xml:space="preserve"> health care providers</w:t>
      </w:r>
      <w:r w:rsidRPr="00740838" w:rsidR="006A7461">
        <w:t xml:space="preserve"> </w:t>
      </w:r>
      <w:r w:rsidRPr="00740838" w:rsidR="00484B18">
        <w:t>continue to face extreme challenges, including the increasing demand for COVID-19 testing</w:t>
      </w:r>
      <w:r w:rsidR="00804049">
        <w:t>, and the administration of vaccines</w:t>
      </w:r>
      <w:r w:rsidRPr="00740838" w:rsidR="006A7461">
        <w:t>.</w:t>
      </w:r>
      <w:r>
        <w:rPr>
          <w:rStyle w:val="FootnoteReference"/>
        </w:rPr>
        <w:footnoteReference w:id="12"/>
      </w:r>
      <w:r w:rsidRPr="00740838" w:rsidR="006A7461">
        <w:t xml:space="preserve">  </w:t>
      </w:r>
      <w:r w:rsidR="00441215">
        <w:t xml:space="preserve">RHC Program participants </w:t>
      </w:r>
      <w:r w:rsidR="00E84008">
        <w:t xml:space="preserve">have </w:t>
      </w:r>
      <w:r w:rsidR="00441215">
        <w:t>indicated that a delay of the close of the application filing window would</w:t>
      </w:r>
      <w:r w:rsidR="0043464D">
        <w:t xml:space="preserve"> help them address these challenges</w:t>
      </w:r>
      <w:r w:rsidR="00F86700">
        <w:t>.</w:t>
      </w:r>
      <w:r>
        <w:rPr>
          <w:rStyle w:val="FootnoteReference"/>
        </w:rPr>
        <w:footnoteReference w:id="13"/>
      </w:r>
      <w:r w:rsidRPr="00740838">
        <w:t xml:space="preserve"> </w:t>
      </w:r>
      <w:r w:rsidRPr="00740838" w:rsidR="001F7DF5">
        <w:t xml:space="preserve"> </w:t>
      </w:r>
      <w:r w:rsidRPr="00740838" w:rsidR="00EF47C4">
        <w:t xml:space="preserve"> </w:t>
      </w:r>
    </w:p>
    <w:p w:rsidR="0059439F" w:rsidRPr="00740838" w:rsidP="0059439F" w14:paraId="2F2E20D6" w14:textId="77777777">
      <w:pPr>
        <w:pStyle w:val="Heading1"/>
      </w:pPr>
      <w:r w:rsidRPr="00740838">
        <w:t>discussion</w:t>
      </w:r>
    </w:p>
    <w:p w:rsidR="00CC5CD9" w:rsidRPr="00740838" w14:paraId="40825CE3" w14:textId="7430E8A2">
      <w:pPr>
        <w:pStyle w:val="ParaNum"/>
      </w:pPr>
      <w:r w:rsidRPr="00740838">
        <w:t xml:space="preserve">We waive </w:t>
      </w:r>
      <w:r w:rsidRPr="00740838" w:rsidR="00487FEE">
        <w:t>section 54.621(a)(1) of the Commission’s rules</w:t>
      </w:r>
      <w:r w:rsidR="00487FEE">
        <w:t>,</w:t>
      </w:r>
      <w:r>
        <w:rPr>
          <w:rStyle w:val="FootnoteReference"/>
        </w:rPr>
        <w:footnoteReference w:id="14"/>
      </w:r>
      <w:r w:rsidRPr="00740838" w:rsidR="00487FEE">
        <w:t xml:space="preserve"> </w:t>
      </w:r>
      <w:r w:rsidR="00487FEE">
        <w:t>which requires that the RHC Program application filing window close</w:t>
      </w:r>
      <w:r w:rsidR="0085548F">
        <w:t xml:space="preserve"> no later than</w:t>
      </w:r>
      <w:r w:rsidR="00487FEE">
        <w:t xml:space="preserve"> </w:t>
      </w:r>
      <w:r w:rsidRPr="00740838">
        <w:t xml:space="preserve">April 1 </w:t>
      </w:r>
      <w:r w:rsidR="00487FEE">
        <w:t xml:space="preserve">and </w:t>
      </w:r>
      <w:r w:rsidRPr="00740838" w:rsidR="001E5CEB">
        <w:t xml:space="preserve">direct USAC to extend the end date of the </w:t>
      </w:r>
      <w:r w:rsidR="00EF1A9E">
        <w:t>funding year</w:t>
      </w:r>
      <w:r w:rsidRPr="00740838" w:rsidR="00FF1119">
        <w:t xml:space="preserve"> 2021 </w:t>
      </w:r>
      <w:r w:rsidRPr="00740838" w:rsidR="001E5CEB">
        <w:t xml:space="preserve">initial filing window to June 1, 2021. </w:t>
      </w:r>
      <w:r w:rsidRPr="00740838" w:rsidR="00A319F3">
        <w:t xml:space="preserve"> </w:t>
      </w:r>
      <w:r w:rsidRPr="00740838" w:rsidR="00A07A60">
        <w:t xml:space="preserve">Generally, the Commission’s rules may be </w:t>
      </w:r>
      <w:r w:rsidRPr="00740838" w:rsidR="00A07A60">
        <w:t>waived for good cause shown.</w:t>
      </w:r>
      <w:r>
        <w:rPr>
          <w:sz w:val="20"/>
          <w:vertAlign w:val="superscript"/>
        </w:rPr>
        <w:footnoteReference w:id="15"/>
      </w:r>
      <w:r w:rsidRPr="00740838" w:rsidR="00A07A60">
        <w:t xml:space="preserve">  The Commission may exercise its discretion to waive a rule where the </w:t>
      </w:r>
      <w:bookmarkStart w:id="8" w:name="_GoBack"/>
      <w:bookmarkEnd w:id="8"/>
      <w:r w:rsidRPr="00740838" w:rsidR="00A07A60">
        <w:t>particular facts make strict compliance inconsistent with the public interest.</w:t>
      </w:r>
      <w:r>
        <w:rPr>
          <w:sz w:val="20"/>
          <w:vertAlign w:val="superscript"/>
        </w:rPr>
        <w:footnoteReference w:id="16"/>
      </w:r>
      <w:r w:rsidRPr="00740838" w:rsidR="00A07A60">
        <w:t xml:space="preserve">  In addition, the Commission may take into account considerations of hardship, equity, or more effective implementation of overall policy.</w:t>
      </w:r>
      <w:r>
        <w:rPr>
          <w:sz w:val="20"/>
          <w:vertAlign w:val="superscript"/>
        </w:rPr>
        <w:footnoteReference w:id="17"/>
      </w:r>
      <w:r w:rsidRPr="00740838" w:rsidR="00A07A60">
        <w:t xml:space="preserve">  </w:t>
      </w:r>
      <w:r w:rsidRPr="00740838">
        <w:t xml:space="preserve">We find that the persistent and prolonged nature of the COVID-19 pandemic, the emergence of the more contagious new variants, and the overwhelming burden </w:t>
      </w:r>
      <w:r w:rsidR="006878B1">
        <w:t xml:space="preserve">placed on health care providers in </w:t>
      </w:r>
      <w:r w:rsidR="002E0967">
        <w:t xml:space="preserve">administering </w:t>
      </w:r>
      <w:r w:rsidRPr="00740838">
        <w:t xml:space="preserve">COVID-19 testing and vaccines present compelling and unique circumstances that merit </w:t>
      </w:r>
      <w:r w:rsidR="001C7DD4">
        <w:t xml:space="preserve">a waiver of section 54.621(a)(1) and </w:t>
      </w:r>
      <w:r w:rsidR="00486406">
        <w:t>an extension of the application filing deadline</w:t>
      </w:r>
      <w:r w:rsidRPr="00740838">
        <w:t xml:space="preserve">.  </w:t>
      </w:r>
    </w:p>
    <w:p w:rsidR="00487FEE" w:rsidRPr="00FF1959" w:rsidP="00EF68D8" w14:paraId="2C422576" w14:textId="385E9709">
      <w:pPr>
        <w:pStyle w:val="ParaNum"/>
        <w:rPr>
          <w:rFonts w:eastAsia="Calibri"/>
        </w:rPr>
      </w:pPr>
      <w:r>
        <w:t>T</w:t>
      </w:r>
      <w:r w:rsidRPr="00740838" w:rsidR="0062572D">
        <w:t xml:space="preserve">he Commission established </w:t>
      </w:r>
      <w:r w:rsidR="0081423D">
        <w:t>a consistent application filing window close</w:t>
      </w:r>
      <w:r w:rsidRPr="00740838" w:rsidR="0062572D">
        <w:t xml:space="preserve"> in section 54.621(a)(1) of the Commission’s rule</w:t>
      </w:r>
      <w:r w:rsidR="00434282">
        <w:t>s</w:t>
      </w:r>
      <w:r w:rsidRPr="00740838" w:rsidR="0062572D">
        <w:t xml:space="preserve"> to </w:t>
      </w:r>
      <w:r w:rsidRPr="00487FEE">
        <w:t xml:space="preserve">provide more certainty to applicants by creating a </w:t>
      </w:r>
      <w:r w:rsidR="0004315B">
        <w:t>consistent</w:t>
      </w:r>
      <w:r w:rsidRPr="00487FEE">
        <w:t xml:space="preserve"> application filing window close date each year, to give USAC time to begin processing submitted RHC Program applications before the funding year begins, and </w:t>
      </w:r>
      <w:r w:rsidR="00BC5149">
        <w:t xml:space="preserve">to </w:t>
      </w:r>
      <w:r w:rsidRPr="00487FEE">
        <w:t>allow USAC sufficient time to publish a gross demand estimate prior to the start of the funding year</w:t>
      </w:r>
      <w:r w:rsidR="003A2BD3">
        <w:t>.</w:t>
      </w:r>
      <w:r>
        <w:rPr>
          <w:rStyle w:val="FootnoteReference"/>
          <w:rFonts w:eastAsia="Calibri"/>
        </w:rPr>
        <w:footnoteReference w:id="18"/>
      </w:r>
      <w:r w:rsidRPr="00740838" w:rsidR="00CC5CD9">
        <w:rPr>
          <w:rFonts w:eastAsia="Calibri"/>
        </w:rPr>
        <w:t xml:space="preserve">  While establishing an </w:t>
      </w:r>
      <w:r w:rsidR="00C35FD9">
        <w:rPr>
          <w:rFonts w:eastAsia="Calibri"/>
        </w:rPr>
        <w:t>application</w:t>
      </w:r>
      <w:r w:rsidRPr="00740838" w:rsidR="00CC5CD9">
        <w:rPr>
          <w:rFonts w:eastAsia="Calibri"/>
        </w:rPr>
        <w:t xml:space="preserve"> filing window end date sufficiently far in advance of the start of the funding year may provide </w:t>
      </w:r>
      <w:r w:rsidR="00BC5149">
        <w:rPr>
          <w:rFonts w:eastAsia="Calibri"/>
        </w:rPr>
        <w:t>these</w:t>
      </w:r>
      <w:r w:rsidRPr="00740838" w:rsidR="00BC5149">
        <w:rPr>
          <w:rFonts w:eastAsia="Calibri"/>
        </w:rPr>
        <w:t xml:space="preserve"> </w:t>
      </w:r>
      <w:r w:rsidRPr="00740838" w:rsidR="00CC5CD9">
        <w:rPr>
          <w:rFonts w:eastAsia="Calibri"/>
        </w:rPr>
        <w:t xml:space="preserve">benefits, the COVID-19 pandemic has presented </w:t>
      </w:r>
      <w:r w:rsidR="00CF325B">
        <w:rPr>
          <w:rFonts w:eastAsia="Calibri"/>
        </w:rPr>
        <w:t>unique</w:t>
      </w:r>
      <w:r w:rsidR="00BA1F72">
        <w:rPr>
          <w:rFonts w:eastAsia="Calibri"/>
        </w:rPr>
        <w:t xml:space="preserve"> and evolving</w:t>
      </w:r>
      <w:r w:rsidRPr="00740838" w:rsidR="00CC5CD9">
        <w:rPr>
          <w:rFonts w:eastAsia="Calibri"/>
        </w:rPr>
        <w:t xml:space="preserve"> challenge</w:t>
      </w:r>
      <w:r w:rsidR="00BA1F72">
        <w:rPr>
          <w:rFonts w:eastAsia="Calibri"/>
        </w:rPr>
        <w:t>s</w:t>
      </w:r>
      <w:r w:rsidRPr="00740838" w:rsidR="00CC5CD9">
        <w:rPr>
          <w:rFonts w:eastAsia="Calibri"/>
        </w:rPr>
        <w:t xml:space="preserve"> that was unforeseen when the new application filing window rules were adopted in 2019.</w:t>
      </w:r>
      <w:r w:rsidR="00BA1F72">
        <w:rPr>
          <w:rFonts w:eastAsia="Calibri"/>
        </w:rPr>
        <w:t xml:space="preserve">  Those challenges were dire last year, when the </w:t>
      </w:r>
      <w:r>
        <w:rPr>
          <w:rFonts w:eastAsia="Calibri"/>
        </w:rPr>
        <w:t>B</w:t>
      </w:r>
      <w:r w:rsidR="00BA1F72">
        <w:rPr>
          <w:rFonts w:eastAsia="Calibri"/>
        </w:rPr>
        <w:t>ureau issued a waiver to extend the 2020 initial filing window;</w:t>
      </w:r>
      <w:r>
        <w:rPr>
          <w:rStyle w:val="FootnoteReference"/>
          <w:rFonts w:eastAsia="Calibri"/>
        </w:rPr>
        <w:footnoteReference w:id="19"/>
      </w:r>
      <w:r w:rsidR="00BA1F72">
        <w:rPr>
          <w:rFonts w:eastAsia="Calibri"/>
        </w:rPr>
        <w:t xml:space="preserve"> and they remain at least as </w:t>
      </w:r>
      <w:r w:rsidR="0029077F">
        <w:rPr>
          <w:rFonts w:eastAsia="Calibri"/>
        </w:rPr>
        <w:t>exigent</w:t>
      </w:r>
      <w:r w:rsidR="00BA1F72">
        <w:rPr>
          <w:rFonts w:eastAsia="Calibri"/>
        </w:rPr>
        <w:t xml:space="preserve"> today with respect to the initial filing window for 2021.</w:t>
      </w:r>
      <w:r>
        <w:rPr>
          <w:rStyle w:val="FootnoteReference"/>
          <w:rFonts w:eastAsia="Calibri"/>
        </w:rPr>
        <w:footnoteReference w:id="20"/>
      </w:r>
      <w:r w:rsidRPr="00740838" w:rsidR="00CC5CD9">
        <w:rPr>
          <w:rFonts w:eastAsia="Calibri"/>
        </w:rPr>
        <w:t xml:space="preserve">  </w:t>
      </w:r>
      <w:r w:rsidRPr="00740838" w:rsidR="009B6FC9">
        <w:rPr>
          <w:rFonts w:eastAsia="Calibri"/>
        </w:rPr>
        <w:t xml:space="preserve">We find </w:t>
      </w:r>
      <w:r w:rsidRPr="00740838" w:rsidR="00186CDF">
        <w:rPr>
          <w:rFonts w:eastAsia="Calibri"/>
        </w:rPr>
        <w:t xml:space="preserve">that </w:t>
      </w:r>
      <w:r w:rsidRPr="00740838" w:rsidR="009B6FC9">
        <w:rPr>
          <w:rFonts w:eastAsia="Calibri"/>
        </w:rPr>
        <w:t xml:space="preserve">it is in the public interest to waive the deadline in </w:t>
      </w:r>
      <w:r w:rsidRPr="00740838" w:rsidR="00186CDF">
        <w:rPr>
          <w:rFonts w:eastAsia="Calibri"/>
        </w:rPr>
        <w:t xml:space="preserve">section </w:t>
      </w:r>
      <w:r w:rsidRPr="00740838" w:rsidR="009B6FC9">
        <w:t>54.621(a)(1) to allow RHC program participants to focus their limited</w:t>
      </w:r>
      <w:r w:rsidRPr="00740838" w:rsidR="004605E1">
        <w:t xml:space="preserve"> </w:t>
      </w:r>
      <w:r w:rsidRPr="00740838" w:rsidR="009B6FC9">
        <w:t>res</w:t>
      </w:r>
      <w:r w:rsidRPr="00740838" w:rsidR="00EF68D8">
        <w:t xml:space="preserve">ources on providing critical health care to their patients.  </w:t>
      </w:r>
      <w:r w:rsidR="0022616B">
        <w:t>We further find that a</w:t>
      </w:r>
      <w:r w:rsidRPr="00740838" w:rsidR="00403501">
        <w:t xml:space="preserve">ny potential costs to the RHC Program that could result from this </w:t>
      </w:r>
      <w:r w:rsidR="0022616B">
        <w:t>O</w:t>
      </w:r>
      <w:r w:rsidRPr="00740838" w:rsidR="0022616B">
        <w:t xml:space="preserve">rder </w:t>
      </w:r>
      <w:r w:rsidRPr="00740838" w:rsidR="00403501">
        <w:t xml:space="preserve">will be outweighed by the benefits </w:t>
      </w:r>
      <w:r w:rsidR="00CD15D0">
        <w:t>of providing additional time for health care providers</w:t>
      </w:r>
      <w:r w:rsidR="00C21C26">
        <w:t>, many of whom are exhausted and overburdened by the COVID-19 pandemic</w:t>
      </w:r>
      <w:r w:rsidR="00D33A2D">
        <w:t>,</w:t>
      </w:r>
      <w:r w:rsidR="00CD15D0">
        <w:t xml:space="preserve"> to file applications for the RHC Program </w:t>
      </w:r>
      <w:r>
        <w:t>health care providers and their patients</w:t>
      </w:r>
      <w:r w:rsidRPr="00740838" w:rsidR="00403501">
        <w:t xml:space="preserve">.  </w:t>
      </w:r>
    </w:p>
    <w:p w:rsidR="00403501" w:rsidRPr="00740838" w:rsidP="00DA18A9" w14:paraId="492A9B95" w14:textId="7DDB1B12">
      <w:pPr>
        <w:pStyle w:val="ParaNum"/>
        <w:widowControl/>
        <w:rPr>
          <w:rFonts w:eastAsia="Calibri"/>
        </w:rPr>
      </w:pPr>
      <w:r>
        <w:t>Additionally</w:t>
      </w:r>
      <w:r w:rsidR="00CD15D0">
        <w:t>, w</w:t>
      </w:r>
      <w:r w:rsidRPr="00740838" w:rsidR="00487FEE">
        <w:t xml:space="preserve">e direct USAC to file the RHC Program gross demand estimate </w:t>
      </w:r>
      <w:r w:rsidR="00CD15D0">
        <w:t xml:space="preserve">by August 1, 2021.  The delay of the close of the application filing window </w:t>
      </w:r>
      <w:r w:rsidR="009C1BFF">
        <w:t xml:space="preserve">until June 1, 2021 makes it impossible for USAC to provide a demand estimate </w:t>
      </w:r>
      <w:r w:rsidRPr="00740838" w:rsidR="00487FEE">
        <w:t xml:space="preserve">30 days </w:t>
      </w:r>
      <w:r w:rsidR="009C1BFF">
        <w:t>before</w:t>
      </w:r>
      <w:r w:rsidRPr="00740838" w:rsidR="00487FEE">
        <w:t xml:space="preserve"> the start of </w:t>
      </w:r>
      <w:r w:rsidR="009C1BFF">
        <w:t>funding year 2021</w:t>
      </w:r>
      <w:r w:rsidR="006155DF">
        <w:t xml:space="preserve">, the </w:t>
      </w:r>
      <w:r w:rsidR="000B7E60">
        <w:t>deadline</w:t>
      </w:r>
      <w:r w:rsidR="006155DF">
        <w:t xml:space="preserve"> contemplated in the </w:t>
      </w:r>
      <w:r w:rsidRPr="00FF1959" w:rsidR="006155DF">
        <w:rPr>
          <w:i/>
          <w:iCs/>
        </w:rPr>
        <w:t>Promoting Telehealth Report and Order</w:t>
      </w:r>
      <w:r w:rsidRPr="00740838" w:rsidR="00487FEE">
        <w:t>.</w:t>
      </w:r>
      <w:r>
        <w:rPr>
          <w:rStyle w:val="FootnoteReference"/>
        </w:rPr>
        <w:footnoteReference w:id="21"/>
      </w:r>
      <w:r w:rsidRPr="00740838" w:rsidR="00487FEE">
        <w:t xml:space="preserve">  </w:t>
      </w:r>
      <w:r w:rsidR="00D64415">
        <w:t xml:space="preserve">Requiring USAC to file its gross demand </w:t>
      </w:r>
      <w:r w:rsidR="00D64415">
        <w:t>estimate by August 1, 2021</w:t>
      </w:r>
      <w:r w:rsidR="00141368">
        <w:t xml:space="preserve"> </w:t>
      </w:r>
      <w:r w:rsidR="00C80F1C">
        <w:t xml:space="preserve">will </w:t>
      </w:r>
      <w:r w:rsidR="002A3444">
        <w:t xml:space="preserve">give it the same amount of time to prepare the estimate as it would have had </w:t>
      </w:r>
      <w:r w:rsidR="00635CD5">
        <w:t>without an extension of the close of the application filing window.</w:t>
      </w:r>
      <w:r>
        <w:rPr>
          <w:rStyle w:val="FootnoteReference"/>
        </w:rPr>
        <w:footnoteReference w:id="22"/>
      </w:r>
      <w:r w:rsidR="00635CD5">
        <w:t xml:space="preserve">  </w:t>
      </w:r>
      <w:r w:rsidR="000F7E31">
        <w:t xml:space="preserve"> </w:t>
      </w:r>
      <w:r w:rsidR="00C80F1C">
        <w:t xml:space="preserve"> </w:t>
      </w:r>
    </w:p>
    <w:p w:rsidR="0059439F" w:rsidRPr="00740838" w:rsidP="0059439F" w14:paraId="4943FCAE" w14:textId="77777777">
      <w:pPr>
        <w:pStyle w:val="Heading1"/>
      </w:pPr>
      <w:r w:rsidRPr="00740838">
        <w:t>ordering clauses</w:t>
      </w:r>
    </w:p>
    <w:p w:rsidR="0059439F" w:rsidRPr="00FF1959" w:rsidP="00BF022C" w14:paraId="50417215" w14:textId="020BCCB0">
      <w:pPr>
        <w:pStyle w:val="ParaNum"/>
        <w:rPr>
          <w:szCs w:val="22"/>
        </w:rPr>
      </w:pPr>
      <w:r w:rsidRPr="00740838">
        <w:t xml:space="preserve">ACCORDINGLY, IT IS ORDERED, pursuant to the authority contained in sections 1-4 and 254 of the Communications Act of 1934, as amended, 47 USC §§ 151-154 and 254, and sections 0.91, 0.291, and 1.3 of the Commission’s rules, 47 CFR §§ 0.91, 0.291, and 1.3, that section </w:t>
      </w:r>
      <w:r w:rsidRPr="00740838" w:rsidR="004C00D4">
        <w:t xml:space="preserve">54.621(a)(1) </w:t>
      </w:r>
      <w:r w:rsidRPr="00740838">
        <w:t>of the Commission’s rules</w:t>
      </w:r>
      <w:r w:rsidRPr="00740838" w:rsidR="004C00D4">
        <w:t xml:space="preserve">, 47 CFR </w:t>
      </w:r>
      <w:r w:rsidRPr="00740838" w:rsidR="004C00D4">
        <w:rPr>
          <w:szCs w:val="22"/>
        </w:rPr>
        <w:t xml:space="preserve">§ </w:t>
      </w:r>
      <w:r w:rsidRPr="00740838" w:rsidR="004C00D4">
        <w:t>54.621(a)(1)</w:t>
      </w:r>
      <w:r w:rsidRPr="00740838">
        <w:t>, is waived to the extent provided herein.</w:t>
      </w:r>
    </w:p>
    <w:p w:rsidR="0059439F" w:rsidRPr="00740838" w:rsidP="0059439F" w14:paraId="79C2656B" w14:textId="77777777">
      <w:pPr>
        <w:pStyle w:val="ParaNum"/>
      </w:pPr>
      <w:r w:rsidRPr="00740838">
        <w:t>IT IS FURTHER ORDERED, that pursuant to section 1.102(b)(1) of the Commission’s rules, 47 CFR § 1.102(b)(1), this Order SHALL BE EFFECTIVE upon release.</w:t>
      </w:r>
    </w:p>
    <w:p w:rsidR="0059439F" w:rsidRPr="00740838" w:rsidP="0059439F" w14:paraId="31B9B940" w14:textId="77777777">
      <w:pPr>
        <w:pStyle w:val="ParaNum"/>
        <w:numPr>
          <w:ilvl w:val="0"/>
          <w:numId w:val="0"/>
        </w:numPr>
        <w:ind w:firstLine="720"/>
      </w:pPr>
    </w:p>
    <w:p w:rsidR="0059439F" w:rsidRPr="00740838" w:rsidP="0059439F" w14:paraId="3D049DFF" w14:textId="77777777">
      <w:pPr>
        <w:keepNext/>
        <w:tabs>
          <w:tab w:val="left" w:pos="-720"/>
        </w:tabs>
        <w:suppressAutoHyphens/>
        <w:ind w:left="4320"/>
        <w:outlineLvl w:val="0"/>
        <w:rPr>
          <w:szCs w:val="22"/>
        </w:rPr>
      </w:pPr>
      <w:r w:rsidRPr="00740838">
        <w:rPr>
          <w:szCs w:val="22"/>
        </w:rPr>
        <w:t>FEDERAL COMMUNICATIONS COMMISSION</w:t>
      </w:r>
    </w:p>
    <w:p w:rsidR="0059439F" w:rsidRPr="00740838" w:rsidP="0059439F" w14:paraId="752E1FFE" w14:textId="77777777">
      <w:pPr>
        <w:keepNext/>
        <w:tabs>
          <w:tab w:val="left" w:pos="-720"/>
        </w:tabs>
        <w:suppressAutoHyphens/>
        <w:ind w:left="4320"/>
        <w:rPr>
          <w:szCs w:val="22"/>
        </w:rPr>
      </w:pPr>
    </w:p>
    <w:p w:rsidR="0059439F" w:rsidRPr="00740838" w:rsidP="0059439F" w14:paraId="058E43BF" w14:textId="77777777">
      <w:pPr>
        <w:keepNext/>
        <w:tabs>
          <w:tab w:val="left" w:pos="-720"/>
        </w:tabs>
        <w:suppressAutoHyphens/>
        <w:ind w:left="4320"/>
        <w:rPr>
          <w:szCs w:val="22"/>
        </w:rPr>
      </w:pPr>
    </w:p>
    <w:p w:rsidR="0059439F" w:rsidRPr="00740838" w:rsidP="0059439F" w14:paraId="3DC99C3A" w14:textId="77777777">
      <w:pPr>
        <w:keepNext/>
        <w:keepLines/>
        <w:ind w:left="4320"/>
        <w:outlineLvl w:val="0"/>
        <w:rPr>
          <w:szCs w:val="22"/>
        </w:rPr>
      </w:pPr>
    </w:p>
    <w:p w:rsidR="0059439F" w:rsidRPr="00740838" w:rsidP="0059439F" w14:paraId="7A7B2C7E" w14:textId="77777777">
      <w:pPr>
        <w:keepNext/>
        <w:keepLines/>
        <w:ind w:left="3600" w:firstLine="720"/>
        <w:outlineLvl w:val="0"/>
        <w:rPr>
          <w:szCs w:val="22"/>
        </w:rPr>
      </w:pPr>
    </w:p>
    <w:p w:rsidR="0059439F" w:rsidRPr="00740838" w:rsidP="0059439F" w14:paraId="6266CC4A" w14:textId="77777777">
      <w:pPr>
        <w:keepNext/>
        <w:keepLines/>
        <w:ind w:left="3600" w:firstLine="720"/>
        <w:outlineLvl w:val="0"/>
        <w:rPr>
          <w:szCs w:val="22"/>
        </w:rPr>
      </w:pPr>
      <w:r w:rsidRPr="00740838">
        <w:rPr>
          <w:szCs w:val="22"/>
        </w:rPr>
        <w:t>Kris Anne Monteith</w:t>
      </w:r>
    </w:p>
    <w:p w:rsidR="0059439F" w:rsidRPr="00740838" w:rsidP="0059439F" w14:paraId="1CB83017" w14:textId="77777777">
      <w:pPr>
        <w:keepNext/>
        <w:keepLines/>
        <w:ind w:left="3600" w:firstLine="720"/>
        <w:outlineLvl w:val="0"/>
        <w:rPr>
          <w:szCs w:val="22"/>
        </w:rPr>
      </w:pPr>
      <w:r w:rsidRPr="00740838">
        <w:rPr>
          <w:szCs w:val="22"/>
        </w:rPr>
        <w:t>Chief</w:t>
      </w:r>
    </w:p>
    <w:p w:rsidR="00412FC5" w:rsidRPr="00740838" w:rsidP="0059439F" w14:paraId="098D4873" w14:textId="1BC9B1D0">
      <w:pPr>
        <w:keepNext/>
        <w:keepLines/>
        <w:ind w:left="4320"/>
        <w:outlineLvl w:val="0"/>
        <w:rPr>
          <w:szCs w:val="22"/>
        </w:rPr>
      </w:pPr>
      <w:r w:rsidRPr="00740838">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55614C" w14:paraId="7EA777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93CD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D24486" w14:paraId="7F13FB63" w14:textId="62A3F68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14:paraId="4612A0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163A91" w14:paraId="087CBC9D" w14:textId="77777777">
      <w:r>
        <w:separator/>
      </w:r>
    </w:p>
  </w:footnote>
  <w:footnote w:type="continuationSeparator" w:id="1">
    <w:p w:rsidR="00163A91" w:rsidP="00C721AC" w14:paraId="5C67A3D9" w14:textId="77777777">
      <w:pPr>
        <w:spacing w:before="120"/>
        <w:rPr>
          <w:sz w:val="20"/>
        </w:rPr>
      </w:pPr>
      <w:r>
        <w:rPr>
          <w:sz w:val="20"/>
        </w:rPr>
        <w:t xml:space="preserve">(Continued from previous page)  </w:t>
      </w:r>
      <w:r>
        <w:rPr>
          <w:sz w:val="20"/>
        </w:rPr>
        <w:separator/>
      </w:r>
    </w:p>
  </w:footnote>
  <w:footnote w:type="continuationNotice" w:id="2">
    <w:p w:rsidR="00163A91" w:rsidP="00C721AC" w14:paraId="6514F01A" w14:textId="77777777">
      <w:pPr>
        <w:jc w:val="right"/>
        <w:rPr>
          <w:sz w:val="20"/>
        </w:rPr>
      </w:pPr>
      <w:r>
        <w:rPr>
          <w:sz w:val="20"/>
        </w:rPr>
        <w:t>(continued….)</w:t>
      </w:r>
    </w:p>
  </w:footnote>
  <w:footnote w:id="3">
    <w:p w:rsidR="0059439F" w:rsidRPr="00D24486" w:rsidP="0059439F" w14:paraId="23E236E7" w14:textId="76B155C1">
      <w:pPr>
        <w:spacing w:after="120"/>
        <w:rPr>
          <w:sz w:val="20"/>
          <w:vertAlign w:val="superscript"/>
        </w:rPr>
      </w:pPr>
      <w:r w:rsidRPr="00D24486">
        <w:rPr>
          <w:sz w:val="20"/>
          <w:vertAlign w:val="superscript"/>
        </w:rPr>
        <w:footnoteRef/>
      </w:r>
      <w:r w:rsidRPr="00D24486">
        <w:rPr>
          <w:i/>
          <w:sz w:val="20"/>
        </w:rPr>
        <w:t xml:space="preserve"> Rural Health Care Support Mechanism</w:t>
      </w:r>
      <w:r w:rsidRPr="00D24486">
        <w:rPr>
          <w:sz w:val="20"/>
        </w:rPr>
        <w:t>, WC Docket No. 02-60, Order, 34 FCC Rcd 4136, 4136, para. 2 (2019) (</w:t>
      </w:r>
      <w:r w:rsidRPr="00D24486">
        <w:rPr>
          <w:i/>
          <w:sz w:val="20"/>
        </w:rPr>
        <w:t>Funding Year 2018 Demand Order</w:t>
      </w:r>
      <w:r w:rsidRPr="00D24486">
        <w:rPr>
          <w:sz w:val="20"/>
        </w:rPr>
        <w:t>).</w:t>
      </w:r>
      <w:r w:rsidRPr="00D24486">
        <w:rPr>
          <w:sz w:val="20"/>
          <w:vertAlign w:val="superscript"/>
        </w:rPr>
        <w:t xml:space="preserve">  </w:t>
      </w:r>
    </w:p>
  </w:footnote>
  <w:footnote w:id="4">
    <w:p w:rsidR="009932A5" w:rsidRPr="00D24486" w14:paraId="2E3089F6" w14:textId="74FADFAA">
      <w:pPr>
        <w:pStyle w:val="FootnoteText"/>
      </w:pPr>
      <w:r w:rsidRPr="00D24486">
        <w:rPr>
          <w:rStyle w:val="FootnoteReference"/>
        </w:rPr>
        <w:footnoteRef/>
      </w:r>
      <w:r w:rsidRPr="00D24486">
        <w:t xml:space="preserve"> </w:t>
      </w:r>
      <w:r w:rsidRPr="00D24486">
        <w:rPr>
          <w:i/>
          <w:iCs/>
        </w:rPr>
        <w:t xml:space="preserve">See </w:t>
      </w:r>
      <w:r w:rsidRPr="00D24486">
        <w:rPr>
          <w:i/>
        </w:rPr>
        <w:t>Funding Year 2018 Demand Order,</w:t>
      </w:r>
      <w:r w:rsidRPr="00D24486">
        <w:t xml:space="preserve"> 34 FCC Rcd at 4139, para. 10</w:t>
      </w:r>
      <w:r w:rsidRPr="00D24486" w:rsidR="0055688C">
        <w:t xml:space="preserve">; </w:t>
      </w:r>
      <w:r w:rsidRPr="00D24486" w:rsidR="0055688C">
        <w:rPr>
          <w:i/>
        </w:rPr>
        <w:t>WCB Provides a Filing Window Period Schedule for Funding Requests under the Telecom Program and the Healthcare Connect Fund</w:t>
      </w:r>
      <w:r w:rsidRPr="00D24486" w:rsidR="0055688C">
        <w:t>, WC Docket No. 02-60, Public Notice, 31 FCC Rcd 9588, 9589, 9592 (WCB 2016)</w:t>
      </w:r>
      <w:r w:rsidRPr="00D24486" w:rsidR="005F3E6D">
        <w:t>.</w:t>
      </w:r>
    </w:p>
  </w:footnote>
  <w:footnote w:id="5">
    <w:p w:rsidR="00B131D9" w:rsidRPr="00D24486" w:rsidP="00B131D9" w14:paraId="78845522" w14:textId="037B1740">
      <w:pPr>
        <w:pStyle w:val="FootnoteText"/>
      </w:pPr>
      <w:r w:rsidRPr="00D24486">
        <w:rPr>
          <w:rStyle w:val="FootnoteReference"/>
        </w:rPr>
        <w:footnoteRef/>
      </w:r>
      <w:r w:rsidRPr="00D24486">
        <w:t xml:space="preserve"> </w:t>
      </w:r>
      <w:r w:rsidRPr="00D24486" w:rsidR="00F520AE">
        <w:rPr>
          <w:i/>
          <w:iCs/>
        </w:rPr>
        <w:t>Promoting Telehealth in Rural America</w:t>
      </w:r>
      <w:r w:rsidRPr="00D24486" w:rsidR="00F520AE">
        <w:t>, WC Docket No. 17-310, Report and Order,</w:t>
      </w:r>
      <w:r w:rsidRPr="00D24486">
        <w:t xml:space="preserve"> 34 FCC Rcd </w:t>
      </w:r>
      <w:r w:rsidRPr="00D24486" w:rsidR="00F520AE">
        <w:t>7335,</w:t>
      </w:r>
      <w:r w:rsidRPr="00D24486">
        <w:t xml:space="preserve"> </w:t>
      </w:r>
      <w:r w:rsidRPr="00D24486" w:rsidR="007C5857">
        <w:t xml:space="preserve">7416-17, </w:t>
      </w:r>
      <w:r w:rsidRPr="00D24486">
        <w:t>7433, para</w:t>
      </w:r>
      <w:r w:rsidRPr="00D24486" w:rsidR="007C5857">
        <w:t>s</w:t>
      </w:r>
      <w:r w:rsidRPr="00D24486">
        <w:t xml:space="preserve">. </w:t>
      </w:r>
      <w:r w:rsidRPr="00D24486" w:rsidR="007C5857">
        <w:t xml:space="preserve">176, </w:t>
      </w:r>
      <w:r w:rsidRPr="00D24486">
        <w:t>214</w:t>
      </w:r>
      <w:r w:rsidRPr="00D24486" w:rsidR="00F520AE">
        <w:t xml:space="preserve"> (2019) (</w:t>
      </w:r>
      <w:r w:rsidRPr="00D24486" w:rsidR="00F520AE">
        <w:rPr>
          <w:i/>
        </w:rPr>
        <w:t>Promoting Telehealth Report and Order</w:t>
      </w:r>
      <w:r w:rsidRPr="00D24486" w:rsidR="00F520AE">
        <w:t>)</w:t>
      </w:r>
      <w:r w:rsidRPr="00D24486">
        <w:t>.  The RHC Program funding year begins on July 1 of each calendar year</w:t>
      </w:r>
      <w:r w:rsidRPr="00D24486" w:rsidR="00357B80">
        <w:t xml:space="preserve"> and ends June 30 of the next calendar year</w:t>
      </w:r>
      <w:r w:rsidRPr="00D24486">
        <w:t>.</w:t>
      </w:r>
      <w:r w:rsidRPr="00D24486" w:rsidR="00357B80">
        <w:t xml:space="preserve">  </w:t>
      </w:r>
      <w:r w:rsidRPr="00D24486" w:rsidR="00357B80">
        <w:rPr>
          <w:i/>
          <w:iCs/>
        </w:rPr>
        <w:t>See</w:t>
      </w:r>
      <w:r w:rsidRPr="00D24486" w:rsidR="00357B80">
        <w:t xml:space="preserve"> 47 CFR § 54.</w:t>
      </w:r>
      <w:r w:rsidRPr="00D24486" w:rsidR="00B42C6D">
        <w:t>6</w:t>
      </w:r>
      <w:r w:rsidRPr="00D24486" w:rsidR="00357B80">
        <w:t xml:space="preserve">00(a).  </w:t>
      </w:r>
    </w:p>
  </w:footnote>
  <w:footnote w:id="6">
    <w:p w:rsidR="00B303BA" w:rsidRPr="00D24486" w14:paraId="6D413138" w14:textId="56AB022F">
      <w:pPr>
        <w:pStyle w:val="FootnoteText"/>
      </w:pPr>
      <w:r w:rsidRPr="00D24486">
        <w:rPr>
          <w:rStyle w:val="FootnoteReference"/>
        </w:rPr>
        <w:footnoteRef/>
      </w:r>
      <w:r w:rsidRPr="00D24486">
        <w:t xml:space="preserve"> 47 CFR § 54.621(a)(1)</w:t>
      </w:r>
      <w:r w:rsidRPr="00D24486" w:rsidR="00FC0B5B">
        <w:t xml:space="preserve">; </w:t>
      </w:r>
      <w:r w:rsidRPr="00D24486" w:rsidR="00136458">
        <w:rPr>
          <w:i/>
        </w:rPr>
        <w:t>Promoting Telehealth Report and Order</w:t>
      </w:r>
      <w:r w:rsidRPr="00D24486" w:rsidR="00FC0B5B">
        <w:t xml:space="preserve">, 34 FCC Rcd </w:t>
      </w:r>
      <w:r w:rsidRPr="00D24486" w:rsidR="00136458">
        <w:t>at</w:t>
      </w:r>
      <w:r w:rsidRPr="00D24486" w:rsidR="00FC0B5B">
        <w:t xml:space="preserve"> 7416, para. 176</w:t>
      </w:r>
      <w:r w:rsidRPr="00D24486" w:rsidR="00D56C64">
        <w:t>.</w:t>
      </w:r>
    </w:p>
  </w:footnote>
  <w:footnote w:id="7">
    <w:p w:rsidR="00CE2981" w:rsidRPr="00D24486" w:rsidP="00CE2981" w14:paraId="4B1BE2F7" w14:textId="18AC80FE">
      <w:pPr>
        <w:pStyle w:val="FootnoteText"/>
      </w:pPr>
      <w:r w:rsidRPr="00D24486">
        <w:rPr>
          <w:rStyle w:val="FootnoteReference"/>
        </w:rPr>
        <w:footnoteRef/>
      </w:r>
      <w:r w:rsidRPr="00D24486">
        <w:t xml:space="preserve"> </w:t>
      </w:r>
      <w:r w:rsidRPr="00D24486">
        <w:rPr>
          <w:i/>
          <w:iCs/>
        </w:rPr>
        <w:t>Promoting Telehealth Report and Order</w:t>
      </w:r>
      <w:r w:rsidRPr="00D24486">
        <w:t xml:space="preserve">, 34 FCC Rcd at 7416, para. 176.  </w:t>
      </w:r>
    </w:p>
  </w:footnote>
  <w:footnote w:id="8">
    <w:p w:rsidR="00CD15D0" w:rsidRPr="00D24486" w:rsidP="00CD15D0" w14:paraId="189DA2A4" w14:textId="6F6E3B7A">
      <w:pPr>
        <w:pStyle w:val="FootnoteText"/>
      </w:pPr>
      <w:r w:rsidRPr="00D24486">
        <w:rPr>
          <w:rStyle w:val="FootnoteReference"/>
        </w:rPr>
        <w:footnoteRef/>
      </w:r>
      <w:r w:rsidRPr="00D24486">
        <w:t xml:space="preserve"> </w:t>
      </w:r>
      <w:r w:rsidRPr="00D24486" w:rsidR="00E84008">
        <w:rPr>
          <w:i/>
          <w:iCs/>
        </w:rPr>
        <w:t>Id.</w:t>
      </w:r>
      <w:r w:rsidRPr="00D24486" w:rsidR="009867CF">
        <w:t xml:space="preserve"> at 7416, para. 176 &amp; n.532.</w:t>
      </w:r>
    </w:p>
  </w:footnote>
  <w:footnote w:id="9">
    <w:p w:rsidR="008B32B0" w:rsidRPr="00D24486" w:rsidP="008B32B0" w14:paraId="25677C5C" w14:textId="13628C43">
      <w:pPr>
        <w:pStyle w:val="FootnoteText"/>
      </w:pPr>
      <w:r w:rsidRPr="00D24486">
        <w:rPr>
          <w:rStyle w:val="FootnoteReference"/>
        </w:rPr>
        <w:footnoteRef/>
      </w:r>
      <w:r w:rsidRPr="00D24486">
        <w:t xml:space="preserve"> </w:t>
      </w:r>
      <w:r w:rsidRPr="00D24486">
        <w:rPr>
          <w:i/>
          <w:iCs/>
        </w:rPr>
        <w:t xml:space="preserve">See </w:t>
      </w:r>
      <w:r w:rsidRPr="00D24486">
        <w:t>USAC, RHC Program News for July 2020</w:t>
      </w:r>
      <w:r w:rsidRPr="00D24486" w:rsidR="009B67B6">
        <w:t xml:space="preserve"> (July 1, 2020)</w:t>
      </w:r>
      <w:r w:rsidRPr="00D24486">
        <w:t xml:space="preserve">, </w:t>
      </w:r>
      <w:hyperlink r:id="rId1" w:history="1">
        <w:r w:rsidRPr="00D24486">
          <w:rPr>
            <w:rStyle w:val="Hyperlink"/>
            <w:color w:val="auto"/>
            <w:u w:val="none"/>
          </w:rPr>
          <w:t>https://view.outreach.usac.org/?qs=be09390ef07599d284f2b38fd59dd2c39f6b121f0ca170945dbb0982bc42596bcb0e4c09491e9f242b75d4a4e11eeb6da21cf8d6702235f973a7c64c426324a377b2b7a89de733dc</w:t>
        </w:r>
      </w:hyperlink>
      <w:r w:rsidRPr="00D24486">
        <w:t xml:space="preserve">.  </w:t>
      </w:r>
    </w:p>
  </w:footnote>
  <w:footnote w:id="10">
    <w:p w:rsidR="00052A83" w:rsidRPr="00D24486" w14:paraId="488E3E06" w14:textId="4417B015">
      <w:pPr>
        <w:pStyle w:val="FootnoteText"/>
      </w:pPr>
      <w:r w:rsidRPr="00D24486">
        <w:rPr>
          <w:rStyle w:val="FootnoteReference"/>
        </w:rPr>
        <w:footnoteRef/>
      </w:r>
      <w:r w:rsidRPr="00D24486">
        <w:t xml:space="preserve"> </w:t>
      </w:r>
      <w:r w:rsidRPr="00D24486" w:rsidR="003E4CCE">
        <w:t>Rural Health Care Support Mechanism, WC Docket No. 02-60, Order</w:t>
      </w:r>
      <w:r w:rsidRPr="00D24486" w:rsidR="00FF7360">
        <w:t xml:space="preserve">, </w:t>
      </w:r>
      <w:bookmarkStart w:id="3" w:name="_Hlk63952654"/>
      <w:r w:rsidRPr="00D24486" w:rsidR="00A27574">
        <w:t xml:space="preserve">35 FCC Rcd </w:t>
      </w:r>
      <w:r w:rsidRPr="00D24486" w:rsidR="003E4CCE">
        <w:t xml:space="preserve">2922, </w:t>
      </w:r>
      <w:r w:rsidRPr="00D24486" w:rsidR="00A27574">
        <w:t>2924, para. 6</w:t>
      </w:r>
      <w:r w:rsidRPr="00D24486" w:rsidR="003E4CCE">
        <w:t xml:space="preserve"> </w:t>
      </w:r>
      <w:bookmarkEnd w:id="3"/>
      <w:r w:rsidRPr="00D24486" w:rsidR="003E4CCE">
        <w:t>(WCB 2020)</w:t>
      </w:r>
      <w:r w:rsidRPr="00D24486" w:rsidR="000008D6">
        <w:t xml:space="preserve"> (</w:t>
      </w:r>
      <w:r w:rsidRPr="00D24486" w:rsidR="000008D6">
        <w:rPr>
          <w:i/>
          <w:iCs/>
        </w:rPr>
        <w:t>COVID-19 RHC Relief Order</w:t>
      </w:r>
      <w:r w:rsidRPr="00D24486" w:rsidR="000008D6">
        <w:t>)</w:t>
      </w:r>
      <w:r w:rsidRPr="00D24486" w:rsidR="00FF7360">
        <w:t>.</w:t>
      </w:r>
    </w:p>
  </w:footnote>
  <w:footnote w:id="11">
    <w:p w:rsidR="003D56DD" w:rsidRPr="00D24486" w14:paraId="1C651C16" w14:textId="4E9DD2F6">
      <w:pPr>
        <w:pStyle w:val="FootnoteText"/>
      </w:pPr>
      <w:r w:rsidRPr="00D24486">
        <w:rPr>
          <w:rStyle w:val="FootnoteReference"/>
        </w:rPr>
        <w:footnoteRef/>
      </w:r>
      <w:r w:rsidRPr="00D24486">
        <w:t xml:space="preserve"> </w:t>
      </w:r>
      <w:r w:rsidRPr="00D24486" w:rsidR="00AA0615">
        <w:rPr>
          <w:i/>
          <w:iCs/>
        </w:rPr>
        <w:t>See</w:t>
      </w:r>
      <w:r w:rsidRPr="00D24486" w:rsidR="00AA0615">
        <w:t xml:space="preserve"> </w:t>
      </w:r>
      <w:r w:rsidRPr="00D24486" w:rsidR="00DE3271">
        <w:t xml:space="preserve">Bridget Balch, </w:t>
      </w:r>
      <w:r w:rsidRPr="00D24486" w:rsidR="00DE3271">
        <w:rPr>
          <w:i/>
          <w:iCs/>
        </w:rPr>
        <w:t>The COVID-19 variants are spreading rapidly. Here’s what scientists know about them — and why you need a better mask</w:t>
      </w:r>
      <w:r w:rsidRPr="00D24486" w:rsidR="00927F7D">
        <w:rPr>
          <w:i/>
          <w:iCs/>
        </w:rPr>
        <w:t xml:space="preserve">, </w:t>
      </w:r>
      <w:r w:rsidRPr="00D24486" w:rsidR="00927F7D">
        <w:t>The Association of American Medical Colleges (AAMC)</w:t>
      </w:r>
      <w:r w:rsidRPr="00D24486" w:rsidR="00927F7D">
        <w:rPr>
          <w:i/>
          <w:iCs/>
        </w:rPr>
        <w:t xml:space="preserve"> </w:t>
      </w:r>
      <w:r w:rsidRPr="00D24486" w:rsidR="00927F7D">
        <w:t>(Jan. 26, 2021)</w:t>
      </w:r>
      <w:r w:rsidRPr="00D24486" w:rsidR="00DE3271">
        <w:t xml:space="preserve">, </w:t>
      </w:r>
      <w:hyperlink r:id="rId2" w:history="1">
        <w:r w:rsidRPr="00D24486" w:rsidR="00927F7D">
          <w:rPr>
            <w:rStyle w:val="Hyperlink"/>
            <w:color w:val="auto"/>
            <w:u w:val="none"/>
          </w:rPr>
          <w:t>https://www.aamc.org/news-insights/covid-19-variants-are-spreading-rapidly-here-s-what-scientists-know-about-them-and-why-you-need</w:t>
        </w:r>
      </w:hyperlink>
      <w:r w:rsidRPr="00D24486" w:rsidR="00927F7D">
        <w:t>.</w:t>
      </w:r>
    </w:p>
  </w:footnote>
  <w:footnote w:id="12">
    <w:p w:rsidR="006A7461" w:rsidRPr="00D24486" w:rsidP="00B24ADF" w14:paraId="573A7421" w14:textId="1BA4025D">
      <w:pPr>
        <w:spacing w:after="120"/>
      </w:pPr>
      <w:r w:rsidRPr="00D24486">
        <w:rPr>
          <w:rStyle w:val="FootnoteReference"/>
        </w:rPr>
        <w:footnoteRef/>
      </w:r>
      <w:r w:rsidRPr="00D24486">
        <w:t xml:space="preserve"> </w:t>
      </w:r>
      <w:r w:rsidRPr="00D24486" w:rsidR="00AA0615">
        <w:rPr>
          <w:i/>
          <w:iCs/>
          <w:sz w:val="20"/>
        </w:rPr>
        <w:t>See</w:t>
      </w:r>
      <w:r w:rsidRPr="00D24486" w:rsidR="00D6034A">
        <w:rPr>
          <w:i/>
          <w:iCs/>
          <w:sz w:val="20"/>
        </w:rPr>
        <w:t>, e.g.</w:t>
      </w:r>
      <w:r w:rsidRPr="00D24486" w:rsidR="0045512C">
        <w:rPr>
          <w:sz w:val="20"/>
        </w:rPr>
        <w:t>,</w:t>
      </w:r>
      <w:r w:rsidRPr="00D24486" w:rsidR="00AA0615">
        <w:rPr>
          <w:sz w:val="20"/>
        </w:rPr>
        <w:t xml:space="preserve"> </w:t>
      </w:r>
      <w:r w:rsidRPr="00D24486">
        <w:rPr>
          <w:sz w:val="20"/>
        </w:rPr>
        <w:t xml:space="preserve">Kay Lazar, </w:t>
      </w:r>
      <w:r w:rsidRPr="00D24486">
        <w:rPr>
          <w:i/>
          <w:iCs/>
          <w:sz w:val="20"/>
        </w:rPr>
        <w:t>COVID-19 testing remains a challenge. It could get worse as health care providers juggle vaccine rollout</w:t>
      </w:r>
      <w:r w:rsidRPr="00D24486">
        <w:rPr>
          <w:sz w:val="20"/>
        </w:rPr>
        <w:t xml:space="preserve">, </w:t>
      </w:r>
      <w:r w:rsidRPr="00D24486" w:rsidR="00B42C6D">
        <w:rPr>
          <w:sz w:val="20"/>
        </w:rPr>
        <w:t xml:space="preserve">The </w:t>
      </w:r>
      <w:r w:rsidRPr="00D24486">
        <w:rPr>
          <w:sz w:val="20"/>
        </w:rPr>
        <w:t>Boston Globe</w:t>
      </w:r>
      <w:r w:rsidRPr="00D24486" w:rsidR="00927F7D">
        <w:rPr>
          <w:sz w:val="20"/>
        </w:rPr>
        <w:t xml:space="preserve"> (</w:t>
      </w:r>
      <w:r w:rsidRPr="00D24486">
        <w:rPr>
          <w:sz w:val="20"/>
        </w:rPr>
        <w:t>Jan</w:t>
      </w:r>
      <w:r w:rsidRPr="00D24486" w:rsidR="00927F7D">
        <w:rPr>
          <w:sz w:val="20"/>
        </w:rPr>
        <w:t>.</w:t>
      </w:r>
      <w:r w:rsidRPr="00D24486">
        <w:rPr>
          <w:sz w:val="20"/>
        </w:rPr>
        <w:t xml:space="preserve"> 7, 202</w:t>
      </w:r>
      <w:r w:rsidRPr="00D24486" w:rsidR="007B669D">
        <w:rPr>
          <w:sz w:val="20"/>
        </w:rPr>
        <w:t>1</w:t>
      </w:r>
      <w:r w:rsidRPr="00D24486" w:rsidR="00927F7D">
        <w:rPr>
          <w:sz w:val="20"/>
        </w:rPr>
        <w:t>)</w:t>
      </w:r>
      <w:r w:rsidRPr="00D24486">
        <w:rPr>
          <w:sz w:val="20"/>
        </w:rPr>
        <w:t xml:space="preserve">, </w:t>
      </w:r>
      <w:hyperlink r:id="rId3" w:history="1">
        <w:r w:rsidRPr="00D24486" w:rsidR="00927F7D">
          <w:rPr>
            <w:rStyle w:val="Hyperlink"/>
            <w:color w:val="auto"/>
            <w:sz w:val="20"/>
            <w:u w:val="none"/>
          </w:rPr>
          <w:t>https://www.bostonglobe.com/2021/01/07/nation/virus-testing-remains-challenge-it-could-get-worse-taxed-health-care-providers-juggle-vaccine-rollout/</w:t>
        </w:r>
      </w:hyperlink>
      <w:r w:rsidRPr="00D24486" w:rsidR="00804049">
        <w:rPr>
          <w:sz w:val="20"/>
        </w:rPr>
        <w:t>;</w:t>
      </w:r>
      <w:r w:rsidRPr="00D24486" w:rsidR="00804049">
        <w:t xml:space="preserve"> </w:t>
      </w:r>
      <w:r w:rsidRPr="00D24486" w:rsidR="00804049">
        <w:rPr>
          <w:sz w:val="20"/>
        </w:rPr>
        <w:t xml:space="preserve">Jennifer Steinhauer, </w:t>
      </w:r>
      <w:r w:rsidRPr="00D24486" w:rsidR="00804049">
        <w:rPr>
          <w:i/>
          <w:iCs/>
          <w:sz w:val="20"/>
        </w:rPr>
        <w:t>Overwhelmed, More States Turn to National Guard for Vaccine Help</w:t>
      </w:r>
      <w:r w:rsidRPr="00D24486" w:rsidR="00804049">
        <w:rPr>
          <w:sz w:val="20"/>
        </w:rPr>
        <w:t xml:space="preserve">, The New York Times (Jan. 14, 2021), </w:t>
      </w:r>
      <w:hyperlink r:id="rId4" w:history="1">
        <w:r w:rsidRPr="00D24486" w:rsidR="00804049">
          <w:rPr>
            <w:rStyle w:val="Hyperlink"/>
            <w:color w:val="auto"/>
            <w:sz w:val="20"/>
            <w:u w:val="none"/>
          </w:rPr>
          <w:t>https://www.nytimes.com/2021/01/14/us/politics/coronavirus-vaccine-national-guard.html</w:t>
        </w:r>
      </w:hyperlink>
      <w:r w:rsidRPr="00D24486" w:rsidR="00804049">
        <w:rPr>
          <w:sz w:val="20"/>
        </w:rPr>
        <w:t xml:space="preserve">; Jared S. Hopkins and Arian Campo-Flores, </w:t>
      </w:r>
      <w:r w:rsidRPr="00D24486" w:rsidR="00804049">
        <w:rPr>
          <w:i/>
          <w:iCs/>
          <w:sz w:val="20"/>
        </w:rPr>
        <w:t>Demand for COVID-19 Vaccines Overwhelms State Health Providers</w:t>
      </w:r>
      <w:r w:rsidRPr="00D24486" w:rsidR="00804049">
        <w:rPr>
          <w:sz w:val="20"/>
        </w:rPr>
        <w:t>, The Wall Street Journal (Feb. 8, 2021),</w:t>
      </w:r>
      <w:hyperlink w:history="1"/>
      <w:r w:rsidRPr="00D24486" w:rsidR="00804049">
        <w:rPr>
          <w:sz w:val="20"/>
        </w:rPr>
        <w:t xml:space="preserve"> </w:t>
      </w:r>
      <w:hyperlink r:id="rId5" w:history="1">
        <w:r w:rsidRPr="00D24486" w:rsidR="00804049">
          <w:rPr>
            <w:rStyle w:val="Hyperlink"/>
            <w:color w:val="auto"/>
            <w:sz w:val="20"/>
            <w:u w:val="none"/>
          </w:rPr>
          <w:t>https://www.wsj.com/articles/demand-for-covid-19-vaccines-overwhelms-state-health-providers-11612789789</w:t>
        </w:r>
      </w:hyperlink>
      <w:r w:rsidRPr="00D24486" w:rsidR="00804049">
        <w:rPr>
          <w:sz w:val="20"/>
        </w:rPr>
        <w:t xml:space="preserve">; </w:t>
      </w:r>
      <w:bookmarkStart w:id="4" w:name="_Hlk64021770"/>
      <w:r w:rsidRPr="00D24486" w:rsidR="00804049">
        <w:rPr>
          <w:sz w:val="20"/>
        </w:rPr>
        <w:t xml:space="preserve">Michelle Cortez, </w:t>
      </w:r>
      <w:r w:rsidRPr="00D24486" w:rsidR="00804049">
        <w:rPr>
          <w:i/>
          <w:iCs/>
          <w:sz w:val="20"/>
        </w:rPr>
        <w:t>Telemedicine</w:t>
      </w:r>
      <w:r w:rsidRPr="00D24486" w:rsidR="00804049">
        <w:rPr>
          <w:sz w:val="20"/>
        </w:rPr>
        <w:t>, The Washington Post (Sept. 14, 2020)</w:t>
      </w:r>
      <w:bookmarkEnd w:id="4"/>
      <w:r w:rsidRPr="00D24486" w:rsidR="00A926D3">
        <w:rPr>
          <w:sz w:val="20"/>
        </w:rPr>
        <w:t>,</w:t>
      </w:r>
      <w:r w:rsidRPr="00D24486" w:rsidR="00804049">
        <w:rPr>
          <w:sz w:val="20"/>
        </w:rPr>
        <w:t xml:space="preserve"> </w:t>
      </w:r>
      <w:hyperlink r:id="rId6" w:history="1">
        <w:r w:rsidRPr="00D24486" w:rsidR="00804049">
          <w:rPr>
            <w:rStyle w:val="Hyperlink"/>
            <w:color w:val="auto"/>
            <w:sz w:val="20"/>
            <w:u w:val="none"/>
          </w:rPr>
          <w:t>https://www.washingtonpost.com/business/telemedicine/2020/09/12/3dcf2ea4-f4cb-11ea-8025-5d3489768ac8_story.html</w:t>
        </w:r>
      </w:hyperlink>
      <w:r w:rsidRPr="00D24486" w:rsidR="00804049">
        <w:rPr>
          <w:sz w:val="20"/>
        </w:rPr>
        <w:t xml:space="preserve">.  </w:t>
      </w:r>
    </w:p>
  </w:footnote>
  <w:footnote w:id="13">
    <w:p w:rsidR="00F86700" w:rsidRPr="00D24486" w:rsidP="00AA6B9A" w14:paraId="23314B11" w14:textId="1FD506EB">
      <w:pPr>
        <w:pStyle w:val="FootnoteText"/>
      </w:pPr>
      <w:r w:rsidRPr="00D24486">
        <w:rPr>
          <w:rStyle w:val="FootnoteReference"/>
        </w:rPr>
        <w:footnoteRef/>
      </w:r>
      <w:r w:rsidRPr="00D24486">
        <w:t xml:space="preserve"> </w:t>
      </w:r>
      <w:r w:rsidRPr="00D24486">
        <w:rPr>
          <w:i/>
          <w:iCs/>
        </w:rPr>
        <w:t xml:space="preserve">See </w:t>
      </w:r>
      <w:r w:rsidRPr="00D24486">
        <w:t>Letter from John Windhausen, Jr., Executive Director, Schools, Health &amp; Libraries Broadband (SHLB) Coalition, to Jessica Rosenworcel, Acting Chairwoman, FCC, et al., WC Docket No. 17-310, at 2 (</w:t>
      </w:r>
      <w:r w:rsidRPr="00D24486" w:rsidR="00764A6E">
        <w:t>dated</w:t>
      </w:r>
      <w:r w:rsidRPr="00D24486">
        <w:t xml:space="preserve"> Jan. 25, 2021) (</w:t>
      </w:r>
      <w:r w:rsidRPr="00D24486" w:rsidR="003244A4">
        <w:t>stating that RHC Program participants would have trouble meeting an April 1, 2021 application filing deadline</w:t>
      </w:r>
      <w:r w:rsidRPr="00D24486" w:rsidR="00C51166">
        <w:t xml:space="preserve"> and requesting an extension until late May 2021</w:t>
      </w:r>
      <w:r w:rsidRPr="00D24486" w:rsidR="003573A0">
        <w:t>)</w:t>
      </w:r>
      <w:r w:rsidRPr="00D24486" w:rsidR="00E84008">
        <w:t>;</w:t>
      </w:r>
      <w:r w:rsidRPr="00D24486" w:rsidR="006637E9">
        <w:t xml:space="preserve"> </w:t>
      </w:r>
      <w:r w:rsidRPr="00D24486" w:rsidR="00E84008">
        <w:rPr>
          <w:i/>
          <w:iCs/>
        </w:rPr>
        <w:t>s</w:t>
      </w:r>
      <w:r w:rsidRPr="00D24486" w:rsidR="006637E9">
        <w:rPr>
          <w:i/>
          <w:iCs/>
        </w:rPr>
        <w:t>ee also</w:t>
      </w:r>
      <w:r w:rsidRPr="00D24486" w:rsidR="00623694">
        <w:t xml:space="preserve"> Letter from </w:t>
      </w:r>
      <w:r w:rsidRPr="00D24486" w:rsidR="00071450">
        <w:t xml:space="preserve">Carl Baranowski, Vice President &amp; Chief Legal Officer, </w:t>
      </w:r>
      <w:r w:rsidRPr="00D24486" w:rsidR="00764A6E">
        <w:t xml:space="preserve">University of Texas Health Science Center at Tyler, to </w:t>
      </w:r>
      <w:r w:rsidRPr="00D24486" w:rsidR="00623694">
        <w:t>Jessica Rosenworcel, Acting Chairwoman, FCC, et al., WC Docket No. 17-310</w:t>
      </w:r>
      <w:r w:rsidRPr="00D24486" w:rsidR="00764A6E">
        <w:t xml:space="preserve"> (dated Jan. 27, 2021); </w:t>
      </w:r>
      <w:r w:rsidRPr="00D24486" w:rsidR="00AA6B9A">
        <w:t xml:space="preserve">Letter from John J. </w:t>
      </w:r>
      <w:r w:rsidRPr="00D24486" w:rsidR="00AA6B9A">
        <w:t>Heitmann</w:t>
      </w:r>
      <w:r w:rsidRPr="00D24486" w:rsidR="00903EEC">
        <w:t xml:space="preserve">, </w:t>
      </w:r>
      <w:r w:rsidRPr="00D24486" w:rsidR="00AA6B9A">
        <w:t xml:space="preserve">Counsel for </w:t>
      </w:r>
      <w:bookmarkStart w:id="5" w:name="_Hlk64021719"/>
      <w:r w:rsidRPr="00D24486" w:rsidR="00AA6B9A">
        <w:t>Fiberutilities</w:t>
      </w:r>
      <w:r w:rsidRPr="00D24486" w:rsidR="00AA6B9A">
        <w:t xml:space="preserve"> Group, LLC</w:t>
      </w:r>
      <w:bookmarkEnd w:id="5"/>
      <w:r w:rsidRPr="00D24486" w:rsidR="00903EEC">
        <w:t xml:space="preserve">, to Jessica Rosenworcel, Acting Chairwoman, FCC, et al., WC Docket No. 17-310 (dated </w:t>
      </w:r>
      <w:r w:rsidRPr="00D24486" w:rsidR="00AF69D3">
        <w:t>Feb. 1</w:t>
      </w:r>
      <w:r w:rsidRPr="00D24486" w:rsidR="00903EEC">
        <w:t>, 2021</w:t>
      </w:r>
      <w:r w:rsidRPr="00D24486" w:rsidR="00E10A3B">
        <w:t>)</w:t>
      </w:r>
      <w:r w:rsidRPr="00D24486" w:rsidR="005D22AE">
        <w:t xml:space="preserve">; </w:t>
      </w:r>
      <w:bookmarkStart w:id="6" w:name="_Hlk64024188"/>
      <w:r w:rsidRPr="00D24486" w:rsidR="005D22AE">
        <w:t xml:space="preserve">Dan </w:t>
      </w:r>
      <w:r w:rsidRPr="00D24486" w:rsidR="005D22AE">
        <w:t>Kettwich</w:t>
      </w:r>
      <w:bookmarkEnd w:id="6"/>
      <w:r w:rsidRPr="00D24486" w:rsidR="009A54D5">
        <w:t>,</w:t>
      </w:r>
      <w:r w:rsidRPr="00D24486" w:rsidR="005D22AE">
        <w:t xml:space="preserve"> Chief Executive Officer, </w:t>
      </w:r>
      <w:bookmarkStart w:id="7" w:name="_Hlk64021734"/>
      <w:r w:rsidRPr="00D24486" w:rsidR="005D22AE">
        <w:t>Advanced Data Services, Inc.</w:t>
      </w:r>
      <w:bookmarkEnd w:id="7"/>
      <w:r w:rsidRPr="00D24486" w:rsidR="00A926D3">
        <w:t>,</w:t>
      </w:r>
      <w:r w:rsidRPr="00D24486" w:rsidR="005D22AE">
        <w:t xml:space="preserve"> </w:t>
      </w:r>
      <w:r w:rsidRPr="00D24486" w:rsidR="00F92594">
        <w:t>to Jessica Rosenworcel, Acting Chairwoman, FCC, et al., WC Docket No. 17-310 (dated Feb. 3, 2021)</w:t>
      </w:r>
      <w:r w:rsidRPr="00D24486" w:rsidR="006C3B3A">
        <w:t xml:space="preserve"> (all supporting an extension of the close of the funding year 2021 application filing window).  </w:t>
      </w:r>
    </w:p>
  </w:footnote>
  <w:footnote w:id="14">
    <w:p w:rsidR="00487FEE" w:rsidRPr="00D24486" w:rsidP="00487FEE" w14:paraId="6DAAE8F3" w14:textId="77777777">
      <w:pPr>
        <w:pStyle w:val="FootnoteText"/>
      </w:pPr>
      <w:r w:rsidRPr="00D24486">
        <w:rPr>
          <w:rStyle w:val="FootnoteReference"/>
        </w:rPr>
        <w:footnoteRef/>
      </w:r>
      <w:r w:rsidRPr="00D24486">
        <w:t xml:space="preserve"> 47 CFR § 54.621(a)(1).</w:t>
      </w:r>
    </w:p>
  </w:footnote>
  <w:footnote w:id="15">
    <w:p w:rsidR="00A07A60" w:rsidRPr="00D24486" w:rsidP="00A07A60" w14:paraId="7951B6DE" w14:textId="77777777">
      <w:pPr>
        <w:pStyle w:val="FootnoteText"/>
      </w:pPr>
      <w:r w:rsidRPr="00D24486">
        <w:rPr>
          <w:rStyle w:val="FootnoteReference"/>
        </w:rPr>
        <w:footnoteRef/>
      </w:r>
      <w:r w:rsidRPr="00D24486">
        <w:t xml:space="preserve"> 47 CFR § 1.3.  </w:t>
      </w:r>
    </w:p>
  </w:footnote>
  <w:footnote w:id="16">
    <w:p w:rsidR="00A07A60" w:rsidRPr="00D24486" w:rsidP="00A07A60" w14:paraId="4EE16ADE" w14:textId="77777777">
      <w:pPr>
        <w:pStyle w:val="FootnoteText"/>
      </w:pPr>
      <w:r w:rsidRPr="00D24486">
        <w:rPr>
          <w:rStyle w:val="FootnoteReference"/>
        </w:rPr>
        <w:footnoteRef/>
      </w:r>
      <w:r w:rsidRPr="00D24486">
        <w:t xml:space="preserve"> </w:t>
      </w:r>
      <w:r w:rsidRPr="00D24486">
        <w:rPr>
          <w:i/>
        </w:rPr>
        <w:t>Northeast Cellular Telephone Co. v. FCC</w:t>
      </w:r>
      <w:r w:rsidRPr="00D24486">
        <w:t xml:space="preserve">, 897 F.2d 1164, 1166 (D.C. Cir. 1990).  </w:t>
      </w:r>
    </w:p>
  </w:footnote>
  <w:footnote w:id="17">
    <w:p w:rsidR="00A07A60" w:rsidRPr="00D24486" w:rsidP="00A07A60" w14:paraId="38CDA92E" w14:textId="77777777">
      <w:pPr>
        <w:pStyle w:val="FootnoteText"/>
      </w:pPr>
      <w:r w:rsidRPr="00D24486">
        <w:rPr>
          <w:rStyle w:val="FootnoteReference"/>
        </w:rPr>
        <w:footnoteRef/>
      </w:r>
      <w:r w:rsidRPr="00D24486">
        <w:t xml:space="preserve"> </w:t>
      </w:r>
      <w:r w:rsidRPr="00D24486">
        <w:rPr>
          <w:i/>
        </w:rPr>
        <w:t xml:space="preserve">Id. </w:t>
      </w:r>
    </w:p>
  </w:footnote>
  <w:footnote w:id="18">
    <w:p w:rsidR="008C1521" w:rsidRPr="00D24486" w14:paraId="64E560C4" w14:textId="2EF86DCA">
      <w:pPr>
        <w:pStyle w:val="FootnoteText"/>
      </w:pPr>
      <w:r w:rsidRPr="00D24486">
        <w:rPr>
          <w:rStyle w:val="FootnoteReference"/>
        </w:rPr>
        <w:footnoteRef/>
      </w:r>
      <w:r w:rsidRPr="00D24486">
        <w:t xml:space="preserve"> </w:t>
      </w:r>
      <w:r w:rsidRPr="00D24486" w:rsidR="00A319F3">
        <w:rPr>
          <w:i/>
          <w:iCs/>
        </w:rPr>
        <w:t>Promoting Telehealth Report and Order</w:t>
      </w:r>
      <w:r w:rsidRPr="00D24486" w:rsidR="00A319F3">
        <w:t xml:space="preserve">, 34 FCC Rcd at 7416, para. 176. </w:t>
      </w:r>
    </w:p>
  </w:footnote>
  <w:footnote w:id="19">
    <w:p w:rsidR="00E84008" w:rsidRPr="00D24486" w14:paraId="25FB08B9" w14:textId="5842719C">
      <w:pPr>
        <w:pStyle w:val="FootnoteText"/>
      </w:pPr>
      <w:r w:rsidRPr="00D24486">
        <w:rPr>
          <w:rStyle w:val="FootnoteReference"/>
        </w:rPr>
        <w:footnoteRef/>
      </w:r>
      <w:r w:rsidRPr="00D24486">
        <w:t xml:space="preserve"> </w:t>
      </w:r>
      <w:r w:rsidRPr="00D24486" w:rsidR="000008D6">
        <w:rPr>
          <w:i/>
          <w:iCs/>
        </w:rPr>
        <w:t>COVID-19 RHC Relief Order</w:t>
      </w:r>
      <w:r w:rsidRPr="00D24486" w:rsidR="000008D6">
        <w:t>, 35 FCC Rcd at 2924, para. 6</w:t>
      </w:r>
      <w:r w:rsidRPr="00D24486">
        <w:t xml:space="preserve">.  The Bureau also granted additional relief to assist RHC program participants facing challenges created by the pandemic.  </w:t>
      </w:r>
      <w:r w:rsidRPr="00D24486">
        <w:rPr>
          <w:i/>
          <w:iCs/>
        </w:rPr>
        <w:t xml:space="preserve">See </w:t>
      </w:r>
      <w:r w:rsidRPr="00D24486" w:rsidR="000008D6">
        <w:rPr>
          <w:i/>
          <w:iCs/>
        </w:rPr>
        <w:t>id.</w:t>
      </w:r>
      <w:r w:rsidRPr="00D24486" w:rsidR="000008D6">
        <w:t xml:space="preserve"> at 2924</w:t>
      </w:r>
      <w:r w:rsidRPr="00D24486" w:rsidR="00006247">
        <w:t>-27</w:t>
      </w:r>
      <w:r w:rsidRPr="00D24486" w:rsidR="000008D6">
        <w:t>, paras. 7-</w:t>
      </w:r>
      <w:r w:rsidRPr="00D24486" w:rsidR="00006247">
        <w:t>12</w:t>
      </w:r>
      <w:r w:rsidRPr="00D24486" w:rsidR="000008D6">
        <w:t xml:space="preserve"> (extending expiring evergreen contracts, the deadline for responses to USAC information requests, the service delivery deadline, the </w:t>
      </w:r>
      <w:r w:rsidRPr="00D24486" w:rsidR="00006247">
        <w:t>invoicing</w:t>
      </w:r>
      <w:r w:rsidRPr="00D24486" w:rsidR="000008D6">
        <w:t xml:space="preserve"> deadline, </w:t>
      </w:r>
      <w:r w:rsidRPr="00D24486" w:rsidR="00006247">
        <w:t xml:space="preserve">and </w:t>
      </w:r>
      <w:r w:rsidRPr="00D24486" w:rsidR="000008D6">
        <w:t xml:space="preserve">deadlines for filing appeals and </w:t>
      </w:r>
      <w:bookmarkStart w:id="9" w:name="_Hlk64021908"/>
      <w:r w:rsidRPr="00D24486" w:rsidR="000008D6">
        <w:t>request</w:t>
      </w:r>
      <w:r w:rsidRPr="00D24486" w:rsidR="00A926D3">
        <w:t>s</w:t>
      </w:r>
      <w:r w:rsidRPr="00D24486" w:rsidR="000008D6">
        <w:t xml:space="preserve"> for waiver</w:t>
      </w:r>
      <w:bookmarkEnd w:id="9"/>
      <w:r w:rsidRPr="00D24486" w:rsidR="00006247">
        <w:t xml:space="preserve">); </w:t>
      </w:r>
      <w:r w:rsidRPr="00D24486" w:rsidR="000008D6">
        <w:rPr>
          <w:i/>
          <w:iCs/>
        </w:rPr>
        <w:t>Rural Health Care Universal Service Support Mechanism</w:t>
      </w:r>
      <w:r w:rsidRPr="00D24486" w:rsidR="000008D6">
        <w:t xml:space="preserve">; </w:t>
      </w:r>
      <w:r w:rsidRPr="00D24486" w:rsidR="000008D6">
        <w:rPr>
          <w:i/>
        </w:rPr>
        <w:t>Schools and Libraries Universal Service Support Mechanism</w:t>
      </w:r>
      <w:r w:rsidRPr="00D24486" w:rsidR="000008D6">
        <w:t>, WC Docket No. 02-60, CC Docket No. 02-6, Order, 35 FCC Rcd 2741 (WCB 2020) (initially waiving the Commission’s</w:t>
      </w:r>
      <w:r w:rsidRPr="00D24486" w:rsidR="00006247">
        <w:t xml:space="preserve"> gift</w:t>
      </w:r>
      <w:r w:rsidRPr="00D24486" w:rsidR="000008D6">
        <w:t xml:space="preserve"> rule </w:t>
      </w:r>
      <w:r w:rsidRPr="00D24486" w:rsidR="00006247">
        <w:t xml:space="preserve">for the RHC and E-Rate Programs </w:t>
      </w:r>
      <w:r w:rsidRPr="00D24486" w:rsidR="000008D6">
        <w:t xml:space="preserve">through September 30, 2020);  </w:t>
      </w:r>
      <w:r w:rsidRPr="00D24486" w:rsidR="000008D6">
        <w:rPr>
          <w:i/>
          <w:iCs/>
        </w:rPr>
        <w:t>Rural Health Care Universal Service Support Mechanism</w:t>
      </w:r>
      <w:r w:rsidRPr="00D24486" w:rsidR="000008D6">
        <w:t>;</w:t>
      </w:r>
      <w:r w:rsidRPr="00D24486" w:rsidR="000008D6">
        <w:rPr>
          <w:i/>
          <w:iCs/>
        </w:rPr>
        <w:t xml:space="preserve"> Schools and Libraries Universal Service Support Mechanism</w:t>
      </w:r>
      <w:r w:rsidRPr="00D24486" w:rsidR="000008D6">
        <w:t>, WC Docket No. 02-60, CC Docket No. 02-6, Order, 35 FCC Rcd 9416 (WCB 2020) (extending the waiver of each program’s gift rule until December 31, 2020</w:t>
      </w:r>
      <w:r w:rsidRPr="00D24486" w:rsidR="00632E5C">
        <w:t xml:space="preserve"> and extending the response time for USAC information requests in each program</w:t>
      </w:r>
      <w:r w:rsidRPr="00D24486" w:rsidR="000008D6">
        <w:t>)</w:t>
      </w:r>
      <w:r w:rsidRPr="00D24486" w:rsidR="006C365A">
        <w:t xml:space="preserve">; </w:t>
      </w:r>
      <w:r w:rsidRPr="00D24486" w:rsidR="006C365A">
        <w:rPr>
          <w:i/>
          <w:iCs/>
        </w:rPr>
        <w:t>Rural Health Care Universal Service Support Mechanism</w:t>
      </w:r>
      <w:r w:rsidRPr="00D24486" w:rsidR="006C365A">
        <w:t>;</w:t>
      </w:r>
      <w:r w:rsidRPr="00D24486" w:rsidR="006C365A">
        <w:rPr>
          <w:i/>
          <w:iCs/>
        </w:rPr>
        <w:t xml:space="preserve"> Schools and Libraries Universal Service Support Mechanism</w:t>
      </w:r>
      <w:r w:rsidRPr="00D24486" w:rsidR="006C365A">
        <w:t xml:space="preserve">, WC Docket No. 02-60, CC Docket No. 02-6, Order, 35 FCC Rcd </w:t>
      </w:r>
      <w:r w:rsidRPr="00D24486" w:rsidR="00431C48">
        <w:t>14544</w:t>
      </w:r>
      <w:r w:rsidRPr="00D24486" w:rsidR="006C365A">
        <w:t xml:space="preserve"> (WCB 2020) (extending the waiver of each program’s gift rule until </w:t>
      </w:r>
      <w:r w:rsidRPr="00D24486" w:rsidR="00431C48">
        <w:t>June 30, 2021</w:t>
      </w:r>
      <w:r w:rsidRPr="00D24486" w:rsidR="006C365A">
        <w:t>)</w:t>
      </w:r>
      <w:r w:rsidRPr="00D24486" w:rsidR="00006247">
        <w:t>.</w:t>
      </w:r>
      <w:r w:rsidRPr="00D24486" w:rsidR="000008D6">
        <w:t xml:space="preserve"> </w:t>
      </w:r>
    </w:p>
  </w:footnote>
  <w:footnote w:id="20">
    <w:p w:rsidR="00006247" w:rsidRPr="00D24486" w14:paraId="6DAB28A4" w14:textId="08807478">
      <w:pPr>
        <w:pStyle w:val="FootnoteText"/>
      </w:pPr>
      <w:r w:rsidRPr="00D24486">
        <w:rPr>
          <w:rStyle w:val="FootnoteReference"/>
        </w:rPr>
        <w:footnoteRef/>
      </w:r>
      <w:r w:rsidRPr="00D24486">
        <w:t xml:space="preserve"> </w:t>
      </w:r>
      <w:r w:rsidRPr="00D24486">
        <w:rPr>
          <w:i/>
          <w:iCs/>
        </w:rPr>
        <w:t>See supra</w:t>
      </w:r>
      <w:r w:rsidRPr="00D24486">
        <w:t xml:space="preserve"> note 11.  </w:t>
      </w:r>
    </w:p>
  </w:footnote>
  <w:footnote w:id="21">
    <w:p w:rsidR="00487FEE" w:rsidRPr="00D24486" w:rsidP="00487FEE" w14:paraId="1516948F" w14:textId="3A556AD0">
      <w:pPr>
        <w:pStyle w:val="FootnoteText"/>
      </w:pPr>
      <w:r w:rsidRPr="00D24486">
        <w:rPr>
          <w:rStyle w:val="FootnoteReference"/>
        </w:rPr>
        <w:footnoteRef/>
      </w:r>
      <w:r w:rsidRPr="00D24486">
        <w:t xml:space="preserve"> </w:t>
      </w:r>
      <w:r w:rsidRPr="00D24486" w:rsidR="00E84008">
        <w:rPr>
          <w:i/>
          <w:iCs/>
        </w:rPr>
        <w:t>Id.</w:t>
      </w:r>
      <w:r w:rsidRPr="00D24486">
        <w:t xml:space="preserve"> at 7416, para. 176 &amp; n.532</w:t>
      </w:r>
      <w:r w:rsidRPr="00D24486" w:rsidR="009C1BFF">
        <w:t xml:space="preserve"> (requiring that USAC provide a </w:t>
      </w:r>
      <w:r w:rsidRPr="00D24486" w:rsidR="00D33D63">
        <w:t>“</w:t>
      </w:r>
      <w:r w:rsidRPr="00D24486" w:rsidR="009C1BFF">
        <w:t>gross demand estimate</w:t>
      </w:r>
      <w:r w:rsidRPr="00D24486" w:rsidR="00D33D63">
        <w:t xml:space="preserve"> 30 days prior to the start of the </w:t>
      </w:r>
      <w:r w:rsidRPr="00D24486" w:rsidR="003B086E">
        <w:t>pertinent funding year.”</w:t>
      </w:r>
      <w:r w:rsidRPr="00D24486" w:rsidR="00F520AE">
        <w:t>).</w:t>
      </w:r>
    </w:p>
  </w:footnote>
  <w:footnote w:id="22">
    <w:p w:rsidR="00133033" w:rsidRPr="00D24486" w14:paraId="59AA6F28" w14:textId="382CA4CF">
      <w:pPr>
        <w:pStyle w:val="FootnoteText"/>
      </w:pPr>
      <w:r w:rsidRPr="00D24486">
        <w:rPr>
          <w:rStyle w:val="FootnoteReference"/>
        </w:rPr>
        <w:footnoteRef/>
      </w:r>
      <w:r w:rsidRPr="00D24486">
        <w:t xml:space="preserve"> Thirty days prior to the start of the funding year is June 1. </w:t>
      </w:r>
      <w:r w:rsidRPr="00D24486">
        <w:rPr>
          <w:i/>
          <w:iCs/>
        </w:rPr>
        <w:t>See</w:t>
      </w:r>
      <w:r w:rsidRPr="00D24486">
        <w:t xml:space="preserve"> 47 CFR 54.600(a). If the application filing window closed on April 1, USAC would have two months to provide a gross demand estimate.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810B6F" w14:paraId="3E5D0929" w14:textId="64F8E7C6">
    <w:pPr>
      <w:pStyle w:val="Header"/>
      <w:rPr>
        <w:b w:val="0"/>
      </w:rPr>
    </w:pPr>
    <w:r>
      <w:tab/>
      <w:t>Federal Communications Commission</w:t>
    </w:r>
    <w:r>
      <w:tab/>
    </w:r>
    <w:r w:rsidR="0059439F">
      <w:t>DA 2</w:t>
    </w:r>
    <w:r w:rsidR="00100DAB">
      <w:t>1</w:t>
    </w:r>
    <w:r w:rsidR="0059439F">
      <w:t>-</w:t>
    </w:r>
    <w:r w:rsidR="00300772">
      <w:t>1</w:t>
    </w:r>
    <w:r w:rsidR="00D4074F">
      <w:t>68</w:t>
    </w:r>
  </w:p>
  <w:p w:rsidR="00D25FB5" w14:paraId="1235411D" w14:textId="08E19D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FB97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810B6F" w14:paraId="60AB631C" w14:textId="65995FB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BF022C">
      <w:tab/>
      <w:t>Federal Communications Commission</w:t>
    </w:r>
    <w:r w:rsidR="00BF022C">
      <w:tab/>
    </w:r>
    <w:r w:rsidR="0059439F">
      <w:rPr>
        <w:spacing w:val="-2"/>
      </w:rPr>
      <w:t>DA 2</w:t>
    </w:r>
    <w:r w:rsidR="00100DAB">
      <w:rPr>
        <w:spacing w:val="-2"/>
      </w:rPr>
      <w:t>1</w:t>
    </w:r>
    <w:r w:rsidR="0059439F">
      <w:rPr>
        <w:spacing w:val="-2"/>
      </w:rPr>
      <w:t>-</w:t>
    </w:r>
    <w:r w:rsidR="00300772">
      <w:rPr>
        <w:spacing w:val="-2"/>
      </w:rPr>
      <w:t>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9F"/>
    <w:rsid w:val="000008D6"/>
    <w:rsid w:val="00006247"/>
    <w:rsid w:val="00027876"/>
    <w:rsid w:val="00036039"/>
    <w:rsid w:val="000375DF"/>
    <w:rsid w:val="00037F90"/>
    <w:rsid w:val="0004315B"/>
    <w:rsid w:val="0004499E"/>
    <w:rsid w:val="00052A83"/>
    <w:rsid w:val="00054F6C"/>
    <w:rsid w:val="00055749"/>
    <w:rsid w:val="00056F6A"/>
    <w:rsid w:val="000612B4"/>
    <w:rsid w:val="00065BA2"/>
    <w:rsid w:val="00071450"/>
    <w:rsid w:val="000875BF"/>
    <w:rsid w:val="00094F03"/>
    <w:rsid w:val="00096D8C"/>
    <w:rsid w:val="000B7E60"/>
    <w:rsid w:val="000C0B65"/>
    <w:rsid w:val="000C3485"/>
    <w:rsid w:val="000D28EE"/>
    <w:rsid w:val="000E031F"/>
    <w:rsid w:val="000E05FE"/>
    <w:rsid w:val="000E3D42"/>
    <w:rsid w:val="000F7E31"/>
    <w:rsid w:val="00100DAB"/>
    <w:rsid w:val="00101FDB"/>
    <w:rsid w:val="00106B8D"/>
    <w:rsid w:val="0011262E"/>
    <w:rsid w:val="00122BD5"/>
    <w:rsid w:val="001258DD"/>
    <w:rsid w:val="00127F23"/>
    <w:rsid w:val="00133033"/>
    <w:rsid w:val="00133F79"/>
    <w:rsid w:val="00136458"/>
    <w:rsid w:val="00137345"/>
    <w:rsid w:val="00141368"/>
    <w:rsid w:val="00163A91"/>
    <w:rsid w:val="00170EB3"/>
    <w:rsid w:val="00185156"/>
    <w:rsid w:val="00185E97"/>
    <w:rsid w:val="00186CDF"/>
    <w:rsid w:val="00191BE8"/>
    <w:rsid w:val="00192C78"/>
    <w:rsid w:val="00194A66"/>
    <w:rsid w:val="00194D07"/>
    <w:rsid w:val="001A3FBE"/>
    <w:rsid w:val="001B6574"/>
    <w:rsid w:val="001C259C"/>
    <w:rsid w:val="001C6540"/>
    <w:rsid w:val="001C72E6"/>
    <w:rsid w:val="001C78C4"/>
    <w:rsid w:val="001C7DD4"/>
    <w:rsid w:val="001D2DEF"/>
    <w:rsid w:val="001D6BCF"/>
    <w:rsid w:val="001E01CA"/>
    <w:rsid w:val="001E5CEB"/>
    <w:rsid w:val="001F7DF5"/>
    <w:rsid w:val="00215864"/>
    <w:rsid w:val="002210A0"/>
    <w:rsid w:val="00222D5B"/>
    <w:rsid w:val="0022616B"/>
    <w:rsid w:val="0024747F"/>
    <w:rsid w:val="00250445"/>
    <w:rsid w:val="00250F59"/>
    <w:rsid w:val="002536D3"/>
    <w:rsid w:val="00254447"/>
    <w:rsid w:val="0027120A"/>
    <w:rsid w:val="002736E2"/>
    <w:rsid w:val="00275CF5"/>
    <w:rsid w:val="0028301F"/>
    <w:rsid w:val="00285017"/>
    <w:rsid w:val="0029077F"/>
    <w:rsid w:val="00295FAB"/>
    <w:rsid w:val="002A2D2E"/>
    <w:rsid w:val="002A3444"/>
    <w:rsid w:val="002A51F7"/>
    <w:rsid w:val="002A63F5"/>
    <w:rsid w:val="002A7D39"/>
    <w:rsid w:val="002B3A7B"/>
    <w:rsid w:val="002B3D97"/>
    <w:rsid w:val="002B4ED9"/>
    <w:rsid w:val="002C00E8"/>
    <w:rsid w:val="002C0396"/>
    <w:rsid w:val="002D661B"/>
    <w:rsid w:val="002E0967"/>
    <w:rsid w:val="002E292D"/>
    <w:rsid w:val="002E331E"/>
    <w:rsid w:val="002E4F02"/>
    <w:rsid w:val="002E6EEE"/>
    <w:rsid w:val="002F2BDB"/>
    <w:rsid w:val="002F3DF5"/>
    <w:rsid w:val="002F4A45"/>
    <w:rsid w:val="002F4F75"/>
    <w:rsid w:val="002F7CCF"/>
    <w:rsid w:val="00300772"/>
    <w:rsid w:val="00303C1B"/>
    <w:rsid w:val="003075EB"/>
    <w:rsid w:val="00316042"/>
    <w:rsid w:val="00320CB5"/>
    <w:rsid w:val="003244A4"/>
    <w:rsid w:val="00336A0B"/>
    <w:rsid w:val="003430FA"/>
    <w:rsid w:val="00343749"/>
    <w:rsid w:val="00344572"/>
    <w:rsid w:val="00347DEE"/>
    <w:rsid w:val="00351616"/>
    <w:rsid w:val="003532D9"/>
    <w:rsid w:val="003573A0"/>
    <w:rsid w:val="00357B80"/>
    <w:rsid w:val="003660ED"/>
    <w:rsid w:val="00367619"/>
    <w:rsid w:val="00371D5A"/>
    <w:rsid w:val="00375D28"/>
    <w:rsid w:val="00380741"/>
    <w:rsid w:val="00381B78"/>
    <w:rsid w:val="00383764"/>
    <w:rsid w:val="00395EE0"/>
    <w:rsid w:val="0039731E"/>
    <w:rsid w:val="003A2BD3"/>
    <w:rsid w:val="003B0550"/>
    <w:rsid w:val="003B086E"/>
    <w:rsid w:val="003B694F"/>
    <w:rsid w:val="003D0CA0"/>
    <w:rsid w:val="003D56DD"/>
    <w:rsid w:val="003E41B9"/>
    <w:rsid w:val="003E4CCE"/>
    <w:rsid w:val="003E6459"/>
    <w:rsid w:val="003F171C"/>
    <w:rsid w:val="003F1E5D"/>
    <w:rsid w:val="00403501"/>
    <w:rsid w:val="00412FC5"/>
    <w:rsid w:val="00413D59"/>
    <w:rsid w:val="00422276"/>
    <w:rsid w:val="004242F1"/>
    <w:rsid w:val="00427B4A"/>
    <w:rsid w:val="00431C48"/>
    <w:rsid w:val="00434282"/>
    <w:rsid w:val="0043464D"/>
    <w:rsid w:val="00441215"/>
    <w:rsid w:val="004451B6"/>
    <w:rsid w:val="00445248"/>
    <w:rsid w:val="00445A00"/>
    <w:rsid w:val="00451B0F"/>
    <w:rsid w:val="0045512C"/>
    <w:rsid w:val="004605E1"/>
    <w:rsid w:val="00477CCC"/>
    <w:rsid w:val="00484B18"/>
    <w:rsid w:val="00485BF9"/>
    <w:rsid w:val="00486406"/>
    <w:rsid w:val="004879DF"/>
    <w:rsid w:val="00487FEE"/>
    <w:rsid w:val="00495A8A"/>
    <w:rsid w:val="00497316"/>
    <w:rsid w:val="004A47D4"/>
    <w:rsid w:val="004A62D9"/>
    <w:rsid w:val="004B2F04"/>
    <w:rsid w:val="004C00D4"/>
    <w:rsid w:val="004C2672"/>
    <w:rsid w:val="004C2EE3"/>
    <w:rsid w:val="004C75FB"/>
    <w:rsid w:val="004D73D5"/>
    <w:rsid w:val="004E4A22"/>
    <w:rsid w:val="004E632C"/>
    <w:rsid w:val="004F5F29"/>
    <w:rsid w:val="004F6071"/>
    <w:rsid w:val="004F6763"/>
    <w:rsid w:val="00511968"/>
    <w:rsid w:val="005249B8"/>
    <w:rsid w:val="005259CD"/>
    <w:rsid w:val="00527ECF"/>
    <w:rsid w:val="00554D54"/>
    <w:rsid w:val="0055614C"/>
    <w:rsid w:val="0055687D"/>
    <w:rsid w:val="0055688C"/>
    <w:rsid w:val="00560BA0"/>
    <w:rsid w:val="00561C2C"/>
    <w:rsid w:val="00566D06"/>
    <w:rsid w:val="0056725F"/>
    <w:rsid w:val="0059439F"/>
    <w:rsid w:val="00595B13"/>
    <w:rsid w:val="005A0819"/>
    <w:rsid w:val="005A1922"/>
    <w:rsid w:val="005B13C1"/>
    <w:rsid w:val="005D22AE"/>
    <w:rsid w:val="005D347A"/>
    <w:rsid w:val="005E14C2"/>
    <w:rsid w:val="005E52B3"/>
    <w:rsid w:val="005F2D7E"/>
    <w:rsid w:val="005F3E6D"/>
    <w:rsid w:val="00602FE7"/>
    <w:rsid w:val="006048F0"/>
    <w:rsid w:val="00607BA5"/>
    <w:rsid w:val="00607DAC"/>
    <w:rsid w:val="0061180A"/>
    <w:rsid w:val="00613D68"/>
    <w:rsid w:val="006155DF"/>
    <w:rsid w:val="00623484"/>
    <w:rsid w:val="00623694"/>
    <w:rsid w:val="00623702"/>
    <w:rsid w:val="0062572D"/>
    <w:rsid w:val="00626EB6"/>
    <w:rsid w:val="00632E5C"/>
    <w:rsid w:val="00635CD5"/>
    <w:rsid w:val="00637694"/>
    <w:rsid w:val="00646730"/>
    <w:rsid w:val="00646936"/>
    <w:rsid w:val="0065279A"/>
    <w:rsid w:val="00655D03"/>
    <w:rsid w:val="006637E9"/>
    <w:rsid w:val="00674917"/>
    <w:rsid w:val="00683388"/>
    <w:rsid w:val="0068343B"/>
    <w:rsid w:val="00683F84"/>
    <w:rsid w:val="006878B1"/>
    <w:rsid w:val="006A59E0"/>
    <w:rsid w:val="006A5A29"/>
    <w:rsid w:val="006A6A81"/>
    <w:rsid w:val="006A7461"/>
    <w:rsid w:val="006A74F9"/>
    <w:rsid w:val="006B190F"/>
    <w:rsid w:val="006C365A"/>
    <w:rsid w:val="006C3B3A"/>
    <w:rsid w:val="006C7456"/>
    <w:rsid w:val="006D53BE"/>
    <w:rsid w:val="006E79BC"/>
    <w:rsid w:val="006F7393"/>
    <w:rsid w:val="0070224F"/>
    <w:rsid w:val="007115F7"/>
    <w:rsid w:val="007147F2"/>
    <w:rsid w:val="007156C0"/>
    <w:rsid w:val="0072091B"/>
    <w:rsid w:val="00722C95"/>
    <w:rsid w:val="00740838"/>
    <w:rsid w:val="00746667"/>
    <w:rsid w:val="00756A95"/>
    <w:rsid w:val="00764A6E"/>
    <w:rsid w:val="00775907"/>
    <w:rsid w:val="00777EF7"/>
    <w:rsid w:val="00785689"/>
    <w:rsid w:val="00786378"/>
    <w:rsid w:val="0079754B"/>
    <w:rsid w:val="007A1E6D"/>
    <w:rsid w:val="007A3218"/>
    <w:rsid w:val="007B0EB2"/>
    <w:rsid w:val="007B50E5"/>
    <w:rsid w:val="007B669D"/>
    <w:rsid w:val="007C5857"/>
    <w:rsid w:val="007C5AC9"/>
    <w:rsid w:val="007D1521"/>
    <w:rsid w:val="007D5B2F"/>
    <w:rsid w:val="007E3B14"/>
    <w:rsid w:val="007E3B83"/>
    <w:rsid w:val="00804049"/>
    <w:rsid w:val="0080736F"/>
    <w:rsid w:val="00810B6F"/>
    <w:rsid w:val="0081423D"/>
    <w:rsid w:val="008210A3"/>
    <w:rsid w:val="00822CE0"/>
    <w:rsid w:val="00841AB1"/>
    <w:rsid w:val="00846106"/>
    <w:rsid w:val="0085241A"/>
    <w:rsid w:val="0085548F"/>
    <w:rsid w:val="00872616"/>
    <w:rsid w:val="0088483D"/>
    <w:rsid w:val="008860ED"/>
    <w:rsid w:val="008863CD"/>
    <w:rsid w:val="008967D2"/>
    <w:rsid w:val="008A165A"/>
    <w:rsid w:val="008A23DA"/>
    <w:rsid w:val="008A4915"/>
    <w:rsid w:val="008B0A61"/>
    <w:rsid w:val="008B32B0"/>
    <w:rsid w:val="008C1521"/>
    <w:rsid w:val="008C68F1"/>
    <w:rsid w:val="008D0263"/>
    <w:rsid w:val="008D497B"/>
    <w:rsid w:val="008D59D4"/>
    <w:rsid w:val="008D63E9"/>
    <w:rsid w:val="008D6ECF"/>
    <w:rsid w:val="008D7A44"/>
    <w:rsid w:val="008F750F"/>
    <w:rsid w:val="00902B41"/>
    <w:rsid w:val="00903EEC"/>
    <w:rsid w:val="00906F8E"/>
    <w:rsid w:val="009107B2"/>
    <w:rsid w:val="00916A96"/>
    <w:rsid w:val="00921803"/>
    <w:rsid w:val="00921D38"/>
    <w:rsid w:val="009246A8"/>
    <w:rsid w:val="00926503"/>
    <w:rsid w:val="00927F7D"/>
    <w:rsid w:val="00943F3D"/>
    <w:rsid w:val="00944DD7"/>
    <w:rsid w:val="00971A62"/>
    <w:rsid w:val="009726D8"/>
    <w:rsid w:val="009818AE"/>
    <w:rsid w:val="009850AC"/>
    <w:rsid w:val="009867CF"/>
    <w:rsid w:val="009932A5"/>
    <w:rsid w:val="009A54D5"/>
    <w:rsid w:val="009A69FB"/>
    <w:rsid w:val="009B264B"/>
    <w:rsid w:val="009B5DD5"/>
    <w:rsid w:val="009B67B6"/>
    <w:rsid w:val="009B6FC9"/>
    <w:rsid w:val="009B7E96"/>
    <w:rsid w:val="009C1BFF"/>
    <w:rsid w:val="009D4F17"/>
    <w:rsid w:val="009D7308"/>
    <w:rsid w:val="009F3443"/>
    <w:rsid w:val="009F34EE"/>
    <w:rsid w:val="009F5DFA"/>
    <w:rsid w:val="009F76DB"/>
    <w:rsid w:val="00A078F3"/>
    <w:rsid w:val="00A07A60"/>
    <w:rsid w:val="00A13991"/>
    <w:rsid w:val="00A200D0"/>
    <w:rsid w:val="00A23B70"/>
    <w:rsid w:val="00A24D72"/>
    <w:rsid w:val="00A27574"/>
    <w:rsid w:val="00A319F3"/>
    <w:rsid w:val="00A32C3B"/>
    <w:rsid w:val="00A34D54"/>
    <w:rsid w:val="00A35E01"/>
    <w:rsid w:val="00A45F4F"/>
    <w:rsid w:val="00A45FDB"/>
    <w:rsid w:val="00A532CE"/>
    <w:rsid w:val="00A600A9"/>
    <w:rsid w:val="00A62F31"/>
    <w:rsid w:val="00A84137"/>
    <w:rsid w:val="00A91B89"/>
    <w:rsid w:val="00A926D3"/>
    <w:rsid w:val="00AA0615"/>
    <w:rsid w:val="00AA55B7"/>
    <w:rsid w:val="00AA5B9E"/>
    <w:rsid w:val="00AA6B9A"/>
    <w:rsid w:val="00AB2407"/>
    <w:rsid w:val="00AB53DF"/>
    <w:rsid w:val="00AD7649"/>
    <w:rsid w:val="00AF5703"/>
    <w:rsid w:val="00AF69D3"/>
    <w:rsid w:val="00B07665"/>
    <w:rsid w:val="00B07E5C"/>
    <w:rsid w:val="00B1230E"/>
    <w:rsid w:val="00B131D9"/>
    <w:rsid w:val="00B166D6"/>
    <w:rsid w:val="00B24ADF"/>
    <w:rsid w:val="00B303BA"/>
    <w:rsid w:val="00B3307B"/>
    <w:rsid w:val="00B3775B"/>
    <w:rsid w:val="00B42C6D"/>
    <w:rsid w:val="00B516E4"/>
    <w:rsid w:val="00B56006"/>
    <w:rsid w:val="00B6348F"/>
    <w:rsid w:val="00B70F4D"/>
    <w:rsid w:val="00B73235"/>
    <w:rsid w:val="00B811F7"/>
    <w:rsid w:val="00BA0BE7"/>
    <w:rsid w:val="00BA1F72"/>
    <w:rsid w:val="00BA2152"/>
    <w:rsid w:val="00BA5DC6"/>
    <w:rsid w:val="00BA6196"/>
    <w:rsid w:val="00BB3223"/>
    <w:rsid w:val="00BC5149"/>
    <w:rsid w:val="00BC6D8C"/>
    <w:rsid w:val="00BC7A70"/>
    <w:rsid w:val="00BD7085"/>
    <w:rsid w:val="00BE4F5D"/>
    <w:rsid w:val="00BF022C"/>
    <w:rsid w:val="00BF11D0"/>
    <w:rsid w:val="00BF78E3"/>
    <w:rsid w:val="00BF7962"/>
    <w:rsid w:val="00C03213"/>
    <w:rsid w:val="00C06E04"/>
    <w:rsid w:val="00C078DF"/>
    <w:rsid w:val="00C21C26"/>
    <w:rsid w:val="00C22C1E"/>
    <w:rsid w:val="00C256BB"/>
    <w:rsid w:val="00C34006"/>
    <w:rsid w:val="00C35648"/>
    <w:rsid w:val="00C35FD9"/>
    <w:rsid w:val="00C36B4C"/>
    <w:rsid w:val="00C40C0F"/>
    <w:rsid w:val="00C426B1"/>
    <w:rsid w:val="00C436A9"/>
    <w:rsid w:val="00C437C5"/>
    <w:rsid w:val="00C510DD"/>
    <w:rsid w:val="00C51166"/>
    <w:rsid w:val="00C51C45"/>
    <w:rsid w:val="00C54838"/>
    <w:rsid w:val="00C634BC"/>
    <w:rsid w:val="00C66160"/>
    <w:rsid w:val="00C7006F"/>
    <w:rsid w:val="00C721AC"/>
    <w:rsid w:val="00C7354A"/>
    <w:rsid w:val="00C80F1C"/>
    <w:rsid w:val="00C846DD"/>
    <w:rsid w:val="00C86E40"/>
    <w:rsid w:val="00C90D6A"/>
    <w:rsid w:val="00C95A85"/>
    <w:rsid w:val="00CA247E"/>
    <w:rsid w:val="00CA640F"/>
    <w:rsid w:val="00CA692A"/>
    <w:rsid w:val="00CA693F"/>
    <w:rsid w:val="00CA6D21"/>
    <w:rsid w:val="00CB3ABF"/>
    <w:rsid w:val="00CC5881"/>
    <w:rsid w:val="00CC5CD9"/>
    <w:rsid w:val="00CC72B6"/>
    <w:rsid w:val="00CD15D0"/>
    <w:rsid w:val="00CD3D53"/>
    <w:rsid w:val="00CD54A5"/>
    <w:rsid w:val="00CD6CE8"/>
    <w:rsid w:val="00CE2981"/>
    <w:rsid w:val="00CE6649"/>
    <w:rsid w:val="00CF325B"/>
    <w:rsid w:val="00CF440C"/>
    <w:rsid w:val="00CF6518"/>
    <w:rsid w:val="00D0218D"/>
    <w:rsid w:val="00D24486"/>
    <w:rsid w:val="00D25F84"/>
    <w:rsid w:val="00D25FB5"/>
    <w:rsid w:val="00D33A2D"/>
    <w:rsid w:val="00D33D63"/>
    <w:rsid w:val="00D36493"/>
    <w:rsid w:val="00D4074F"/>
    <w:rsid w:val="00D44223"/>
    <w:rsid w:val="00D462E9"/>
    <w:rsid w:val="00D53094"/>
    <w:rsid w:val="00D56C64"/>
    <w:rsid w:val="00D57F93"/>
    <w:rsid w:val="00D6034A"/>
    <w:rsid w:val="00D60D1C"/>
    <w:rsid w:val="00D61547"/>
    <w:rsid w:val="00D64415"/>
    <w:rsid w:val="00D805CC"/>
    <w:rsid w:val="00D830DE"/>
    <w:rsid w:val="00D836C2"/>
    <w:rsid w:val="00D87C88"/>
    <w:rsid w:val="00DA18A9"/>
    <w:rsid w:val="00DA2529"/>
    <w:rsid w:val="00DA317F"/>
    <w:rsid w:val="00DA41FF"/>
    <w:rsid w:val="00DA5486"/>
    <w:rsid w:val="00DB130A"/>
    <w:rsid w:val="00DB2EBB"/>
    <w:rsid w:val="00DC10A1"/>
    <w:rsid w:val="00DC60C4"/>
    <w:rsid w:val="00DC655F"/>
    <w:rsid w:val="00DD0B59"/>
    <w:rsid w:val="00DD7EBD"/>
    <w:rsid w:val="00DE3271"/>
    <w:rsid w:val="00DF0F26"/>
    <w:rsid w:val="00DF62B6"/>
    <w:rsid w:val="00DF6453"/>
    <w:rsid w:val="00E03E93"/>
    <w:rsid w:val="00E07225"/>
    <w:rsid w:val="00E10A3B"/>
    <w:rsid w:val="00E132B6"/>
    <w:rsid w:val="00E24AB4"/>
    <w:rsid w:val="00E27DC8"/>
    <w:rsid w:val="00E30CE9"/>
    <w:rsid w:val="00E3144C"/>
    <w:rsid w:val="00E35494"/>
    <w:rsid w:val="00E4081B"/>
    <w:rsid w:val="00E5409F"/>
    <w:rsid w:val="00E57930"/>
    <w:rsid w:val="00E70E3B"/>
    <w:rsid w:val="00E80552"/>
    <w:rsid w:val="00E84008"/>
    <w:rsid w:val="00E851C8"/>
    <w:rsid w:val="00E947CF"/>
    <w:rsid w:val="00E96EEE"/>
    <w:rsid w:val="00E97339"/>
    <w:rsid w:val="00EA1AAF"/>
    <w:rsid w:val="00EC156D"/>
    <w:rsid w:val="00ED1217"/>
    <w:rsid w:val="00EE14F3"/>
    <w:rsid w:val="00EE6488"/>
    <w:rsid w:val="00EF1A9E"/>
    <w:rsid w:val="00EF47C4"/>
    <w:rsid w:val="00EF68D8"/>
    <w:rsid w:val="00F021FA"/>
    <w:rsid w:val="00F03C45"/>
    <w:rsid w:val="00F053F3"/>
    <w:rsid w:val="00F10D4D"/>
    <w:rsid w:val="00F111E2"/>
    <w:rsid w:val="00F125D0"/>
    <w:rsid w:val="00F131CD"/>
    <w:rsid w:val="00F205E2"/>
    <w:rsid w:val="00F30A59"/>
    <w:rsid w:val="00F33BF4"/>
    <w:rsid w:val="00F34D72"/>
    <w:rsid w:val="00F356C3"/>
    <w:rsid w:val="00F520AE"/>
    <w:rsid w:val="00F54E29"/>
    <w:rsid w:val="00F57F57"/>
    <w:rsid w:val="00F6048C"/>
    <w:rsid w:val="00F62DC3"/>
    <w:rsid w:val="00F62E97"/>
    <w:rsid w:val="00F64209"/>
    <w:rsid w:val="00F74DD6"/>
    <w:rsid w:val="00F77B2F"/>
    <w:rsid w:val="00F86700"/>
    <w:rsid w:val="00F92594"/>
    <w:rsid w:val="00F93BF5"/>
    <w:rsid w:val="00F94026"/>
    <w:rsid w:val="00FA1626"/>
    <w:rsid w:val="00FA2EE6"/>
    <w:rsid w:val="00FB05D9"/>
    <w:rsid w:val="00FC0B5B"/>
    <w:rsid w:val="00FE537F"/>
    <w:rsid w:val="00FE708D"/>
    <w:rsid w:val="00FF1119"/>
    <w:rsid w:val="00FF1959"/>
    <w:rsid w:val="00FF6F91"/>
    <w:rsid w:val="00FF7360"/>
    <w:rsid w:val="3BF04D07"/>
    <w:rsid w:val="70B113AE"/>
    <w:rsid w:val="777D83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F9BD45-B42A-45D8-BE36-DB819D85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4F"/>
    <w:pPr>
      <w:widowControl w:val="0"/>
    </w:pPr>
    <w:rPr>
      <w:snapToGrid w:val="0"/>
      <w:kern w:val="28"/>
      <w:sz w:val="22"/>
    </w:rPr>
  </w:style>
  <w:style w:type="paragraph" w:styleId="Heading1">
    <w:name w:val="heading 1"/>
    <w:basedOn w:val="Normal"/>
    <w:next w:val="ParaNum"/>
    <w:qFormat/>
    <w:rsid w:val="00D407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4074F"/>
    <w:pPr>
      <w:keepNext/>
      <w:numPr>
        <w:ilvl w:val="1"/>
        <w:numId w:val="3"/>
      </w:numPr>
      <w:spacing w:after="120"/>
      <w:outlineLvl w:val="1"/>
    </w:pPr>
    <w:rPr>
      <w:b/>
    </w:rPr>
  </w:style>
  <w:style w:type="paragraph" w:styleId="Heading3">
    <w:name w:val="heading 3"/>
    <w:basedOn w:val="Normal"/>
    <w:next w:val="ParaNum"/>
    <w:qFormat/>
    <w:rsid w:val="00D4074F"/>
    <w:pPr>
      <w:keepNext/>
      <w:numPr>
        <w:ilvl w:val="2"/>
        <w:numId w:val="3"/>
      </w:numPr>
      <w:tabs>
        <w:tab w:val="left" w:pos="2160"/>
      </w:tabs>
      <w:spacing w:after="120"/>
      <w:outlineLvl w:val="2"/>
    </w:pPr>
    <w:rPr>
      <w:b/>
    </w:rPr>
  </w:style>
  <w:style w:type="paragraph" w:styleId="Heading4">
    <w:name w:val="heading 4"/>
    <w:basedOn w:val="Normal"/>
    <w:next w:val="ParaNum"/>
    <w:qFormat/>
    <w:rsid w:val="00D4074F"/>
    <w:pPr>
      <w:keepNext/>
      <w:numPr>
        <w:ilvl w:val="3"/>
        <w:numId w:val="3"/>
      </w:numPr>
      <w:tabs>
        <w:tab w:val="left" w:pos="2880"/>
      </w:tabs>
      <w:spacing w:after="120"/>
      <w:outlineLvl w:val="3"/>
    </w:pPr>
    <w:rPr>
      <w:b/>
    </w:rPr>
  </w:style>
  <w:style w:type="paragraph" w:styleId="Heading5">
    <w:name w:val="heading 5"/>
    <w:basedOn w:val="Normal"/>
    <w:next w:val="ParaNum"/>
    <w:qFormat/>
    <w:rsid w:val="00D407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4074F"/>
    <w:pPr>
      <w:numPr>
        <w:ilvl w:val="5"/>
        <w:numId w:val="3"/>
      </w:numPr>
      <w:tabs>
        <w:tab w:val="left" w:pos="4320"/>
      </w:tabs>
      <w:spacing w:after="120"/>
      <w:outlineLvl w:val="5"/>
    </w:pPr>
    <w:rPr>
      <w:b/>
    </w:rPr>
  </w:style>
  <w:style w:type="paragraph" w:styleId="Heading7">
    <w:name w:val="heading 7"/>
    <w:basedOn w:val="Normal"/>
    <w:next w:val="ParaNum"/>
    <w:qFormat/>
    <w:rsid w:val="00D407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407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407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07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74F"/>
  </w:style>
  <w:style w:type="paragraph" w:customStyle="1" w:styleId="ParaNum">
    <w:name w:val="ParaNum"/>
    <w:basedOn w:val="Normal"/>
    <w:rsid w:val="00D4074F"/>
    <w:pPr>
      <w:numPr>
        <w:numId w:val="2"/>
      </w:numPr>
      <w:tabs>
        <w:tab w:val="clear" w:pos="1080"/>
        <w:tab w:val="num" w:pos="1440"/>
      </w:tabs>
      <w:spacing w:after="120"/>
    </w:pPr>
  </w:style>
  <w:style w:type="paragraph" w:styleId="EndnoteText">
    <w:name w:val="endnote text"/>
    <w:basedOn w:val="Normal"/>
    <w:semiHidden/>
    <w:rsid w:val="00D4074F"/>
    <w:rPr>
      <w:sz w:val="20"/>
    </w:rPr>
  </w:style>
  <w:style w:type="character" w:styleId="EndnoteReference">
    <w:name w:val="endnote reference"/>
    <w:semiHidden/>
    <w:rsid w:val="00D4074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D4074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4074F"/>
    <w:rPr>
      <w:rFonts w:ascii="Times New Roman" w:hAnsi="Times New Roman"/>
      <w:dstrike w:val="0"/>
      <w:color w:val="auto"/>
      <w:sz w:val="20"/>
      <w:vertAlign w:val="superscript"/>
    </w:rPr>
  </w:style>
  <w:style w:type="paragraph" w:styleId="TOC1">
    <w:name w:val="toc 1"/>
    <w:basedOn w:val="Normal"/>
    <w:next w:val="Normal"/>
    <w:semiHidden/>
    <w:rsid w:val="00D407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074F"/>
    <w:pPr>
      <w:tabs>
        <w:tab w:val="left" w:pos="720"/>
        <w:tab w:val="right" w:leader="dot" w:pos="9360"/>
      </w:tabs>
      <w:suppressAutoHyphens/>
      <w:ind w:left="720" w:right="720" w:hanging="360"/>
    </w:pPr>
    <w:rPr>
      <w:noProof/>
    </w:rPr>
  </w:style>
  <w:style w:type="paragraph" w:styleId="TOC3">
    <w:name w:val="toc 3"/>
    <w:basedOn w:val="Normal"/>
    <w:next w:val="Normal"/>
    <w:semiHidden/>
    <w:rsid w:val="00D407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07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07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07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07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07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07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074F"/>
    <w:pPr>
      <w:tabs>
        <w:tab w:val="right" w:pos="9360"/>
      </w:tabs>
      <w:suppressAutoHyphens/>
    </w:pPr>
  </w:style>
  <w:style w:type="character" w:customStyle="1" w:styleId="EquationCaption">
    <w:name w:val="_Equation Caption"/>
    <w:rsid w:val="00D4074F"/>
  </w:style>
  <w:style w:type="paragraph" w:styleId="Header">
    <w:name w:val="header"/>
    <w:basedOn w:val="Normal"/>
    <w:autoRedefine/>
    <w:rsid w:val="00D4074F"/>
    <w:pPr>
      <w:tabs>
        <w:tab w:val="center" w:pos="4680"/>
        <w:tab w:val="right" w:pos="9360"/>
      </w:tabs>
    </w:pPr>
    <w:rPr>
      <w:b/>
    </w:rPr>
  </w:style>
  <w:style w:type="paragraph" w:styleId="Footer">
    <w:name w:val="footer"/>
    <w:basedOn w:val="Normal"/>
    <w:link w:val="FooterChar"/>
    <w:uiPriority w:val="99"/>
    <w:rsid w:val="00D4074F"/>
    <w:pPr>
      <w:tabs>
        <w:tab w:val="center" w:pos="4320"/>
        <w:tab w:val="right" w:pos="8640"/>
      </w:tabs>
    </w:pPr>
  </w:style>
  <w:style w:type="character" w:styleId="PageNumber">
    <w:name w:val="page number"/>
    <w:basedOn w:val="DefaultParagraphFont"/>
    <w:rsid w:val="00D4074F"/>
  </w:style>
  <w:style w:type="paragraph" w:styleId="BlockText">
    <w:name w:val="Block Text"/>
    <w:basedOn w:val="Normal"/>
    <w:rsid w:val="00D4074F"/>
    <w:pPr>
      <w:spacing w:after="240"/>
      <w:ind w:left="1440" w:right="1440"/>
    </w:pPr>
  </w:style>
  <w:style w:type="paragraph" w:customStyle="1" w:styleId="Paratitle">
    <w:name w:val="Para title"/>
    <w:basedOn w:val="Normal"/>
    <w:rsid w:val="00D4074F"/>
    <w:pPr>
      <w:tabs>
        <w:tab w:val="center" w:pos="9270"/>
      </w:tabs>
      <w:spacing w:after="240"/>
    </w:pPr>
    <w:rPr>
      <w:spacing w:val="-2"/>
    </w:rPr>
  </w:style>
  <w:style w:type="paragraph" w:customStyle="1" w:styleId="Bullet">
    <w:name w:val="Bullet"/>
    <w:basedOn w:val="Normal"/>
    <w:rsid w:val="00D4074F"/>
    <w:pPr>
      <w:tabs>
        <w:tab w:val="left" w:pos="2160"/>
      </w:tabs>
      <w:spacing w:after="220"/>
      <w:ind w:left="2160" w:hanging="720"/>
    </w:pPr>
  </w:style>
  <w:style w:type="paragraph" w:customStyle="1" w:styleId="TableFormat">
    <w:name w:val="TableFormat"/>
    <w:basedOn w:val="Bullet"/>
    <w:rsid w:val="00D4074F"/>
    <w:pPr>
      <w:tabs>
        <w:tab w:val="clear" w:pos="2160"/>
        <w:tab w:val="left" w:pos="5040"/>
      </w:tabs>
      <w:ind w:left="5040" w:hanging="3600"/>
    </w:pPr>
  </w:style>
  <w:style w:type="paragraph" w:customStyle="1" w:styleId="TOCTitle">
    <w:name w:val="TOC Title"/>
    <w:basedOn w:val="Normal"/>
    <w:rsid w:val="00D407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074F"/>
    <w:pPr>
      <w:jc w:val="center"/>
    </w:pPr>
    <w:rPr>
      <w:rFonts w:ascii="Times New Roman Bold" w:hAnsi="Times New Roman Bold"/>
      <w:b/>
      <w:bCs/>
      <w:caps/>
      <w:szCs w:val="22"/>
    </w:rPr>
  </w:style>
  <w:style w:type="character" w:styleId="Hyperlink">
    <w:name w:val="Hyperlink"/>
    <w:rsid w:val="00D4074F"/>
    <w:rPr>
      <w:color w:val="0000FF"/>
      <w:u w:val="single"/>
    </w:rPr>
  </w:style>
  <w:style w:type="character" w:customStyle="1" w:styleId="FooterChar">
    <w:name w:val="Footer Char"/>
    <w:link w:val="Footer"/>
    <w:uiPriority w:val="99"/>
    <w:rsid w:val="00D4074F"/>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59439F"/>
  </w:style>
  <w:style w:type="paragraph" w:styleId="BalloonText">
    <w:name w:val="Balloon Text"/>
    <w:basedOn w:val="Normal"/>
    <w:link w:val="BalloonTextChar"/>
    <w:rsid w:val="002536D3"/>
    <w:rPr>
      <w:rFonts w:ascii="Segoe UI" w:hAnsi="Segoe UI" w:cs="Segoe UI"/>
      <w:sz w:val="18"/>
      <w:szCs w:val="18"/>
    </w:rPr>
  </w:style>
  <w:style w:type="character" w:customStyle="1" w:styleId="BalloonTextChar">
    <w:name w:val="Balloon Text Char"/>
    <w:basedOn w:val="DefaultParagraphFont"/>
    <w:link w:val="BalloonText"/>
    <w:rsid w:val="002536D3"/>
    <w:rPr>
      <w:rFonts w:ascii="Segoe UI" w:hAnsi="Segoe UI" w:cs="Segoe UI"/>
      <w:snapToGrid w:val="0"/>
      <w:kern w:val="28"/>
      <w:sz w:val="18"/>
      <w:szCs w:val="18"/>
    </w:rPr>
  </w:style>
  <w:style w:type="character" w:styleId="CommentReference">
    <w:name w:val="annotation reference"/>
    <w:basedOn w:val="DefaultParagraphFont"/>
    <w:rsid w:val="00B56006"/>
    <w:rPr>
      <w:sz w:val="16"/>
      <w:szCs w:val="16"/>
    </w:rPr>
  </w:style>
  <w:style w:type="paragraph" w:styleId="CommentText">
    <w:name w:val="annotation text"/>
    <w:basedOn w:val="Normal"/>
    <w:link w:val="CommentTextChar"/>
    <w:rsid w:val="00B56006"/>
    <w:rPr>
      <w:sz w:val="20"/>
    </w:rPr>
  </w:style>
  <w:style w:type="character" w:customStyle="1" w:styleId="CommentTextChar">
    <w:name w:val="Comment Text Char"/>
    <w:basedOn w:val="DefaultParagraphFont"/>
    <w:link w:val="CommentText"/>
    <w:rsid w:val="00B56006"/>
    <w:rPr>
      <w:snapToGrid w:val="0"/>
      <w:kern w:val="28"/>
    </w:rPr>
  </w:style>
  <w:style w:type="paragraph" w:styleId="CommentSubject">
    <w:name w:val="annotation subject"/>
    <w:basedOn w:val="CommentText"/>
    <w:next w:val="CommentText"/>
    <w:link w:val="CommentSubjectChar"/>
    <w:rsid w:val="00B56006"/>
    <w:rPr>
      <w:b/>
      <w:bCs/>
    </w:rPr>
  </w:style>
  <w:style w:type="character" w:customStyle="1" w:styleId="CommentSubjectChar">
    <w:name w:val="Comment Subject Char"/>
    <w:basedOn w:val="CommentTextChar"/>
    <w:link w:val="CommentSubject"/>
    <w:rsid w:val="00B56006"/>
    <w:rPr>
      <w:b/>
      <w:bCs/>
      <w:snapToGrid w:val="0"/>
      <w:kern w:val="28"/>
    </w:rPr>
  </w:style>
  <w:style w:type="character" w:customStyle="1" w:styleId="UnresolvedMention">
    <w:name w:val="Unresolved Mention"/>
    <w:basedOn w:val="DefaultParagraphFont"/>
    <w:uiPriority w:val="99"/>
    <w:rsid w:val="00927F7D"/>
    <w:rPr>
      <w:color w:val="605E5C"/>
      <w:shd w:val="clear" w:color="auto" w:fill="E1DFDD"/>
    </w:rPr>
  </w:style>
  <w:style w:type="character" w:styleId="FollowedHyperlink">
    <w:name w:val="FollowedHyperlink"/>
    <w:basedOn w:val="DefaultParagraphFont"/>
    <w:rsid w:val="00B51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view.outreach.usac.org/?qs=be09390ef07599d284f2b38fd59dd2c39f6b121f0ca170945dbb0982bc42596bcb0e4c09491e9f242b75d4a4e11eeb6da21cf8d6702235f973a7c64c426324a377b2b7a89de733dc" TargetMode="External" /><Relationship Id="rId2" Type="http://schemas.openxmlformats.org/officeDocument/2006/relationships/hyperlink" Target="https://www.aamc.org/news-insights/covid-19-variants-are-spreading-rapidly-here-s-what-scientists-know-about-them-and-why-you-need" TargetMode="External" /><Relationship Id="rId3" Type="http://schemas.openxmlformats.org/officeDocument/2006/relationships/hyperlink" Target="https://www.bostonglobe.com/2021/01/07/nation/virus-testing-remains-challenge-it-could-get-worse-taxed-health-care-providers-juggle-vaccine-rollout/" TargetMode="External" /><Relationship Id="rId4" Type="http://schemas.openxmlformats.org/officeDocument/2006/relationships/hyperlink" Target="https://www.nytimes.com/2021/01/14/us/politics/coronavirus-vaccine-national-guard.html" TargetMode="External" /><Relationship Id="rId5" Type="http://schemas.openxmlformats.org/officeDocument/2006/relationships/hyperlink" Target="https://www.wsj.com/articles/demand-for-covid-19-vaccines-overwhelms-state-health-providers-11612789789" TargetMode="External" /><Relationship Id="rId6" Type="http://schemas.openxmlformats.org/officeDocument/2006/relationships/hyperlink" Target="https://www.washingtonpost.com/business/telemedicine/2020/09/12/3dcf2ea4-f4cb-11ea-8025-5d3489768ac8_story.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