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04CE3" w14:paraId="4881E0C5" w14:textId="28A21538"/>
    <w:p w:rsidR="00BB6AAF" w14:paraId="55403077" w14:textId="787EF6C4">
      <w:pPr>
        <w:rPr>
          <w:rFonts w:ascii="Times New Roman" w:hAnsi="Times New Roman"/>
          <w:b/>
          <w:bCs/>
          <w:sz w:val="24"/>
          <w:szCs w:val="24"/>
        </w:rPr>
      </w:pPr>
      <w:r>
        <w:tab/>
      </w:r>
      <w:r>
        <w:tab/>
      </w:r>
      <w:r>
        <w:tab/>
      </w:r>
      <w:r>
        <w:tab/>
      </w:r>
      <w:r>
        <w:tab/>
      </w:r>
      <w:r>
        <w:tab/>
      </w:r>
      <w:r>
        <w:tab/>
      </w:r>
      <w:r>
        <w:tab/>
      </w:r>
      <w:r>
        <w:tab/>
      </w:r>
      <w:r>
        <w:tab/>
      </w:r>
      <w:r>
        <w:tab/>
      </w:r>
      <w:r w:rsidRPr="004F3780">
        <w:rPr>
          <w:rFonts w:ascii="Times New Roman" w:hAnsi="Times New Roman"/>
          <w:b/>
          <w:bCs/>
          <w:sz w:val="24"/>
          <w:szCs w:val="24"/>
        </w:rPr>
        <w:t>DA</w:t>
      </w:r>
      <w:r w:rsidRPr="004F3780" w:rsidR="004F3780">
        <w:rPr>
          <w:rFonts w:ascii="Times New Roman" w:hAnsi="Times New Roman"/>
          <w:b/>
          <w:bCs/>
          <w:sz w:val="24"/>
          <w:szCs w:val="24"/>
        </w:rPr>
        <w:t xml:space="preserve"> 21-</w:t>
      </w:r>
      <w:r w:rsidR="003D2E34">
        <w:rPr>
          <w:rFonts w:ascii="Times New Roman" w:hAnsi="Times New Roman"/>
          <w:b/>
          <w:bCs/>
          <w:sz w:val="24"/>
          <w:szCs w:val="24"/>
        </w:rPr>
        <w:t>169</w:t>
      </w:r>
    </w:p>
    <w:p w:rsidR="004F3780" w:rsidRPr="004F3780" w14:paraId="08FBDE23" w14:textId="77777777">
      <w:pPr>
        <w:rPr>
          <w:rFonts w:ascii="Times New Roman" w:hAnsi="Times New Roman"/>
          <w:b/>
          <w:bCs/>
          <w:sz w:val="24"/>
          <w:szCs w:val="24"/>
        </w:rPr>
      </w:pPr>
    </w:p>
    <w:p w:rsidR="00BB6AAF" w:rsidP="00BB6AAF" w14:paraId="50FF8791" w14:textId="77777777">
      <w:pPr>
        <w:spacing w:after="0"/>
        <w:jc w:val="center"/>
        <w:rPr>
          <w:rFonts w:ascii="Times New Roman" w:hAnsi="Times New Roman"/>
          <w:b/>
        </w:rPr>
      </w:pPr>
      <w:r>
        <w:rPr>
          <w:rFonts w:ascii="Times New Roman" w:hAnsi="Times New Roman"/>
          <w:b/>
          <w:sz w:val="28"/>
          <w:szCs w:val="28"/>
        </w:rPr>
        <w:t>SMALL ENTITY COMPLIANCE GUIDE</w:t>
      </w:r>
    </w:p>
    <w:p w:rsidR="00BB6AAF" w:rsidP="00BB6AAF" w14:paraId="760096D2" w14:textId="77777777">
      <w:pPr>
        <w:spacing w:after="0"/>
        <w:ind w:hanging="90"/>
        <w:jc w:val="center"/>
        <w:rPr>
          <w:rFonts w:ascii="Times New Roman" w:hAnsi="Times New Roman"/>
          <w:b/>
          <w:bCs/>
        </w:rPr>
      </w:pPr>
      <w:r>
        <w:rPr>
          <w:rFonts w:ascii="Times New Roman" w:hAnsi="Times New Roman"/>
          <w:b/>
          <w:bCs/>
        </w:rPr>
        <w:t xml:space="preserve">Expanding Consumers’ Video Navigation </w:t>
      </w:r>
      <w:r>
        <w:rPr>
          <w:rFonts w:ascii="Times New Roman" w:hAnsi="Times New Roman"/>
          <w:b/>
          <w:bCs/>
        </w:rPr>
        <w:t>Choices;</w:t>
      </w:r>
    </w:p>
    <w:p w:rsidR="00BB6AAF" w:rsidP="00BB6AAF" w14:paraId="0FA6EBA1" w14:textId="77777777">
      <w:pPr>
        <w:spacing w:after="0"/>
        <w:ind w:hanging="90"/>
        <w:jc w:val="center"/>
        <w:rPr>
          <w:rFonts w:ascii="Times New Roman" w:hAnsi="Times New Roman"/>
          <w:b/>
          <w:bCs/>
        </w:rPr>
      </w:pPr>
      <w:r>
        <w:rPr>
          <w:rFonts w:ascii="Times New Roman" w:hAnsi="Times New Roman"/>
          <w:b/>
          <w:bCs/>
        </w:rPr>
        <w:t>Commercial Availability of Navigation Devices</w:t>
      </w:r>
    </w:p>
    <w:p w:rsidR="00BB6AAF" w:rsidP="00BB6AAF" w14:paraId="11AA445A" w14:textId="77777777">
      <w:pPr>
        <w:spacing w:after="0"/>
        <w:ind w:hanging="90"/>
        <w:jc w:val="center"/>
        <w:rPr>
          <w:rFonts w:ascii="Times New Roman" w:hAnsi="Times New Roman"/>
          <w:b/>
          <w:bCs/>
        </w:rPr>
      </w:pPr>
    </w:p>
    <w:p w:rsidR="00BB6AAF" w:rsidP="00BB6AAF" w14:paraId="4C0CE166" w14:textId="77777777">
      <w:pPr>
        <w:spacing w:after="0"/>
        <w:jc w:val="center"/>
        <w:rPr>
          <w:rFonts w:ascii="Times New Roman" w:hAnsi="Times New Roman"/>
        </w:rPr>
      </w:pPr>
      <w:r>
        <w:rPr>
          <w:rFonts w:ascii="Times New Roman" w:hAnsi="Times New Roman"/>
          <w:b/>
        </w:rPr>
        <w:t>FCC 20-124; MB Docket No. 16-42, CS Docket No. 97-80</w:t>
      </w:r>
    </w:p>
    <w:p w:rsidR="00BB6AAF" w:rsidP="00BB6AAF" w14:paraId="252FE271" w14:textId="77777777">
      <w:pPr>
        <w:spacing w:after="0"/>
        <w:jc w:val="center"/>
        <w:rPr>
          <w:rFonts w:ascii="Times New Roman" w:hAnsi="Times New Roman"/>
          <w:b/>
        </w:rPr>
      </w:pPr>
      <w:r>
        <w:rPr>
          <w:rFonts w:ascii="Times New Roman" w:hAnsi="Times New Roman"/>
          <w:b/>
        </w:rPr>
        <w:t>Released September 4, 2020</w:t>
      </w:r>
    </w:p>
    <w:p w:rsidR="00BB6AAF" w:rsidP="00BB6AAF" w14:paraId="390EE178" w14:textId="77777777">
      <w:pPr>
        <w:spacing w:after="0"/>
        <w:rPr>
          <w:rFonts w:ascii="Times New Roman" w:hAnsi="Times New Roman"/>
          <w:b/>
        </w:rPr>
      </w:pPr>
    </w:p>
    <w:p w:rsidR="00BB6AAF" w:rsidP="00BB6AAF" w14:paraId="0AEC78F6" w14:textId="77777777">
      <w:pPr>
        <w:spacing w:after="0"/>
        <w:ind w:left="720"/>
        <w:rPr>
          <w:rFonts w:ascii="Times New Roman" w:hAnsi="Times New Roman"/>
          <w:b/>
        </w:rPr>
      </w:pPr>
      <w:r>
        <w:rPr>
          <w:rFonts w:ascii="Times New Roman" w:hAnsi="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BB6AAF" w:rsidP="00BB6AAF" w14:paraId="2CE929F8" w14:textId="77777777">
      <w:pPr>
        <w:pStyle w:val="ListParagraph"/>
        <w:ind w:hanging="1080"/>
        <w:rPr>
          <w:rFonts w:ascii="Times New Roman" w:hAnsi="Times New Roman"/>
          <w:b/>
        </w:rPr>
      </w:pPr>
    </w:p>
    <w:p w:rsidR="00BB6AAF" w:rsidP="00BB6AAF" w14:paraId="07FBD634" w14:textId="77777777">
      <w:pPr>
        <w:pStyle w:val="ListParagraph"/>
        <w:rPr>
          <w:rFonts w:ascii="Times New Roman" w:hAnsi="Times New Roman"/>
          <w:b/>
        </w:rPr>
      </w:pPr>
      <w:r>
        <w:rPr>
          <w:rFonts w:ascii="Times New Roman" w:hAnsi="Times New Roman"/>
          <w:b/>
        </w:rPr>
        <w:t xml:space="preserve">In any civil or administrative action against a small entity for a violation of rules, the content of the Small Entity Compliance Guide may be considered as evidence of the reasonableness or appropriateness of proposed fines, </w:t>
      </w:r>
      <w:r>
        <w:rPr>
          <w:rFonts w:ascii="Times New Roman" w:hAnsi="Times New Roman"/>
          <w:b/>
        </w:rPr>
        <w:t>penalties</w:t>
      </w:r>
      <w:r>
        <w:rPr>
          <w:rFonts w:ascii="Times New Roman" w:hAnsi="Times New Roman"/>
          <w:b/>
        </w:rPr>
        <w:t xml:space="preserve">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BB6AAF" w:rsidP="00BB6AAF" w14:paraId="63554AD3" w14:textId="77777777">
      <w:pPr>
        <w:pStyle w:val="ListParagraph"/>
        <w:ind w:left="1080"/>
        <w:rPr>
          <w:rFonts w:ascii="Times New Roman" w:hAnsi="Times New Roman"/>
          <w:b/>
        </w:rPr>
      </w:pPr>
    </w:p>
    <w:p w:rsidR="00BB6AAF" w:rsidP="00BB6AAF" w14:paraId="5A247ADC" w14:textId="77777777">
      <w:pPr>
        <w:pStyle w:val="ListParagraph"/>
        <w:ind w:left="1080"/>
        <w:jc w:val="center"/>
        <w:rPr>
          <w:rFonts w:ascii="Times New Roman" w:hAnsi="Times New Roman"/>
          <w:b/>
        </w:rPr>
      </w:pPr>
      <w:r>
        <w:rPr>
          <w:rFonts w:ascii="Times New Roman" w:hAnsi="Times New Roman"/>
          <w:b/>
        </w:rPr>
        <w:t>1-888-CALL-FCC (1-888-225-5322)</w:t>
      </w:r>
    </w:p>
    <w:p w:rsidR="00BB6AAF" w:rsidP="00BB6AAF" w14:paraId="448A2D94" w14:textId="77777777">
      <w:pPr>
        <w:pStyle w:val="ListParagraph"/>
        <w:ind w:left="1080"/>
        <w:jc w:val="center"/>
        <w:rPr>
          <w:rFonts w:ascii="Times New Roman" w:hAnsi="Times New Roman"/>
          <w:b/>
        </w:rPr>
      </w:pPr>
      <w:r>
        <w:rPr>
          <w:rFonts w:ascii="Times New Roman" w:hAnsi="Times New Roman"/>
          <w:b/>
        </w:rPr>
        <w:t>TTY: 1-888-TELL-FCC (1-888-835-5322)</w:t>
      </w:r>
    </w:p>
    <w:p w:rsidR="00BB6AAF" w:rsidP="00BB6AAF" w14:paraId="04035093" w14:textId="77777777">
      <w:pPr>
        <w:pStyle w:val="ListParagraph"/>
        <w:ind w:left="1080"/>
        <w:jc w:val="center"/>
        <w:rPr>
          <w:rFonts w:ascii="Times New Roman" w:hAnsi="Times New Roman"/>
          <w:b/>
        </w:rPr>
      </w:pPr>
      <w:r>
        <w:rPr>
          <w:rFonts w:ascii="Times New Roman" w:hAnsi="Times New Roman"/>
          <w:b/>
        </w:rPr>
        <w:t>Videophone: 1-844-4-FCC-ASL (1-844-432-2275)</w:t>
      </w:r>
    </w:p>
    <w:p w:rsidR="00BB6AAF" w:rsidP="00BB6AAF" w14:paraId="0E36C7A9" w14:textId="77777777">
      <w:pPr>
        <w:pStyle w:val="ListParagraph"/>
        <w:ind w:left="1080"/>
        <w:jc w:val="center"/>
        <w:rPr>
          <w:rFonts w:ascii="Times New Roman" w:hAnsi="Times New Roman"/>
          <w:b/>
        </w:rPr>
      </w:pPr>
      <w:r>
        <w:rPr>
          <w:rFonts w:ascii="Times New Roman" w:hAnsi="Times New Roman"/>
          <w:b/>
        </w:rPr>
        <w:t>Fax: 1-866-418-0232</w:t>
      </w:r>
    </w:p>
    <w:p w:rsidR="002B1ABA" w:rsidRPr="004F3780" w:rsidP="002B1ABA" w14:paraId="44415782" w14:textId="77777777">
      <w:pPr>
        <w:jc w:val="center"/>
        <w:rPr>
          <w:rFonts w:ascii="Times New Roman" w:hAnsi="Times New Roman"/>
          <w:b/>
          <w:u w:val="single"/>
        </w:rPr>
      </w:pPr>
      <w:r>
        <w:br w:type="page"/>
      </w:r>
      <w:r w:rsidRPr="004F3780">
        <w:rPr>
          <w:rFonts w:ascii="Times New Roman" w:hAnsi="Times New Roman"/>
          <w:b/>
          <w:u w:val="single"/>
        </w:rPr>
        <w:t>TABLE OF CONTENTS</w:t>
      </w:r>
    </w:p>
    <w:p w:rsidR="002B1ABA" w:rsidRPr="004F3780" w:rsidP="002B1ABA" w14:paraId="19C6FAEF" w14:textId="77777777">
      <w:pPr>
        <w:rPr>
          <w:rFonts w:ascii="Times New Roman" w:hAnsi="Times New Roman"/>
          <w:b/>
          <w:u w:val="single"/>
        </w:rPr>
      </w:pPr>
    </w:p>
    <w:p w:rsidR="002B1ABA" w:rsidRPr="004F3780" w:rsidP="002B1ABA" w14:paraId="01955B19" w14:textId="77777777">
      <w:pPr>
        <w:tabs>
          <w:tab w:val="right" w:leader="dot" w:pos="8640"/>
        </w:tabs>
        <w:spacing w:line="257" w:lineRule="auto"/>
        <w:rPr>
          <w:rFonts w:ascii="Times New Roman" w:hAnsi="Times New Roman"/>
          <w:b/>
        </w:rPr>
      </w:pPr>
      <w:r w:rsidRPr="004F3780">
        <w:rPr>
          <w:rFonts w:ascii="Times New Roman" w:hAnsi="Times New Roman"/>
          <w:b/>
        </w:rPr>
        <w:t xml:space="preserve">I.          OBJECTIVES OF THE PROCEEDING </w:t>
      </w:r>
      <w:r w:rsidRPr="004F3780">
        <w:rPr>
          <w:rFonts w:ascii="Times New Roman" w:hAnsi="Times New Roman"/>
          <w:b/>
        </w:rPr>
        <w:tab/>
        <w:t>1</w:t>
      </w:r>
    </w:p>
    <w:p w:rsidR="002B1ABA" w:rsidRPr="004F3780" w:rsidP="002B1ABA" w14:paraId="59D4915E" w14:textId="77777777">
      <w:pPr>
        <w:tabs>
          <w:tab w:val="right" w:leader="dot" w:pos="8640"/>
        </w:tabs>
        <w:spacing w:line="257" w:lineRule="auto"/>
        <w:rPr>
          <w:rFonts w:ascii="Times New Roman" w:hAnsi="Times New Roman"/>
          <w:b/>
        </w:rPr>
      </w:pPr>
      <w:r w:rsidRPr="004F3780">
        <w:rPr>
          <w:rFonts w:ascii="Times New Roman" w:hAnsi="Times New Roman"/>
          <w:b/>
        </w:rPr>
        <w:t xml:space="preserve">II.         COMPLIANCE REQUIREMENTS </w:t>
      </w:r>
      <w:r w:rsidRPr="004F3780">
        <w:rPr>
          <w:rFonts w:ascii="Times New Roman" w:hAnsi="Times New Roman"/>
          <w:b/>
        </w:rPr>
        <w:tab/>
        <w:t>2</w:t>
      </w:r>
    </w:p>
    <w:p w:rsidR="002B1ABA" w:rsidRPr="004F3780" w:rsidP="002B1ABA" w14:paraId="4AD9A156" w14:textId="77777777">
      <w:pPr>
        <w:tabs>
          <w:tab w:val="right" w:leader="dot" w:pos="8640"/>
        </w:tabs>
        <w:spacing w:line="257" w:lineRule="auto"/>
        <w:rPr>
          <w:rFonts w:ascii="Times New Roman" w:hAnsi="Times New Roman"/>
          <w:b/>
        </w:rPr>
      </w:pPr>
      <w:r w:rsidRPr="004F3780">
        <w:rPr>
          <w:rFonts w:ascii="Times New Roman" w:hAnsi="Times New Roman"/>
          <w:b/>
        </w:rPr>
        <w:t xml:space="preserve">III.        RECORDKEEPING AND REPORTING REQUIREMENTS </w:t>
      </w:r>
      <w:r w:rsidRPr="004F3780">
        <w:rPr>
          <w:rFonts w:ascii="Times New Roman" w:hAnsi="Times New Roman"/>
          <w:b/>
        </w:rPr>
        <w:tab/>
        <w:t>2</w:t>
      </w:r>
    </w:p>
    <w:p w:rsidR="002B1ABA" w:rsidRPr="004F3780" w:rsidP="002B1ABA" w14:paraId="1A0F2B8C" w14:textId="7473D858">
      <w:pPr>
        <w:tabs>
          <w:tab w:val="right" w:leader="dot" w:pos="8640"/>
        </w:tabs>
        <w:spacing w:line="257" w:lineRule="auto"/>
        <w:rPr>
          <w:rFonts w:ascii="Times New Roman" w:hAnsi="Times New Roman"/>
          <w:b/>
        </w:rPr>
      </w:pPr>
      <w:r w:rsidRPr="004F3780">
        <w:rPr>
          <w:rFonts w:ascii="Times New Roman" w:hAnsi="Times New Roman"/>
          <w:b/>
        </w:rPr>
        <w:t xml:space="preserve">IV.        IMPLEMENTATION DATE </w:t>
      </w:r>
      <w:r w:rsidRPr="004F3780">
        <w:rPr>
          <w:rFonts w:ascii="Times New Roman" w:hAnsi="Times New Roman"/>
          <w:b/>
        </w:rPr>
        <w:tab/>
      </w:r>
      <w:r w:rsidR="00D174D0">
        <w:rPr>
          <w:rFonts w:ascii="Times New Roman" w:hAnsi="Times New Roman"/>
          <w:b/>
        </w:rPr>
        <w:t>3</w:t>
      </w:r>
    </w:p>
    <w:p w:rsidR="002B1ABA" w:rsidRPr="004F3780" w:rsidP="002B1ABA" w14:paraId="53066264" w14:textId="39B07F17">
      <w:pPr>
        <w:tabs>
          <w:tab w:val="right" w:leader="dot" w:pos="8640"/>
        </w:tabs>
        <w:spacing w:line="257" w:lineRule="auto"/>
        <w:rPr>
          <w:rFonts w:ascii="Times New Roman" w:hAnsi="Times New Roman"/>
          <w:b/>
        </w:rPr>
      </w:pPr>
      <w:r w:rsidRPr="004F3780">
        <w:rPr>
          <w:rFonts w:ascii="Times New Roman" w:hAnsi="Times New Roman"/>
          <w:b/>
        </w:rPr>
        <w:t xml:space="preserve">V.         INTERNET LINKS </w:t>
      </w:r>
      <w:r w:rsidRPr="004F3780">
        <w:rPr>
          <w:rFonts w:ascii="Times New Roman" w:hAnsi="Times New Roman"/>
          <w:b/>
        </w:rPr>
        <w:tab/>
      </w:r>
      <w:r w:rsidR="00D174D0">
        <w:rPr>
          <w:rFonts w:ascii="Times New Roman" w:hAnsi="Times New Roman"/>
          <w:b/>
        </w:rPr>
        <w:t>3</w:t>
      </w:r>
    </w:p>
    <w:p w:rsidR="00BB6AAF" w:rsidRPr="004F3780" w:rsidP="002B1ABA" w14:paraId="1C27B460" w14:textId="36F96993">
      <w:pPr>
        <w:rPr>
          <w:rFonts w:ascii="Times New Roman" w:hAnsi="Times New Roman"/>
          <w:b/>
        </w:rPr>
      </w:pPr>
    </w:p>
    <w:p w:rsidR="00BB6AAF" w:rsidRPr="004F3780" w:rsidP="00BB6AAF" w14:paraId="3A3F96E6" w14:textId="77777777">
      <w:pPr>
        <w:rPr>
          <w:rFonts w:ascii="Times New Roman" w:hAnsi="Times New Roman"/>
          <w:b/>
        </w:rPr>
      </w:pPr>
    </w:p>
    <w:p w:rsidR="00BB6AAF" w:rsidRPr="004F3780" w:rsidP="00BB6AAF" w14:paraId="348CCF18" w14:textId="77777777">
      <w:pPr>
        <w:rPr>
          <w:rFonts w:ascii="Times New Roman" w:hAnsi="Times New Roman"/>
          <w:b/>
        </w:rPr>
      </w:pPr>
    </w:p>
    <w:p w:rsidR="00BB6AAF" w:rsidRPr="004F3780" w:rsidP="00BB6AAF" w14:paraId="18F1A7E2" w14:textId="77777777">
      <w:pPr>
        <w:rPr>
          <w:rFonts w:ascii="Times New Roman" w:hAnsi="Times New Roman"/>
          <w:b/>
        </w:rPr>
      </w:pPr>
    </w:p>
    <w:p w:rsidR="00BB6AAF" w:rsidRPr="004F3780" w:rsidP="00BB6AAF" w14:paraId="09C24C9E" w14:textId="77777777">
      <w:pPr>
        <w:rPr>
          <w:rFonts w:ascii="Times New Roman" w:hAnsi="Times New Roman"/>
          <w:b/>
        </w:rPr>
      </w:pPr>
    </w:p>
    <w:p w:rsidR="00BB6AAF" w:rsidRPr="004F3780" w:rsidP="00BB6AAF" w14:paraId="7E01EFC2" w14:textId="77777777">
      <w:pPr>
        <w:rPr>
          <w:rFonts w:ascii="Times New Roman" w:hAnsi="Times New Roman"/>
          <w:b/>
        </w:rPr>
      </w:pPr>
    </w:p>
    <w:p w:rsidR="00BB6AAF" w:rsidRPr="004F3780" w:rsidP="00BB6AAF" w14:paraId="2B57E5AE" w14:textId="77777777">
      <w:pPr>
        <w:rPr>
          <w:rFonts w:ascii="Times New Roman" w:hAnsi="Times New Roman"/>
          <w:b/>
        </w:rPr>
      </w:pPr>
    </w:p>
    <w:p w:rsidR="00BB6AAF" w:rsidRPr="004F3780" w:rsidP="00BB6AAF" w14:paraId="661315F5" w14:textId="77777777">
      <w:pPr>
        <w:rPr>
          <w:rFonts w:ascii="Times New Roman" w:hAnsi="Times New Roman"/>
          <w:b/>
        </w:rPr>
      </w:pPr>
    </w:p>
    <w:p w:rsidR="00BB6AAF" w:rsidRPr="004F3780" w:rsidP="00BB6AAF" w14:paraId="053E385E" w14:textId="77777777">
      <w:pPr>
        <w:rPr>
          <w:rFonts w:ascii="Times New Roman" w:hAnsi="Times New Roman"/>
          <w:b/>
        </w:rPr>
      </w:pPr>
    </w:p>
    <w:p w:rsidR="00BB6AAF" w:rsidRPr="004F3780" w:rsidP="00BB6AAF" w14:paraId="3F0511E4" w14:textId="77777777">
      <w:pPr>
        <w:rPr>
          <w:rFonts w:ascii="Times New Roman" w:hAnsi="Times New Roman"/>
          <w:b/>
        </w:rPr>
      </w:pPr>
    </w:p>
    <w:p w:rsidR="00BB6AAF" w:rsidRPr="004F3780" w:rsidP="00BB6AAF" w14:paraId="408C23F5" w14:textId="77777777">
      <w:pPr>
        <w:rPr>
          <w:rFonts w:ascii="Times New Roman" w:hAnsi="Times New Roman"/>
          <w:b/>
        </w:rPr>
      </w:pPr>
    </w:p>
    <w:p w:rsidR="00BB6AAF" w:rsidRPr="004F3780" w:rsidP="00BB6AAF" w14:paraId="5B4C3675" w14:textId="77777777">
      <w:pPr>
        <w:rPr>
          <w:rFonts w:ascii="Times New Roman" w:hAnsi="Times New Roman"/>
          <w:b/>
        </w:rPr>
      </w:pPr>
    </w:p>
    <w:p w:rsidR="00BB6AAF" w:rsidRPr="004F3780" w:rsidP="00BB6AAF" w14:paraId="15D21926" w14:textId="77777777">
      <w:pPr>
        <w:rPr>
          <w:rFonts w:ascii="Times New Roman" w:hAnsi="Times New Roman"/>
          <w:b/>
        </w:rPr>
      </w:pPr>
    </w:p>
    <w:p w:rsidR="00BB6AAF" w:rsidRPr="004F3780" w:rsidP="00BB6AAF" w14:paraId="381B76D6" w14:textId="77777777">
      <w:pPr>
        <w:rPr>
          <w:rFonts w:ascii="Times New Roman" w:hAnsi="Times New Roman"/>
          <w:b/>
        </w:rPr>
      </w:pPr>
    </w:p>
    <w:p w:rsidR="00BB6AAF" w:rsidRPr="004F3780" w:rsidP="00BB6AAF" w14:paraId="10AAB3C8" w14:textId="77777777">
      <w:pPr>
        <w:rPr>
          <w:rFonts w:ascii="Times New Roman" w:hAnsi="Times New Roman"/>
          <w:b/>
        </w:rPr>
      </w:pPr>
    </w:p>
    <w:p w:rsidR="00BB6AAF" w:rsidRPr="004F3780" w:rsidP="00BB6AAF" w14:paraId="7FBFB06E" w14:textId="77777777">
      <w:pPr>
        <w:rPr>
          <w:rFonts w:ascii="Times New Roman" w:hAnsi="Times New Roman"/>
          <w:b/>
        </w:rPr>
      </w:pPr>
    </w:p>
    <w:p w:rsidR="00BB6AAF" w:rsidRPr="004F3780" w:rsidP="00BB6AAF" w14:paraId="77E075AD" w14:textId="77777777">
      <w:pPr>
        <w:rPr>
          <w:rFonts w:ascii="Times New Roman" w:hAnsi="Times New Roman"/>
          <w:b/>
        </w:rPr>
      </w:pPr>
    </w:p>
    <w:p w:rsidR="00BB6AAF" w:rsidRPr="004F3780" w:rsidP="00BB6AAF" w14:paraId="790F68A7" w14:textId="77777777">
      <w:pPr>
        <w:rPr>
          <w:rFonts w:ascii="Times New Roman" w:hAnsi="Times New Roman"/>
          <w:b/>
        </w:rPr>
      </w:pPr>
    </w:p>
    <w:p w:rsidR="00BB6AAF" w:rsidRPr="004F3780" w:rsidP="00BB6AAF" w14:paraId="5F2EC3C8" w14:textId="77777777">
      <w:pPr>
        <w:rPr>
          <w:rFonts w:ascii="Times New Roman" w:hAnsi="Times New Roman"/>
          <w:b/>
        </w:rPr>
      </w:pPr>
    </w:p>
    <w:p w:rsidR="00BB6AAF" w:rsidRPr="004F3780" w:rsidP="00BB6AAF" w14:paraId="2019A5E7" w14:textId="77777777">
      <w:pPr>
        <w:rPr>
          <w:rFonts w:ascii="Times New Roman" w:hAnsi="Times New Roman"/>
          <w:b/>
        </w:rPr>
      </w:pPr>
    </w:p>
    <w:p w:rsidR="00BB6AAF" w:rsidRPr="004F3780" w:rsidP="004F3780" w14:paraId="12FE4505" w14:textId="3FDFB493">
      <w:pPr>
        <w:jc w:val="right"/>
        <w:rPr>
          <w:rFonts w:ascii="Times New Roman" w:hAnsi="Times New Roman"/>
          <w:b/>
        </w:rPr>
      </w:pPr>
      <w:r>
        <w:rPr>
          <w:rFonts w:ascii="Times New Roman" w:hAnsi="Times New Roman"/>
          <w:b/>
        </w:rPr>
        <w:br w:type="page"/>
      </w:r>
    </w:p>
    <w:p w:rsidR="00BB6AAF" w:rsidRPr="004F3780" w:rsidP="00BB6AAF" w14:paraId="41B166AB" w14:textId="77777777">
      <w:pPr>
        <w:numPr>
          <w:ilvl w:val="0"/>
          <w:numId w:val="1"/>
        </w:numPr>
        <w:rPr>
          <w:rFonts w:ascii="Times New Roman" w:hAnsi="Times New Roman"/>
          <w:b/>
        </w:rPr>
      </w:pPr>
      <w:r w:rsidRPr="004F3780">
        <w:rPr>
          <w:rFonts w:ascii="Times New Roman" w:hAnsi="Times New Roman"/>
          <w:b/>
        </w:rPr>
        <w:t>OBJECTIVES OF THE PROCEEDING</w:t>
      </w:r>
    </w:p>
    <w:p w:rsidR="00BB6AAF" w:rsidRPr="004F3780" w:rsidP="00BB6AAF" w14:paraId="4DBC9812" w14:textId="77777777">
      <w:pPr>
        <w:rPr>
          <w:rFonts w:ascii="Times New Roman" w:hAnsi="Times New Roman"/>
          <w:bCs/>
        </w:rPr>
      </w:pPr>
      <w:r w:rsidRPr="004F3780">
        <w:rPr>
          <w:rFonts w:ascii="Times New Roman" w:hAnsi="Times New Roman"/>
          <w:bCs/>
        </w:rPr>
        <w:t>Section 629 of the Communications Act of 1934 orders the Commission to adopt regulations assuring the commercial availability of devices that consumers use to access multichannel video programming and other services offered over multichannel video programming networks.</w:t>
      </w:r>
      <w:r>
        <w:rPr>
          <w:rFonts w:ascii="Times New Roman" w:hAnsi="Times New Roman"/>
          <w:bCs/>
          <w:vertAlign w:val="superscript"/>
        </w:rPr>
        <w:footnoteReference w:id="2"/>
      </w:r>
      <w:r w:rsidRPr="004F3780">
        <w:rPr>
          <w:rFonts w:ascii="Times New Roman" w:hAnsi="Times New Roman"/>
          <w:bCs/>
        </w:rPr>
        <w:t xml:space="preserve">  In simpler terms, under section 629, the Commission was required to adopt rules to make it easier for retailers to sell cable boxes and other equipment that subscribers can use to access cable and satellite service.  As a result, after a series of rulemakings, the Commission adopted regulations to ensure the commercial availability of these devices,</w:t>
      </w:r>
      <w:r>
        <w:rPr>
          <w:rFonts w:ascii="Times New Roman" w:hAnsi="Times New Roman"/>
          <w:bCs/>
          <w:vertAlign w:val="superscript"/>
        </w:rPr>
        <w:footnoteReference w:id="3"/>
      </w:r>
      <w:r w:rsidRPr="004F3780">
        <w:rPr>
          <w:rFonts w:ascii="Times New Roman" w:hAnsi="Times New Roman"/>
          <w:bCs/>
        </w:rPr>
        <w:t xml:space="preserve"> thus leading to the “CableCARD” standard,</w:t>
      </w:r>
      <w:r>
        <w:rPr>
          <w:rFonts w:ascii="Times New Roman" w:hAnsi="Times New Roman"/>
          <w:bCs/>
          <w:vertAlign w:val="superscript"/>
        </w:rPr>
        <w:footnoteReference w:id="4"/>
      </w:r>
      <w:r w:rsidRPr="004F3780">
        <w:rPr>
          <w:rFonts w:ascii="Times New Roman" w:hAnsi="Times New Roman"/>
          <w:bCs/>
        </w:rPr>
        <w:t xml:space="preserve"> which allows viewers to receive digital cable services by attaching their own equipment directly to the cable network.  </w:t>
      </w:r>
    </w:p>
    <w:p w:rsidR="00BB6AAF" w:rsidRPr="004F3780" w:rsidP="00BB6AAF" w14:paraId="5722BE3C" w14:textId="77777777">
      <w:pPr>
        <w:rPr>
          <w:rFonts w:ascii="Times New Roman" w:hAnsi="Times New Roman"/>
          <w:bCs/>
        </w:rPr>
      </w:pPr>
      <w:r w:rsidRPr="004F3780">
        <w:rPr>
          <w:rFonts w:ascii="Times New Roman" w:hAnsi="Times New Roman"/>
          <w:bCs/>
        </w:rPr>
        <w:t>In addition, the Commission adopted a series of rules regarding the CableCARD standard: in 1998, the Commission adopted rules implementing section 629 that required cable operators to use a standardized accessory that consumers could use to decrypt or descramble cable services with their own television sets and set-top boxes (before adoption of these rules, only set-top boxes leased from the cable operator could decrypt or descramble cable services).  The Commission did not impose a specific security standard that cable operators needed to use for those accessories in that 1998 order.</w:t>
      </w:r>
      <w:r>
        <w:rPr>
          <w:rFonts w:ascii="Times New Roman" w:hAnsi="Times New Roman"/>
          <w:bCs/>
          <w:vertAlign w:val="superscript"/>
        </w:rPr>
        <w:footnoteReference w:id="5"/>
      </w:r>
      <w:r w:rsidRPr="004F3780">
        <w:rPr>
          <w:rFonts w:ascii="Times New Roman" w:hAnsi="Times New Roman"/>
          <w:bCs/>
        </w:rPr>
        <w:t xml:space="preserve">  In 2003, the Commission adopted the CableCARD standard as the preferred method for digital cable operators to use in implementing the separation of security requirement for navigation devices.</w:t>
      </w:r>
      <w:r>
        <w:rPr>
          <w:rFonts w:ascii="Times New Roman" w:hAnsi="Times New Roman"/>
          <w:bCs/>
          <w:vertAlign w:val="superscript"/>
        </w:rPr>
        <w:footnoteReference w:id="6"/>
      </w:r>
      <w:r w:rsidRPr="004F3780">
        <w:rPr>
          <w:rFonts w:ascii="Times New Roman" w:hAnsi="Times New Roman"/>
          <w:bCs/>
        </w:rPr>
        <w:t xml:space="preserve">  In 2005, to better monitor support for the CableCARD technology, the Commission required the six largest cable operators to submit status reports to the Commission every ninety days, detailing how they meet their obligations to deploy and support CableCARD.</w:t>
      </w:r>
      <w:r>
        <w:rPr>
          <w:rFonts w:ascii="Times New Roman" w:hAnsi="Times New Roman"/>
          <w:bCs/>
          <w:vertAlign w:val="superscript"/>
        </w:rPr>
        <w:footnoteReference w:id="7"/>
      </w:r>
      <w:r w:rsidRPr="004F3780">
        <w:rPr>
          <w:rFonts w:ascii="Times New Roman" w:hAnsi="Times New Roman"/>
          <w:bCs/>
        </w:rPr>
        <w:t xml:space="preserve">  And finally, in 2010, the Commission adopted consumer-support rules intended to improve cable operators’ support for CableCARDs used in consumer-owned devices.</w:t>
      </w:r>
      <w:r>
        <w:rPr>
          <w:rFonts w:ascii="Times New Roman" w:hAnsi="Times New Roman"/>
          <w:bCs/>
          <w:vertAlign w:val="superscript"/>
        </w:rPr>
        <w:footnoteReference w:id="8"/>
      </w:r>
    </w:p>
    <w:p w:rsidR="00BB6AAF" w:rsidRPr="004F3780" w:rsidP="00BB6AAF" w14:paraId="6AE8D983" w14:textId="77777777">
      <w:pPr>
        <w:rPr>
          <w:rFonts w:ascii="Times New Roman" w:hAnsi="Times New Roman"/>
          <w:bCs/>
        </w:rPr>
      </w:pPr>
      <w:r w:rsidRPr="004F3780">
        <w:rPr>
          <w:rFonts w:ascii="Times New Roman" w:hAnsi="Times New Roman"/>
          <w:bCs/>
        </w:rPr>
        <w:t xml:space="preserve">In the </w:t>
      </w:r>
      <w:r w:rsidRPr="004F3780">
        <w:rPr>
          <w:rFonts w:ascii="Times New Roman" w:hAnsi="Times New Roman"/>
          <w:bCs/>
          <w:i/>
          <w:iCs/>
        </w:rPr>
        <w:t>Report and Order</w:t>
      </w:r>
      <w:r w:rsidRPr="004F3780">
        <w:rPr>
          <w:rFonts w:ascii="Times New Roman" w:hAnsi="Times New Roman"/>
          <w:bCs/>
        </w:rPr>
        <w:t xml:space="preserve"> in MB Docket No. 16-42 and CS Docket No. 97-80, the Commission eliminates the requirement that large cable operators report to the Commission every ninety days regarding the support and deployment of CableCARD modules because the information required in the reports is repetitive, has little relevance today, and filing the reports is more burdensome to the cable operators than it is beneficial to the Commission. Additionally, the Commission eliminates the CableCARD consumer-support rules because the requirements no longer serve a useful purpose following the D.C. Circuit’s 2013 decision in </w:t>
      </w:r>
      <w:r w:rsidRPr="004F3780">
        <w:rPr>
          <w:rFonts w:ascii="Times New Roman" w:hAnsi="Times New Roman"/>
          <w:bCs/>
          <w:i/>
          <w:iCs/>
        </w:rPr>
        <w:t>Echostar</w:t>
      </w:r>
      <w:r w:rsidRPr="004F3780">
        <w:rPr>
          <w:rFonts w:ascii="Times New Roman" w:hAnsi="Times New Roman"/>
          <w:bCs/>
        </w:rPr>
        <w:t xml:space="preserve"> and, thus, are no longer necessary. In </w:t>
      </w:r>
      <w:r w:rsidRPr="004F3780">
        <w:rPr>
          <w:rFonts w:ascii="Times New Roman" w:hAnsi="Times New Roman"/>
          <w:bCs/>
          <w:i/>
          <w:iCs/>
        </w:rPr>
        <w:t>Echostar</w:t>
      </w:r>
      <w:r w:rsidRPr="004F3780">
        <w:rPr>
          <w:rFonts w:ascii="Times New Roman" w:hAnsi="Times New Roman"/>
          <w:bCs/>
        </w:rPr>
        <w:t>,</w:t>
      </w:r>
      <w:r>
        <w:rPr>
          <w:rFonts w:ascii="Times New Roman" w:hAnsi="Times New Roman"/>
          <w:bCs/>
          <w:vertAlign w:val="superscript"/>
        </w:rPr>
        <w:footnoteReference w:id="9"/>
      </w:r>
      <w:r w:rsidRPr="004F3780">
        <w:rPr>
          <w:rFonts w:ascii="Times New Roman" w:hAnsi="Times New Roman"/>
          <w:bCs/>
        </w:rPr>
        <w:t xml:space="preserve"> the court vacated the two 2003 Orders adopting the CableCARD standard as the required method used by all MVPD’s in implementing the separation of security requirements for navigation devices. Although the CableCARD support rules were not adopted in either of the 2003 Orders vacated in </w:t>
      </w:r>
      <w:r w:rsidRPr="004F3780">
        <w:rPr>
          <w:rFonts w:ascii="Times New Roman" w:hAnsi="Times New Roman"/>
          <w:bCs/>
          <w:i/>
          <w:iCs/>
        </w:rPr>
        <w:t>Echostar</w:t>
      </w:r>
      <w:r>
        <w:rPr>
          <w:rFonts w:ascii="Times New Roman" w:hAnsi="Times New Roman"/>
          <w:bCs/>
          <w:i/>
          <w:iCs/>
          <w:vertAlign w:val="superscript"/>
        </w:rPr>
        <w:footnoteReference w:id="10"/>
      </w:r>
      <w:r w:rsidRPr="004F3780">
        <w:rPr>
          <w:rFonts w:ascii="Times New Roman" w:hAnsi="Times New Roman"/>
          <w:bCs/>
        </w:rPr>
        <w:t>, these rules expressly only apply to MVPDs that are “subject to the requirements of § 76.640.”</w:t>
      </w:r>
      <w:r>
        <w:rPr>
          <w:rFonts w:ascii="Times New Roman" w:hAnsi="Times New Roman"/>
          <w:bCs/>
          <w:vertAlign w:val="superscript"/>
        </w:rPr>
        <w:footnoteReference w:id="11"/>
      </w:r>
      <w:r w:rsidRPr="004F3780">
        <w:rPr>
          <w:rFonts w:ascii="Times New Roman" w:hAnsi="Times New Roman"/>
          <w:bCs/>
        </w:rPr>
        <w:t xml:space="preserve"> Since there are no longer any MVPDs that are subject to § 76.640, the CableCARD support rules no longer serve a useful purpose and are, therefore, eliminated. </w:t>
      </w:r>
    </w:p>
    <w:p w:rsidR="00BB6AAF" w:rsidRPr="004F3780" w:rsidP="00BB6AAF" w14:paraId="01ED6F01" w14:textId="77777777">
      <w:pPr>
        <w:rPr>
          <w:rFonts w:ascii="Times New Roman" w:hAnsi="Times New Roman"/>
          <w:bCs/>
        </w:rPr>
      </w:pPr>
      <w:r w:rsidRPr="004F3780">
        <w:rPr>
          <w:rFonts w:ascii="Times New Roman" w:hAnsi="Times New Roman"/>
          <w:bCs/>
        </w:rPr>
        <w:t xml:space="preserve">  </w:t>
      </w:r>
    </w:p>
    <w:p w:rsidR="00BB6AAF" w:rsidRPr="004F3780" w:rsidP="00BB6AAF" w14:paraId="0CC828F2" w14:textId="77777777">
      <w:pPr>
        <w:numPr>
          <w:ilvl w:val="0"/>
          <w:numId w:val="1"/>
        </w:numPr>
        <w:rPr>
          <w:rFonts w:ascii="Times New Roman" w:hAnsi="Times New Roman"/>
          <w:b/>
        </w:rPr>
      </w:pPr>
      <w:r w:rsidRPr="004F3780">
        <w:rPr>
          <w:rFonts w:ascii="Times New Roman" w:hAnsi="Times New Roman"/>
          <w:b/>
        </w:rPr>
        <w:t>COMPLIANCE REQUIREMENTS</w:t>
      </w:r>
    </w:p>
    <w:p w:rsidR="00BB6AAF" w:rsidRPr="004F3780" w:rsidP="00BB6AAF" w14:paraId="75D78C80" w14:textId="77777777">
      <w:pPr>
        <w:rPr>
          <w:rFonts w:ascii="Times New Roman" w:hAnsi="Times New Roman"/>
          <w:bCs/>
        </w:rPr>
      </w:pPr>
      <w:r w:rsidRPr="004F3780">
        <w:rPr>
          <w:rFonts w:ascii="Times New Roman" w:hAnsi="Times New Roman"/>
          <w:bCs/>
        </w:rPr>
        <w:t xml:space="preserve">The </w:t>
      </w:r>
      <w:r w:rsidRPr="004F3780">
        <w:rPr>
          <w:rFonts w:ascii="Times New Roman" w:hAnsi="Times New Roman"/>
          <w:bCs/>
          <w:i/>
          <w:iCs/>
        </w:rPr>
        <w:t>Report and Order</w:t>
      </w:r>
      <w:r w:rsidRPr="004F3780">
        <w:rPr>
          <w:rFonts w:ascii="Times New Roman" w:hAnsi="Times New Roman"/>
          <w:bCs/>
        </w:rPr>
        <w:t xml:space="preserve"> eliminates the CableCARD support rules that (1) required cable operators </w:t>
      </w:r>
      <w:r w:rsidRPr="004F3780">
        <w:rPr>
          <w:rFonts w:ascii="Times New Roman" w:hAnsi="Times New Roman"/>
        </w:rPr>
        <w:t>to support the reception of switched digital video services on retail CableCARD devices to ensure that subscribers were able to access the services for which they pay regardless of whether they leased or purchased their devices; (2) prohibited price discrimination against retail CableCARD devices to support a competitive marketplace for such devices; (3) required cable operators to allow self-installation of CableCARDs where device manufacturers offered device-specific installation instructions to make the installation experience for retail devices comparable to the experience for leased devices; (4) required cable operators to provide multi-stream CableCARDs by default to ensure that cable operators are providing their subscribers with modern CableCARD technology; and (5) clarified that CableCARD device certification rules were limited to certain technical features to make it easier for device manufacturers to get their products to market.</w:t>
      </w:r>
      <w:r>
        <w:rPr>
          <w:rFonts w:ascii="Times New Roman" w:hAnsi="Times New Roman"/>
          <w:vertAlign w:val="superscript"/>
        </w:rPr>
        <w:footnoteReference w:id="12"/>
      </w:r>
    </w:p>
    <w:p w:rsidR="00BB6AAF" w:rsidRPr="004F3780" w:rsidP="00BB6AAF" w14:paraId="6936115C" w14:textId="77777777">
      <w:pPr>
        <w:rPr>
          <w:rFonts w:ascii="Times New Roman" w:hAnsi="Times New Roman"/>
          <w:bCs/>
        </w:rPr>
      </w:pPr>
    </w:p>
    <w:p w:rsidR="00BB6AAF" w:rsidRPr="004F3780" w:rsidP="00BB6AAF" w14:paraId="5A44E5B0" w14:textId="77777777">
      <w:pPr>
        <w:numPr>
          <w:ilvl w:val="0"/>
          <w:numId w:val="1"/>
        </w:numPr>
        <w:rPr>
          <w:rFonts w:ascii="Times New Roman" w:hAnsi="Times New Roman"/>
          <w:b/>
        </w:rPr>
      </w:pPr>
      <w:r w:rsidRPr="004F3780">
        <w:rPr>
          <w:rFonts w:ascii="Times New Roman" w:hAnsi="Times New Roman"/>
          <w:b/>
        </w:rPr>
        <w:t>RECORDKEEPING AND REPORTING REQUIREMENTS</w:t>
      </w:r>
    </w:p>
    <w:p w:rsidR="00BB6AAF" w:rsidRPr="004F3780" w:rsidP="00BB6AAF" w14:paraId="202C8707" w14:textId="77777777">
      <w:pPr>
        <w:rPr>
          <w:rFonts w:ascii="Times New Roman" w:hAnsi="Times New Roman"/>
          <w:bCs/>
        </w:rPr>
      </w:pPr>
      <w:r w:rsidRPr="004F3780">
        <w:rPr>
          <w:rFonts w:ascii="Times New Roman" w:hAnsi="Times New Roman"/>
          <w:bCs/>
        </w:rPr>
        <w:t xml:space="preserve">The Commission’s actions in the </w:t>
      </w:r>
      <w:r w:rsidRPr="004F3780">
        <w:rPr>
          <w:rFonts w:ascii="Times New Roman" w:hAnsi="Times New Roman"/>
          <w:bCs/>
          <w:i/>
          <w:iCs/>
        </w:rPr>
        <w:t>Report and Order</w:t>
      </w:r>
      <w:r w:rsidRPr="004F3780">
        <w:rPr>
          <w:rFonts w:ascii="Times New Roman" w:hAnsi="Times New Roman"/>
          <w:bCs/>
        </w:rPr>
        <w:t xml:space="preserve"> did not create any new recordkeeping or reporting requirements.</w:t>
      </w:r>
    </w:p>
    <w:p w:rsidR="00BB6AAF" w:rsidRPr="004F3780" w:rsidP="00BB6AAF" w14:paraId="6744D535" w14:textId="77777777">
      <w:pPr>
        <w:rPr>
          <w:rFonts w:ascii="Times New Roman" w:hAnsi="Times New Roman"/>
          <w:bCs/>
        </w:rPr>
      </w:pPr>
    </w:p>
    <w:p w:rsidR="00BB6AAF" w:rsidRPr="004F3780" w:rsidP="00BB6AAF" w14:paraId="56B43EE6" w14:textId="77777777">
      <w:pPr>
        <w:numPr>
          <w:ilvl w:val="0"/>
          <w:numId w:val="1"/>
        </w:numPr>
        <w:rPr>
          <w:rFonts w:ascii="Times New Roman" w:hAnsi="Times New Roman"/>
          <w:b/>
        </w:rPr>
      </w:pPr>
      <w:r w:rsidRPr="004F3780">
        <w:rPr>
          <w:rFonts w:ascii="Times New Roman" w:hAnsi="Times New Roman"/>
          <w:b/>
        </w:rPr>
        <w:t>IMPLEMENTATION DATE</w:t>
      </w:r>
    </w:p>
    <w:p w:rsidR="00BB6AAF" w:rsidRPr="004F3780" w:rsidP="00BB6AAF" w14:paraId="5BDDE5EE" w14:textId="77777777">
      <w:pPr>
        <w:rPr>
          <w:rFonts w:ascii="Times New Roman" w:hAnsi="Times New Roman"/>
          <w:b/>
        </w:rPr>
      </w:pPr>
      <w:r w:rsidRPr="004F3780">
        <w:rPr>
          <w:rFonts w:ascii="Times New Roman" w:hAnsi="Times New Roman"/>
          <w:bCs/>
        </w:rPr>
        <w:t xml:space="preserve">The rules as amended in the </w:t>
      </w:r>
      <w:r w:rsidRPr="004F3780">
        <w:rPr>
          <w:rFonts w:ascii="Times New Roman" w:hAnsi="Times New Roman"/>
          <w:bCs/>
          <w:i/>
          <w:iCs/>
        </w:rPr>
        <w:t>Report and Order</w:t>
      </w:r>
      <w:r w:rsidRPr="004F3780">
        <w:rPr>
          <w:rFonts w:ascii="Times New Roman" w:hAnsi="Times New Roman"/>
          <w:bCs/>
        </w:rPr>
        <w:t xml:space="preserve"> are effective upon publication of a summary in the Federal Register; the summary was published in the Federal Register on December 4, 2020.</w:t>
      </w:r>
    </w:p>
    <w:p w:rsidR="00BB6AAF" w:rsidRPr="004F3780" w:rsidP="00BB6AAF" w14:paraId="6ACAB646" w14:textId="77777777">
      <w:pPr>
        <w:rPr>
          <w:rFonts w:ascii="Times New Roman" w:hAnsi="Times New Roman"/>
          <w:bCs/>
        </w:rPr>
      </w:pPr>
    </w:p>
    <w:p w:rsidR="00BB6AAF" w:rsidRPr="004F3780" w:rsidP="00BB6AAF" w14:paraId="7DBF7AF6" w14:textId="77777777">
      <w:pPr>
        <w:numPr>
          <w:ilvl w:val="0"/>
          <w:numId w:val="1"/>
        </w:numPr>
        <w:rPr>
          <w:rFonts w:ascii="Times New Roman" w:hAnsi="Times New Roman"/>
          <w:b/>
        </w:rPr>
      </w:pPr>
      <w:r w:rsidRPr="004F3780">
        <w:rPr>
          <w:rFonts w:ascii="Times New Roman" w:hAnsi="Times New Roman"/>
          <w:b/>
        </w:rPr>
        <w:t>INTERNET LINKS</w:t>
      </w:r>
    </w:p>
    <w:p w:rsidR="00BB6AAF" w:rsidRPr="004F3780" w:rsidP="00BB6AAF" w14:paraId="35DD1FFC" w14:textId="77777777">
      <w:pPr>
        <w:rPr>
          <w:rFonts w:ascii="Times New Roman" w:hAnsi="Times New Roman"/>
          <w:b/>
        </w:rPr>
      </w:pPr>
      <w:r w:rsidRPr="004F3780">
        <w:rPr>
          <w:rFonts w:ascii="Times New Roman" w:hAnsi="Times New Roman"/>
          <w:b/>
        </w:rPr>
        <w:t xml:space="preserve">A copy of the </w:t>
      </w:r>
      <w:r w:rsidRPr="004F3780">
        <w:rPr>
          <w:rFonts w:ascii="Times New Roman" w:hAnsi="Times New Roman"/>
          <w:b/>
          <w:i/>
          <w:iCs/>
        </w:rPr>
        <w:t>Report and Order</w:t>
      </w:r>
      <w:r w:rsidRPr="004F3780">
        <w:rPr>
          <w:rFonts w:ascii="Times New Roman" w:hAnsi="Times New Roman"/>
          <w:b/>
        </w:rPr>
        <w:t xml:space="preserve"> is available at: </w:t>
      </w:r>
    </w:p>
    <w:p w:rsidR="00BB6AAF" w:rsidRPr="004F3780" w:rsidP="00BB6AAF" w14:paraId="7F20E0AF" w14:textId="3D2D01F3">
      <w:pPr>
        <w:rPr>
          <w:rFonts w:ascii="Times New Roman" w:hAnsi="Times New Roman"/>
          <w:bCs/>
        </w:rPr>
      </w:pPr>
      <w:hyperlink r:id="rId5" w:history="1">
        <w:r w:rsidRPr="004F3780">
          <w:rPr>
            <w:rStyle w:val="Hyperlink"/>
            <w:rFonts w:ascii="Times New Roman" w:hAnsi="Times New Roman"/>
            <w:bCs/>
          </w:rPr>
          <w:t>https://docs.fcc.gov/public/attachments/FCC-20-124A1.pdf</w:t>
        </w:r>
      </w:hyperlink>
    </w:p>
    <w:p w:rsidR="00BB6AAF" w:rsidRPr="004F3780" w:rsidP="00BB6AAF" w14:paraId="2B58871F" w14:textId="77777777">
      <w:pPr>
        <w:rPr>
          <w:rFonts w:ascii="Times New Roman" w:hAnsi="Times New Roman"/>
          <w:b/>
        </w:rPr>
      </w:pPr>
    </w:p>
    <w:p w:rsidR="00BB6AAF" w:rsidRPr="004F3780" w:rsidP="00BB6AAF" w14:paraId="7E447950" w14:textId="77777777">
      <w:pPr>
        <w:rPr>
          <w:rFonts w:ascii="Times New Roman" w:hAnsi="Times New Roman"/>
          <w:b/>
        </w:rPr>
      </w:pPr>
      <w:r w:rsidRPr="004F3780">
        <w:rPr>
          <w:rFonts w:ascii="Times New Roman" w:hAnsi="Times New Roman"/>
          <w:b/>
        </w:rPr>
        <w:t xml:space="preserve">A copy of the Federal Register Summary of the </w:t>
      </w:r>
      <w:r w:rsidRPr="004F3780">
        <w:rPr>
          <w:rFonts w:ascii="Times New Roman" w:hAnsi="Times New Roman"/>
          <w:b/>
          <w:i/>
          <w:iCs/>
        </w:rPr>
        <w:t>Report and Order</w:t>
      </w:r>
      <w:r w:rsidRPr="004F3780">
        <w:rPr>
          <w:rFonts w:ascii="Times New Roman" w:hAnsi="Times New Roman"/>
          <w:b/>
        </w:rPr>
        <w:t xml:space="preserve"> is available at: </w:t>
      </w:r>
    </w:p>
    <w:p w:rsidR="00BB6AAF" w:rsidRPr="004F3780" w:rsidP="00BB6AAF" w14:paraId="23EEF617" w14:textId="55063B9E">
      <w:pPr>
        <w:rPr>
          <w:rFonts w:ascii="Times New Roman" w:hAnsi="Times New Roman"/>
          <w:bCs/>
        </w:rPr>
      </w:pPr>
      <w:hyperlink r:id="rId6" w:history="1">
        <w:r w:rsidRPr="004F3780">
          <w:rPr>
            <w:rStyle w:val="Hyperlink"/>
            <w:rFonts w:ascii="Times New Roman" w:hAnsi="Times New Roman"/>
            <w:bCs/>
          </w:rPr>
          <w:t>https://www.federalregister.gov/documents/2020/12/04/2020-25143/expanding-consumers-video-navigation-choices-commercial-availability-of-navigation-devices</w:t>
        </w:r>
      </w:hyperlink>
    </w:p>
    <w:p w:rsidR="00BB6AAF" w:rsidRPr="004F3780" w:rsidP="00BB6AAF" w14:paraId="4D7529D2" w14:textId="77777777">
      <w:pPr>
        <w:rPr>
          <w:rFonts w:ascii="Times New Roman" w:hAnsi="Times New Roman"/>
          <w:bCs/>
        </w:rPr>
      </w:pPr>
    </w:p>
    <w:p w:rsidR="00BB6AAF" w:rsidRPr="004F3780" w:rsidP="00BB6AAF" w14:paraId="216385EE" w14:textId="77777777">
      <w:pPr>
        <w:rPr>
          <w:rFonts w:ascii="Times New Roman" w:hAnsi="Times New Roman"/>
        </w:rPr>
      </w:pPr>
    </w:p>
    <w:p w:rsidR="00BB6AAF" w:rsidRPr="004F3780" w:rsidP="00BB6AAF" w14:paraId="0215D06F" w14:textId="77777777">
      <w:pPr>
        <w:rPr>
          <w:rFonts w:ascii="Times New Roman" w:hAnsi="Times New Roman"/>
        </w:rPr>
      </w:pPr>
    </w:p>
    <w:p w:rsidR="00BB6AAF" w:rsidRPr="004F3780" w14:paraId="298E3E7A" w14:textId="19E9E50E">
      <w:pPr>
        <w:rPr>
          <w:rFonts w:ascii="Times New Roman" w:hAnsi="Times New Roman"/>
        </w:rPr>
      </w:pPr>
    </w:p>
    <w:sectPr w:rsidSect="004F3780">
      <w:footerReference w:type="default" r:id="rId7"/>
      <w:headerReference w:type="first" r:id="rId8"/>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ABA" w14:paraId="0069B6B1" w14:textId="0E5DCF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6AAF" w14:paraId="323BFE3E" w14:textId="77777777">
      <w:r>
        <w:separator/>
      </w:r>
    </w:p>
  </w:footnote>
  <w:footnote w:type="continuationSeparator" w:id="1">
    <w:p w:rsidR="00BB6AAF" w14:paraId="75CE499B" w14:textId="77777777">
      <w:r>
        <w:continuationSeparator/>
      </w:r>
    </w:p>
  </w:footnote>
  <w:footnote w:id="2">
    <w:p w:rsidR="00BB6AAF" w:rsidRPr="00A57E98" w:rsidP="00BB6AAF" w14:paraId="3D04FC71" w14:textId="77777777">
      <w:pPr>
        <w:pStyle w:val="FootnoteText"/>
        <w:spacing w:after="120"/>
        <w:rPr>
          <w:rFonts w:ascii="Times New Roman" w:hAnsi="Times New Roman"/>
        </w:rPr>
      </w:pPr>
      <w:r>
        <w:rPr>
          <w:rStyle w:val="FootnoteReference"/>
        </w:rPr>
        <w:footnoteRef/>
      </w:r>
      <w:r>
        <w:t xml:space="preserve"> </w:t>
      </w:r>
      <w:r w:rsidRPr="00A57E98">
        <w:rPr>
          <w:rFonts w:ascii="Times New Roman" w:hAnsi="Times New Roman"/>
        </w:rPr>
        <w:t>47 U.S.C. § 549(a).</w:t>
      </w:r>
    </w:p>
  </w:footnote>
  <w:footnote w:id="3">
    <w:p w:rsidR="00BB6AAF" w:rsidRPr="00A57E98" w:rsidP="00BB6AAF" w14:paraId="035547EE" w14:textId="77777777">
      <w:pPr>
        <w:pStyle w:val="FootnoteText"/>
        <w:spacing w:after="120"/>
        <w:rPr>
          <w:rFonts w:ascii="Times New Roman" w:hAnsi="Times New Roman"/>
        </w:rPr>
      </w:pPr>
      <w:r w:rsidRPr="00A57E98">
        <w:rPr>
          <w:rStyle w:val="FootnoteReference"/>
          <w:rFonts w:ascii="Times New Roman" w:hAnsi="Times New Roman"/>
        </w:rPr>
        <w:footnoteRef/>
      </w:r>
      <w:r w:rsidRPr="00A57E98">
        <w:rPr>
          <w:rFonts w:ascii="Times New Roman" w:hAnsi="Times New Roman"/>
        </w:rPr>
        <w:t xml:space="preserve"> </w:t>
      </w:r>
      <w:r w:rsidRPr="00A57E98">
        <w:rPr>
          <w:rFonts w:ascii="Times New Roman" w:hAnsi="Times New Roman"/>
          <w:i/>
          <w:iCs/>
        </w:rPr>
        <w:t>See</w:t>
      </w:r>
      <w:r w:rsidRPr="00A57E98">
        <w:rPr>
          <w:rFonts w:ascii="Times New Roman" w:hAnsi="Times New Roman"/>
        </w:rPr>
        <w:t xml:space="preserve"> </w:t>
      </w:r>
      <w:r w:rsidRPr="00AA3DF3">
        <w:rPr>
          <w:rFonts w:ascii="Times New Roman" w:hAnsi="Times New Roman"/>
          <w:i/>
          <w:iCs/>
          <w:snapToGrid w:val="0"/>
        </w:rPr>
        <w:t>Expanding Consumers</w:t>
      </w:r>
      <w:r>
        <w:rPr>
          <w:rFonts w:ascii="Times New Roman" w:hAnsi="Times New Roman"/>
          <w:i/>
          <w:iCs/>
          <w:snapToGrid w:val="0"/>
        </w:rPr>
        <w:t>’</w:t>
      </w:r>
      <w:r w:rsidRPr="00AA3DF3">
        <w:rPr>
          <w:rFonts w:ascii="Times New Roman" w:hAnsi="Times New Roman"/>
          <w:i/>
          <w:iCs/>
          <w:snapToGrid w:val="0"/>
        </w:rPr>
        <w:t xml:space="preserve"> Video Navigation Choices; Commercial Availability of Navigation Devices</w:t>
      </w:r>
      <w:r w:rsidRPr="00AA3DF3">
        <w:rPr>
          <w:rFonts w:ascii="Times New Roman" w:hAnsi="Times New Roman"/>
          <w:snapToGrid w:val="0"/>
        </w:rPr>
        <w:t xml:space="preserve">, MB Docket No. 16-42 and CS Docket No. 97-80, Notice of Proposed Rulemaking &amp; Memorandum Opinion and Order, 31 FCC </w:t>
      </w:r>
      <w:r w:rsidRPr="00AA3DF3">
        <w:rPr>
          <w:rFonts w:ascii="Times New Roman" w:hAnsi="Times New Roman"/>
          <w:snapToGrid w:val="0"/>
        </w:rPr>
        <w:t>Rcd</w:t>
      </w:r>
      <w:r w:rsidRPr="00AA3DF3">
        <w:rPr>
          <w:rFonts w:ascii="Times New Roman" w:hAnsi="Times New Roman"/>
          <w:snapToGrid w:val="0"/>
        </w:rPr>
        <w:t xml:space="preserve"> 1544, 1547-49, paras 6-8 (2016).</w:t>
      </w:r>
    </w:p>
  </w:footnote>
  <w:footnote w:id="4">
    <w:p w:rsidR="00BB6AAF" w:rsidRPr="00A57E98" w:rsidP="00BB6AAF" w14:paraId="79B536DF" w14:textId="77777777">
      <w:pPr>
        <w:pStyle w:val="FootnoteText"/>
        <w:spacing w:after="120"/>
        <w:rPr>
          <w:rFonts w:ascii="Times New Roman" w:hAnsi="Times New Roman"/>
        </w:rPr>
      </w:pPr>
      <w:r w:rsidRPr="00A57E98">
        <w:rPr>
          <w:rStyle w:val="FootnoteReference"/>
          <w:rFonts w:ascii="Times New Roman" w:hAnsi="Times New Roman"/>
        </w:rPr>
        <w:footnoteRef/>
      </w:r>
      <w:r w:rsidRPr="00A57E98">
        <w:rPr>
          <w:rFonts w:ascii="Times New Roman" w:hAnsi="Times New Roman"/>
        </w:rPr>
        <w:t xml:space="preserve"> A CableCARD is a security device provided by an MVPD that can be installed in a navigation device bought by a consumer in the retail market to allow the consumer’s television to display MVPD-encrypted video programming. </w:t>
      </w:r>
      <w:r w:rsidRPr="00A57E98">
        <w:rPr>
          <w:rFonts w:ascii="Times New Roman" w:hAnsi="Times New Roman"/>
          <w:i/>
          <w:iCs/>
        </w:rPr>
        <w:t>Implementation of Section 304 of the Telecommunications Act of 1996: Commercial Availability of Navigation Devices</w:t>
      </w:r>
      <w:r w:rsidRPr="00A57E98">
        <w:rPr>
          <w:rFonts w:ascii="Times New Roman" w:hAnsi="Times New Roman"/>
        </w:rPr>
        <w:t xml:space="preserve">, CS Docket No. 97-80 and PP Docket No. 00-67, Third Report and Order and Order on Reconsideration, 25 FCC </w:t>
      </w:r>
      <w:r w:rsidRPr="00A57E98">
        <w:rPr>
          <w:rFonts w:ascii="Times New Roman" w:hAnsi="Times New Roman"/>
        </w:rPr>
        <w:t>Rcd</w:t>
      </w:r>
      <w:r w:rsidRPr="00A57E98">
        <w:rPr>
          <w:rFonts w:ascii="Times New Roman" w:hAnsi="Times New Roman"/>
        </w:rPr>
        <w:t xml:space="preserve"> 14657, 14659, para. 3 (2010) (</w:t>
      </w:r>
      <w:r w:rsidRPr="00A57E98">
        <w:rPr>
          <w:rFonts w:ascii="Times New Roman" w:hAnsi="Times New Roman"/>
          <w:i/>
          <w:iCs/>
        </w:rPr>
        <w:t>Third Plug and Play Report and Order</w:t>
      </w:r>
      <w:r w:rsidRPr="00A57E98">
        <w:rPr>
          <w:rFonts w:ascii="Times New Roman" w:hAnsi="Times New Roman"/>
        </w:rPr>
        <w:t xml:space="preserve">), </w:t>
      </w:r>
      <w:r w:rsidRPr="00A57E98">
        <w:rPr>
          <w:rFonts w:ascii="Times New Roman" w:hAnsi="Times New Roman"/>
          <w:i/>
          <w:iCs/>
        </w:rPr>
        <w:t xml:space="preserve">recon. granted in part </w:t>
      </w:r>
      <w:r w:rsidRPr="00A57E98">
        <w:rPr>
          <w:rFonts w:ascii="Times New Roman" w:hAnsi="Times New Roman"/>
          <w:i/>
          <w:iCs/>
        </w:rPr>
        <w:t>sua</w:t>
      </w:r>
      <w:r w:rsidRPr="00A57E98">
        <w:rPr>
          <w:rFonts w:ascii="Times New Roman" w:hAnsi="Times New Roman"/>
          <w:i/>
          <w:iCs/>
        </w:rPr>
        <w:t xml:space="preserve"> sponte</w:t>
      </w:r>
      <w:r w:rsidRPr="00A57E98">
        <w:rPr>
          <w:rFonts w:ascii="Times New Roman" w:hAnsi="Times New Roman"/>
        </w:rPr>
        <w:t xml:space="preserve">, Order on Reconsideration, 26 FCC </w:t>
      </w:r>
      <w:r w:rsidRPr="00A57E98">
        <w:rPr>
          <w:rFonts w:ascii="Times New Roman" w:hAnsi="Times New Roman"/>
        </w:rPr>
        <w:t>Rcd</w:t>
      </w:r>
      <w:r w:rsidRPr="00A57E98">
        <w:rPr>
          <w:rFonts w:ascii="Times New Roman" w:hAnsi="Times New Roman"/>
        </w:rPr>
        <w:t xml:space="preserve"> 791 (2011).</w:t>
      </w:r>
    </w:p>
  </w:footnote>
  <w:footnote w:id="5">
    <w:p w:rsidR="00BB6AAF" w:rsidRPr="00A57E98" w:rsidP="00BB6AAF" w14:paraId="3806F8CF" w14:textId="77777777">
      <w:pPr>
        <w:pStyle w:val="FootnoteText"/>
        <w:spacing w:after="120"/>
        <w:rPr>
          <w:rFonts w:ascii="Times New Roman" w:hAnsi="Times New Roman"/>
        </w:rPr>
      </w:pPr>
      <w:r w:rsidRPr="00AA3DF3">
        <w:rPr>
          <w:rStyle w:val="FootnoteReference"/>
          <w:rFonts w:ascii="Times New Roman" w:hAnsi="Times New Roman"/>
        </w:rPr>
        <w:footnoteRef/>
      </w:r>
      <w:r w:rsidRPr="00A57E98">
        <w:rPr>
          <w:rFonts w:ascii="Times New Roman" w:hAnsi="Times New Roman"/>
          <w:i/>
          <w:iCs/>
        </w:rPr>
        <w:t xml:space="preserve"> Implementation of Section 304 of the Telecommunications Act of 1996: Commercial Availability of Navigation Devices</w:t>
      </w:r>
      <w:r w:rsidRPr="00A57E98">
        <w:rPr>
          <w:rFonts w:ascii="Times New Roman" w:hAnsi="Times New Roman"/>
        </w:rPr>
        <w:t xml:space="preserve">, CS Docket No. 97-80, Report and Order, 13 FCC </w:t>
      </w:r>
      <w:r w:rsidRPr="00A57E98">
        <w:rPr>
          <w:rFonts w:ascii="Times New Roman" w:hAnsi="Times New Roman"/>
        </w:rPr>
        <w:t>Rcd</w:t>
      </w:r>
      <w:r w:rsidRPr="00A57E98">
        <w:rPr>
          <w:rFonts w:ascii="Times New Roman" w:hAnsi="Times New Roman"/>
        </w:rPr>
        <w:t xml:space="preserve"> 14775, 14793-803, paras. 49-69 (1998). </w:t>
      </w:r>
    </w:p>
  </w:footnote>
  <w:footnote w:id="6">
    <w:p w:rsidR="00BB6AAF" w:rsidRPr="00A57E98" w:rsidP="00BB6AAF" w14:paraId="7E83E80D" w14:textId="77777777">
      <w:pPr>
        <w:pStyle w:val="FootnoteText"/>
        <w:spacing w:after="120"/>
        <w:rPr>
          <w:rFonts w:ascii="Times New Roman" w:hAnsi="Times New Roman"/>
        </w:rPr>
      </w:pPr>
      <w:r w:rsidRPr="00AA3DF3">
        <w:rPr>
          <w:rStyle w:val="FootnoteReference"/>
          <w:rFonts w:ascii="Times New Roman" w:hAnsi="Times New Roman"/>
        </w:rPr>
        <w:footnoteRef/>
      </w:r>
      <w:r w:rsidRPr="00A57E98">
        <w:rPr>
          <w:rFonts w:ascii="Times New Roman" w:hAnsi="Times New Roman"/>
          <w:i/>
          <w:iCs/>
        </w:rPr>
        <w:t xml:space="preserve"> Implementation of Section 304 of the Telecommunications Act of 1996: Commercial Availability of Navigation Devices; Compatibility Between Cable Systems and Consumer Electronics Equipment</w:t>
      </w:r>
      <w:r w:rsidRPr="00A57E98">
        <w:rPr>
          <w:rFonts w:ascii="Times New Roman" w:hAnsi="Times New Roman"/>
        </w:rPr>
        <w:t xml:space="preserve">, CS Docket No. 97-80 and PP Docket No. 00-67, Second Report and Order and Second Further Notice of Proposed Rulemaking, 18 FCC </w:t>
      </w:r>
      <w:r w:rsidRPr="00A57E98">
        <w:rPr>
          <w:rFonts w:ascii="Times New Roman" w:hAnsi="Times New Roman"/>
        </w:rPr>
        <w:t>Rcd</w:t>
      </w:r>
      <w:r w:rsidRPr="00A57E98">
        <w:rPr>
          <w:rFonts w:ascii="Times New Roman" w:hAnsi="Times New Roman"/>
        </w:rPr>
        <w:t xml:space="preserve"> 20885 (2003)</w:t>
      </w:r>
      <w:r>
        <w:rPr>
          <w:rFonts w:ascii="Times New Roman" w:hAnsi="Times New Roman"/>
        </w:rPr>
        <w:t>,</w:t>
      </w:r>
      <w:r w:rsidRPr="00A57E98">
        <w:rPr>
          <w:rFonts w:ascii="Times New Roman" w:hAnsi="Times New Roman"/>
          <w:i/>
          <w:iCs/>
        </w:rPr>
        <w:t xml:space="preserve"> recon. granted in part</w:t>
      </w:r>
      <w:r w:rsidRPr="00A57E98">
        <w:rPr>
          <w:rFonts w:ascii="Times New Roman" w:hAnsi="Times New Roman"/>
        </w:rPr>
        <w:t xml:space="preserve">, Order on Reconsideration, 31 Communications Reg. (P&amp;F) 408 (2003), </w:t>
      </w:r>
      <w:r w:rsidRPr="00A57E98">
        <w:rPr>
          <w:rFonts w:ascii="Times New Roman" w:hAnsi="Times New Roman"/>
          <w:i/>
          <w:iCs/>
        </w:rPr>
        <w:t>vacated sub nom</w:t>
      </w:r>
      <w:r w:rsidRPr="00A57E98">
        <w:rPr>
          <w:rFonts w:ascii="Times New Roman" w:hAnsi="Times New Roman"/>
        </w:rPr>
        <w:t xml:space="preserve">., </w:t>
      </w:r>
      <w:r w:rsidRPr="00A57E98">
        <w:rPr>
          <w:rFonts w:ascii="Times New Roman" w:hAnsi="Times New Roman"/>
          <w:i/>
          <w:iCs/>
        </w:rPr>
        <w:t>Echostar</w:t>
      </w:r>
      <w:r w:rsidRPr="00A57E98">
        <w:rPr>
          <w:rFonts w:ascii="Times New Roman" w:hAnsi="Times New Roman"/>
          <w:i/>
          <w:iCs/>
        </w:rPr>
        <w:t xml:space="preserve"> Satellite L.L.C. v. FCC</w:t>
      </w:r>
      <w:r w:rsidRPr="00A57E98">
        <w:rPr>
          <w:rFonts w:ascii="Times New Roman" w:hAnsi="Times New Roman"/>
        </w:rPr>
        <w:t>, 704 F.3d 992 (D.C. Cir. 2013).</w:t>
      </w:r>
    </w:p>
  </w:footnote>
  <w:footnote w:id="7">
    <w:p w:rsidR="00BB6AAF" w:rsidRPr="00A57E98" w:rsidP="00BB6AAF" w14:paraId="256A262C" w14:textId="77777777">
      <w:pPr>
        <w:pStyle w:val="FootnoteText"/>
        <w:spacing w:after="120"/>
        <w:rPr>
          <w:rFonts w:ascii="Times New Roman" w:hAnsi="Times New Roman"/>
        </w:rPr>
      </w:pPr>
      <w:r w:rsidRPr="00AA3DF3">
        <w:rPr>
          <w:rStyle w:val="FootnoteReference"/>
          <w:rFonts w:ascii="Times New Roman" w:hAnsi="Times New Roman"/>
        </w:rPr>
        <w:footnoteRef/>
      </w:r>
      <w:r w:rsidRPr="00A57E98">
        <w:rPr>
          <w:rFonts w:ascii="Times New Roman" w:hAnsi="Times New Roman"/>
          <w:i/>
          <w:iCs/>
        </w:rPr>
        <w:t xml:space="preserve"> Implementation of Section 304 of the Telecommunications Act of 1996: Commercial Availability of Navigation Devices</w:t>
      </w:r>
      <w:r w:rsidRPr="00A57E98">
        <w:rPr>
          <w:rFonts w:ascii="Times New Roman" w:hAnsi="Times New Roman"/>
        </w:rPr>
        <w:t xml:space="preserve">, CS Docket No. 97-80, Second Report and Order, 20 FCC </w:t>
      </w:r>
      <w:r w:rsidRPr="00A57E98">
        <w:rPr>
          <w:rFonts w:ascii="Times New Roman" w:hAnsi="Times New Roman"/>
        </w:rPr>
        <w:t>Rcd</w:t>
      </w:r>
      <w:r w:rsidRPr="00A57E98">
        <w:rPr>
          <w:rFonts w:ascii="Times New Roman" w:hAnsi="Times New Roman"/>
        </w:rPr>
        <w:t xml:space="preserve"> 6794, 6814-15, para. 39 (2005).</w:t>
      </w:r>
    </w:p>
  </w:footnote>
  <w:footnote w:id="8">
    <w:p w:rsidR="00BB6AAF" w:rsidRPr="00AA3DF3" w:rsidP="00BB6AAF" w14:paraId="74472BBD" w14:textId="77777777">
      <w:pPr>
        <w:pStyle w:val="FootnoteText"/>
        <w:spacing w:after="120"/>
        <w:rPr>
          <w:rFonts w:ascii="Times New Roman" w:hAnsi="Times New Roman"/>
        </w:rPr>
      </w:pPr>
      <w:r w:rsidRPr="003A666B">
        <w:rPr>
          <w:rFonts w:ascii="Times New Roman" w:hAnsi="Times New Roman"/>
          <w:sz w:val="16"/>
          <w:szCs w:val="16"/>
        </w:rPr>
        <w:footnoteRef/>
      </w:r>
      <w:r w:rsidRPr="00AA3DF3">
        <w:rPr>
          <w:rFonts w:ascii="Times New Roman" w:hAnsi="Times New Roman"/>
        </w:rPr>
        <w:t xml:space="preserve"> </w:t>
      </w:r>
      <w:r w:rsidRPr="00A57E98">
        <w:rPr>
          <w:rFonts w:ascii="Times New Roman" w:hAnsi="Times New Roman"/>
          <w:i/>
          <w:iCs/>
        </w:rPr>
        <w:t>Third Plug and Play Report and Order</w:t>
      </w:r>
      <w:r>
        <w:rPr>
          <w:rFonts w:ascii="Times New Roman" w:hAnsi="Times New Roman"/>
        </w:rPr>
        <w:t xml:space="preserve">, 25 FCC </w:t>
      </w:r>
      <w:r>
        <w:rPr>
          <w:rFonts w:ascii="Times New Roman" w:hAnsi="Times New Roman"/>
        </w:rPr>
        <w:t>Rcd</w:t>
      </w:r>
      <w:r>
        <w:rPr>
          <w:rFonts w:ascii="Times New Roman" w:hAnsi="Times New Roman"/>
        </w:rPr>
        <w:t xml:space="preserve"> at 4307-10, paras. 12-18; 47 CFR § 76.1205(b)</w:t>
      </w:r>
    </w:p>
  </w:footnote>
  <w:footnote w:id="9">
    <w:p w:rsidR="00BB6AAF" w:rsidP="00BB6AAF" w14:paraId="6965F5FB" w14:textId="77777777">
      <w:pPr>
        <w:pStyle w:val="FootnoteText"/>
        <w:rPr>
          <w:rFonts w:ascii="Times New Roman" w:hAnsi="Times New Roman"/>
        </w:rPr>
      </w:pPr>
      <w:r>
        <w:rPr>
          <w:rStyle w:val="FootnoteReference"/>
        </w:rPr>
        <w:footnoteRef/>
      </w:r>
      <w:r>
        <w:rPr>
          <w:rFonts w:ascii="Times New Roman" w:hAnsi="Times New Roman"/>
          <w:i/>
          <w:iCs/>
        </w:rPr>
        <w:t xml:space="preserve"> </w:t>
      </w:r>
      <w:r w:rsidRPr="003A666B">
        <w:rPr>
          <w:rFonts w:ascii="Times New Roman" w:hAnsi="Times New Roman"/>
          <w:i/>
          <w:iCs/>
        </w:rPr>
        <w:t>Echostar</w:t>
      </w:r>
      <w:r w:rsidRPr="003A666B">
        <w:rPr>
          <w:rFonts w:ascii="Times New Roman" w:hAnsi="Times New Roman"/>
          <w:i/>
          <w:iCs/>
        </w:rPr>
        <w:t xml:space="preserve"> Satellite L.L.C. v. FCC</w:t>
      </w:r>
      <w:r w:rsidRPr="003A666B">
        <w:rPr>
          <w:rFonts w:ascii="Times New Roman" w:hAnsi="Times New Roman"/>
        </w:rPr>
        <w:t xml:space="preserve">, 704 F.3d 992 (D.C. Cir. 2013). The court concluded that the Commission lacked the authority under section 629 of the Act to impose encoding rules, which put a ceiling on the recording limits that MVPDS can impose, on satellite on satellite carriers. The Commission argued that the encoding rules were not severable from the rest of the rules adopted in the 2003 Orders (including the rule that imposes the CableCARD standard), and therefore the court vacated </w:t>
      </w:r>
      <w:r w:rsidRPr="003A666B">
        <w:rPr>
          <w:rFonts w:ascii="Times New Roman" w:hAnsi="Times New Roman"/>
        </w:rPr>
        <w:t>both of the Orders</w:t>
      </w:r>
      <w:r w:rsidRPr="003A666B">
        <w:rPr>
          <w:rFonts w:ascii="Times New Roman" w:hAnsi="Times New Roman"/>
        </w:rPr>
        <w:t>.</w:t>
      </w:r>
    </w:p>
    <w:p w:rsidR="00BB6AAF" w:rsidRPr="003A666B" w:rsidP="00BB6AAF" w14:paraId="079A95FF" w14:textId="77777777">
      <w:pPr>
        <w:pStyle w:val="FootnoteText"/>
        <w:rPr>
          <w:rFonts w:ascii="Times New Roman" w:hAnsi="Times New Roman"/>
        </w:rPr>
      </w:pPr>
    </w:p>
  </w:footnote>
  <w:footnote w:id="10">
    <w:p w:rsidR="00BB6AAF" w:rsidP="00BB6AAF" w14:paraId="50791C1F" w14:textId="77777777">
      <w:pPr>
        <w:pStyle w:val="FootnoteText"/>
        <w:rPr>
          <w:rFonts w:ascii="Times New Roman" w:hAnsi="Times New Roman"/>
        </w:rPr>
      </w:pPr>
      <w:r w:rsidRPr="003A666B">
        <w:rPr>
          <w:rStyle w:val="FootnoteReference"/>
          <w:rFonts w:ascii="Times New Roman" w:hAnsi="Times New Roman"/>
        </w:rPr>
        <w:footnoteRef/>
      </w:r>
      <w:r w:rsidRPr="003A666B">
        <w:rPr>
          <w:rFonts w:ascii="Times New Roman" w:hAnsi="Times New Roman"/>
        </w:rPr>
        <w:t xml:space="preserve"> The CableCARD consumer support rules were adopted in 2010 in the </w:t>
      </w:r>
      <w:r w:rsidRPr="003A666B">
        <w:rPr>
          <w:rFonts w:ascii="Times New Roman" w:hAnsi="Times New Roman"/>
          <w:i/>
          <w:iCs/>
        </w:rPr>
        <w:t xml:space="preserve">Third Plug and Play Report and Order </w:t>
      </w:r>
      <w:r w:rsidRPr="003A666B">
        <w:rPr>
          <w:rFonts w:ascii="Times New Roman" w:hAnsi="Times New Roman"/>
        </w:rPr>
        <w:t xml:space="preserve">and revised in the </w:t>
      </w:r>
      <w:r w:rsidRPr="003A666B">
        <w:rPr>
          <w:rFonts w:ascii="Times New Roman" w:hAnsi="Times New Roman"/>
          <w:i/>
          <w:iCs/>
        </w:rPr>
        <w:t>2011 Reconsideration Order</w:t>
      </w:r>
      <w:r w:rsidRPr="003A666B">
        <w:rPr>
          <w:rFonts w:ascii="Times New Roman" w:hAnsi="Times New Roman"/>
        </w:rPr>
        <w:t>.</w:t>
      </w:r>
    </w:p>
    <w:p w:rsidR="00BB6AAF" w:rsidRPr="003A666B" w:rsidP="00BB6AAF" w14:paraId="5138ABD9" w14:textId="77777777">
      <w:pPr>
        <w:pStyle w:val="FootnoteText"/>
        <w:rPr>
          <w:rFonts w:ascii="Times New Roman" w:hAnsi="Times New Roman"/>
        </w:rPr>
      </w:pPr>
    </w:p>
  </w:footnote>
  <w:footnote w:id="11">
    <w:p w:rsidR="00BB6AAF" w:rsidP="00BB6AAF" w14:paraId="062594D4" w14:textId="77777777">
      <w:pPr>
        <w:pStyle w:val="FootnoteText"/>
        <w:rPr>
          <w:rFonts w:ascii="Times New Roman" w:hAnsi="Times New Roman"/>
        </w:rPr>
      </w:pPr>
      <w:r w:rsidRPr="003A666B">
        <w:rPr>
          <w:rStyle w:val="FootnoteReference"/>
          <w:rFonts w:ascii="Times New Roman" w:hAnsi="Times New Roman"/>
        </w:rPr>
        <w:footnoteRef/>
      </w:r>
      <w:r>
        <w:rPr>
          <w:rFonts w:ascii="Times New Roman" w:hAnsi="Times New Roman"/>
        </w:rPr>
        <w:t xml:space="preserve"> </w:t>
      </w:r>
      <w:r w:rsidRPr="003A666B">
        <w:rPr>
          <w:rFonts w:ascii="Times New Roman" w:hAnsi="Times New Roman"/>
        </w:rPr>
        <w:t>Section 76.640 required digital cable systems to support unidirectional digital cable products such as televisions, set-top boxes, and recording devices connected to digital cable systems by providing to subscribers CableCARDs and related services that meet certain technical standards.</w:t>
      </w:r>
    </w:p>
    <w:p w:rsidR="00BB6AAF" w:rsidRPr="003A666B" w:rsidP="00BB6AAF" w14:paraId="6ACB3931" w14:textId="77777777">
      <w:pPr>
        <w:pStyle w:val="FootnoteText"/>
        <w:rPr>
          <w:rFonts w:ascii="Times New Roman" w:hAnsi="Times New Roman"/>
        </w:rPr>
      </w:pPr>
    </w:p>
  </w:footnote>
  <w:footnote w:id="12">
    <w:p w:rsidR="00BB6AAF" w:rsidP="00BB6AAF" w14:paraId="115E0524" w14:textId="77777777">
      <w:pPr>
        <w:pStyle w:val="FootnoteText"/>
      </w:pPr>
      <w:r>
        <w:rPr>
          <w:rStyle w:val="FootnoteReference"/>
        </w:rPr>
        <w:footnoteRef/>
      </w:r>
      <w:r>
        <w:t xml:space="preserve"> </w:t>
      </w:r>
      <w:r w:rsidRPr="00A57E98">
        <w:rPr>
          <w:rFonts w:ascii="Times New Roman" w:hAnsi="Times New Roman"/>
          <w:i/>
          <w:iCs/>
        </w:rPr>
        <w:t>Third Plug and Play Report and Order</w:t>
      </w:r>
      <w:r>
        <w:rPr>
          <w:rFonts w:ascii="Times New Roman" w:hAnsi="Times New Roman"/>
        </w:rPr>
        <w:t xml:space="preserve">, 25 FCC </w:t>
      </w:r>
      <w:r>
        <w:rPr>
          <w:rFonts w:ascii="Times New Roman" w:hAnsi="Times New Roman"/>
        </w:rPr>
        <w:t>Rcd</w:t>
      </w:r>
      <w:r>
        <w:rPr>
          <w:rFonts w:ascii="Times New Roman" w:hAnsi="Times New Roman"/>
        </w:rPr>
        <w:t xml:space="preserve"> at 4307-10, paras. 12-18. 47 CFR § 76.1205(b)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94A076B" w14:textId="6C1C9C93">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76423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680B7833"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600AD1" w:rsidP="00600AD1" w14:paraId="6CBC358A" w14:textId="1E8D0B91">
    <w:pPr>
      <w:pStyle w:val="Header"/>
      <w:tabs>
        <w:tab w:val="clear" w:pos="4320"/>
      </w:tabs>
      <w:jc w:val="center"/>
      <w:rPr>
        <w:rFonts w:ascii="Times New Roman" w:hAnsi="Times New Roman"/>
      </w:rPr>
    </w:pPr>
    <w:r>
      <w:rPr>
        <w:rFonts w:ascii="Times New Roman" w:hAnsi="Times New Roman"/>
      </w:rPr>
      <w:t>February 12</w:t>
    </w:r>
    <w:r w:rsidRPr="00311D55" w:rsidR="004F3780">
      <w:rPr>
        <w:rFonts w:ascii="Times New Roman" w:hAnsi="Times New Roman"/>
      </w:rPr>
      <w:t>, 2021</w:t>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F4B66EA"/>
    <w:multiLevelType w:val="hybridMultilevel"/>
    <w:tmpl w:val="F68E68E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AF"/>
    <w:rsid w:val="00035EA3"/>
    <w:rsid w:val="001333F1"/>
    <w:rsid w:val="00204CE3"/>
    <w:rsid w:val="002B1ABA"/>
    <w:rsid w:val="002B54DB"/>
    <w:rsid w:val="00311D55"/>
    <w:rsid w:val="003A666B"/>
    <w:rsid w:val="003D2E34"/>
    <w:rsid w:val="00410CE1"/>
    <w:rsid w:val="004D3B53"/>
    <w:rsid w:val="004F3780"/>
    <w:rsid w:val="00600AD1"/>
    <w:rsid w:val="00A54D1D"/>
    <w:rsid w:val="00A57E98"/>
    <w:rsid w:val="00AA3DF3"/>
    <w:rsid w:val="00BB6AAF"/>
    <w:rsid w:val="00D174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6D2A089-A001-4436-9E85-0C594AAC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AF"/>
    <w:pPr>
      <w:spacing w:after="160"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BB6AAF"/>
    <w:pPr>
      <w:ind w:left="720"/>
      <w:contextualSpacing/>
    </w:pPr>
  </w:style>
  <w:style w:type="paragraph" w:styleId="FootnoteText">
    <w:name w:val="footnote text"/>
    <w:basedOn w:val="Normal"/>
    <w:link w:val="FootnoteTextChar"/>
    <w:uiPriority w:val="99"/>
    <w:semiHidden/>
    <w:unhideWhenUsed/>
    <w:rsid w:val="00BB6AAF"/>
    <w:pPr>
      <w:spacing w:after="0" w:line="240" w:lineRule="auto"/>
    </w:pPr>
    <w:rPr>
      <w:sz w:val="20"/>
      <w:szCs w:val="20"/>
    </w:rPr>
  </w:style>
  <w:style w:type="character" w:customStyle="1" w:styleId="FootnoteTextChar">
    <w:name w:val="Footnote Text Char"/>
    <w:link w:val="FootnoteText"/>
    <w:uiPriority w:val="99"/>
    <w:semiHidden/>
    <w:rsid w:val="00BB6AAF"/>
    <w:rPr>
      <w:rFonts w:ascii="Calibri" w:eastAsia="Calibri" w:hAnsi="Calibri"/>
    </w:rPr>
  </w:style>
  <w:style w:type="character" w:styleId="FootnoteReference">
    <w:name w:val="footnote reference"/>
    <w:uiPriority w:val="99"/>
    <w:semiHidden/>
    <w:unhideWhenUsed/>
    <w:rsid w:val="00BB6AAF"/>
    <w:rPr>
      <w:vertAlign w:val="superscript"/>
    </w:rPr>
  </w:style>
  <w:style w:type="character" w:styleId="Hyperlink">
    <w:name w:val="Hyperlink"/>
    <w:uiPriority w:val="99"/>
    <w:unhideWhenUsed/>
    <w:rsid w:val="00BB6AAF"/>
    <w:rPr>
      <w:color w:val="0563C1"/>
      <w:u w:val="single"/>
    </w:rPr>
  </w:style>
  <w:style w:type="character" w:customStyle="1" w:styleId="UnresolvedMention">
    <w:name w:val="Unresolved Mention"/>
    <w:uiPriority w:val="99"/>
    <w:semiHidden/>
    <w:unhideWhenUsed/>
    <w:rsid w:val="00BB6AAF"/>
    <w:rPr>
      <w:color w:val="605E5C"/>
      <w:shd w:val="clear" w:color="auto" w:fill="E1DFDD"/>
    </w:rPr>
  </w:style>
  <w:style w:type="character" w:customStyle="1" w:styleId="FooterChar">
    <w:name w:val="Footer Char"/>
    <w:link w:val="Footer"/>
    <w:uiPriority w:val="99"/>
    <w:rsid w:val="002B1AB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FCC-20-124A1.pdf" TargetMode="External" /><Relationship Id="rId6" Type="http://schemas.openxmlformats.org/officeDocument/2006/relationships/hyperlink" Target="https://www.federalregister.gov/documents/2020/12/04/2020-25143/expanding-consumers-video-navigation-choices-commercial-availability-of-navigation-devices"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