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A3B9DB1" w14:textId="77777777">
      <w:pPr>
        <w:jc w:val="right"/>
        <w:rPr>
          <w:sz w:val="24"/>
        </w:rPr>
      </w:pPr>
    </w:p>
    <w:p w:rsidR="00013A8B" w:rsidRPr="00447F6C" w:rsidP="00013A8B" w14:paraId="3F31FD6E" w14:textId="538E0C11">
      <w:pPr>
        <w:jc w:val="right"/>
        <w:rPr>
          <w:b/>
          <w:szCs w:val="22"/>
        </w:rPr>
      </w:pPr>
      <w:r>
        <w:rPr>
          <w:b/>
          <w:szCs w:val="22"/>
        </w:rPr>
        <w:t>DA</w:t>
      </w:r>
      <w:r w:rsidR="00A0445F">
        <w:rPr>
          <w:b/>
          <w:szCs w:val="22"/>
        </w:rPr>
        <w:t xml:space="preserve"> 21-175</w:t>
      </w:r>
      <w:bookmarkStart w:id="0" w:name="_GoBack"/>
      <w:bookmarkEnd w:id="0"/>
    </w:p>
    <w:p w:rsidR="00013A8B" w:rsidRPr="00447F6C" w:rsidP="00013A8B" w14:paraId="7BD44DA2" w14:textId="69192B95">
      <w:pPr>
        <w:spacing w:before="60"/>
        <w:jc w:val="right"/>
        <w:rPr>
          <w:b/>
          <w:szCs w:val="22"/>
        </w:rPr>
      </w:pPr>
      <w:r w:rsidRPr="00447F6C">
        <w:rPr>
          <w:b/>
          <w:szCs w:val="22"/>
        </w:rPr>
        <w:t xml:space="preserve">Released:  </w:t>
      </w:r>
      <w:r w:rsidR="00447F6C">
        <w:rPr>
          <w:b/>
          <w:szCs w:val="22"/>
        </w:rPr>
        <w:t>February 16, 2021</w:t>
      </w:r>
    </w:p>
    <w:p w:rsidR="00013A8B" w:rsidP="00013A8B" w14:paraId="1AB3368A" w14:textId="77777777">
      <w:pPr>
        <w:jc w:val="right"/>
        <w:rPr>
          <w:sz w:val="24"/>
        </w:rPr>
      </w:pPr>
    </w:p>
    <w:p w:rsidR="00A90728" w:rsidRPr="00A90728" w:rsidP="00A90728" w14:paraId="2013D35E" w14:textId="77777777">
      <w:pPr>
        <w:widowControl/>
        <w:suppressAutoHyphens/>
        <w:spacing w:after="240"/>
        <w:jc w:val="center"/>
        <w:rPr>
          <w:b/>
          <w:snapToGrid/>
          <w:kern w:val="0"/>
        </w:rPr>
      </w:pPr>
      <w:r w:rsidRPr="00A90728">
        <w:rPr>
          <w:b/>
          <w:snapToGrid/>
          <w:kern w:val="0"/>
        </w:rPr>
        <w:t>NOTICE OF REMOVAL OF DOMESTIC SECTION 214 APPLICATIONS FROM STREAMLINED TREATMENT</w:t>
      </w:r>
    </w:p>
    <w:p w:rsidR="00A90728" w:rsidRPr="00A90728" w:rsidP="005373B5" w14:paraId="33A091BE" w14:textId="0F7A2400">
      <w:pPr>
        <w:widowControl/>
        <w:tabs>
          <w:tab w:val="center" w:pos="4680"/>
          <w:tab w:val="left" w:pos="7100"/>
        </w:tabs>
        <w:suppressAutoHyphens/>
        <w:spacing w:after="240"/>
        <w:rPr>
          <w:b/>
          <w:snapToGrid/>
          <w:kern w:val="0"/>
        </w:rPr>
      </w:pPr>
      <w:r>
        <w:rPr>
          <w:b/>
          <w:snapToGrid/>
          <w:kern w:val="0"/>
        </w:rPr>
        <w:tab/>
      </w:r>
      <w:r w:rsidRPr="00A90728">
        <w:rPr>
          <w:b/>
          <w:snapToGrid/>
          <w:kern w:val="0"/>
        </w:rPr>
        <w:t>WC Docket No. 21-22</w:t>
      </w:r>
      <w:r>
        <w:rPr>
          <w:b/>
          <w:snapToGrid/>
          <w:kern w:val="0"/>
        </w:rPr>
        <w:tab/>
      </w:r>
    </w:p>
    <w:p w:rsidR="00A90728" w:rsidRPr="00A90728" w:rsidP="00A90728" w14:paraId="320402A3"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rPr>
      </w:pPr>
      <w:r w:rsidRPr="00A90728">
        <w:rPr>
          <w:b/>
          <w:snapToGrid/>
          <w:kern w:val="0"/>
        </w:rPr>
        <w:tab/>
      </w:r>
      <w:r w:rsidRPr="00A90728">
        <w:rPr>
          <w:snapToGrid/>
          <w:kern w:val="0"/>
          <w:szCs w:val="22"/>
        </w:rPr>
        <w:t>The Wireline Competition Bureau (Bureau) has removed the applications listed in this notice from streamlined treatment pursuant to the Commission’s streamlined procedures for domestic section 214 transfer of control applications.</w:t>
      </w:r>
      <w:r>
        <w:rPr>
          <w:snapToGrid/>
          <w:kern w:val="0"/>
          <w:szCs w:val="22"/>
          <w:vertAlign w:val="superscript"/>
        </w:rPr>
        <w:footnoteReference w:id="3"/>
      </w:r>
      <w:r w:rsidRPr="00A90728">
        <w:rPr>
          <w:snapToGrid/>
          <w:kern w:val="0"/>
        </w:rPr>
        <w:t xml:space="preserve">  </w:t>
      </w:r>
      <w:r w:rsidRPr="00A90728">
        <w:rPr>
          <w:snapToGrid/>
          <w:kern w:val="0"/>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snapToGrid/>
          <w:kern w:val="0"/>
          <w:szCs w:val="22"/>
          <w:vertAlign w:val="superscript"/>
        </w:rPr>
        <w:footnoteReference w:id="4"/>
      </w:r>
      <w:r w:rsidRPr="00A90728">
        <w:rPr>
          <w:snapToGrid/>
          <w:kern w:val="0"/>
          <w:szCs w:val="22"/>
        </w:rPr>
        <w:t xml:space="preserve">  These applications are being removed from streamlined treatment for further consideration of the transaction.</w:t>
      </w:r>
      <w:r>
        <w:rPr>
          <w:snapToGrid/>
          <w:kern w:val="0"/>
          <w:szCs w:val="22"/>
          <w:vertAlign w:val="superscript"/>
        </w:rPr>
        <w:footnoteReference w:id="5"/>
      </w:r>
    </w:p>
    <w:p w:rsidR="00A90728" w:rsidRPr="00A90728" w:rsidP="00A90728" w14:paraId="5EE5EE2C" w14:textId="77777777">
      <w:pPr>
        <w:widowControl/>
        <w:autoSpaceDE w:val="0"/>
        <w:autoSpaceDN w:val="0"/>
        <w:adjustRightInd w:val="0"/>
        <w:ind w:right="420"/>
        <w:rPr>
          <w:bCs/>
          <w:snapToGrid/>
          <w:kern w:val="0"/>
          <w:szCs w:val="22"/>
        </w:rPr>
      </w:pPr>
    </w:p>
    <w:p w:rsidR="00A90728" w:rsidRPr="00A90728" w:rsidP="00A90728" w14:paraId="35EEE859" w14:textId="5415C73B">
      <w:pPr>
        <w:widowControl/>
        <w:autoSpaceDE w:val="0"/>
        <w:autoSpaceDN w:val="0"/>
        <w:adjustRightInd w:val="0"/>
        <w:ind w:left="720" w:right="420"/>
        <w:rPr>
          <w:bCs/>
          <w:snapToGrid/>
          <w:kern w:val="0"/>
          <w:szCs w:val="22"/>
        </w:rPr>
      </w:pPr>
      <w:bookmarkStart w:id="1" w:name="_Hlk510618895"/>
      <w:r w:rsidRPr="00A90728">
        <w:rPr>
          <w:bCs/>
          <w:snapToGrid/>
          <w:kern w:val="0"/>
          <w:szCs w:val="22"/>
        </w:rPr>
        <w:t>Domestic Section 214 Application</w:t>
      </w:r>
      <w:r>
        <w:rPr>
          <w:bCs/>
          <w:snapToGrid/>
          <w:kern w:val="0"/>
          <w:szCs w:val="22"/>
        </w:rPr>
        <w:t>s</w:t>
      </w:r>
      <w:r w:rsidRPr="00A90728">
        <w:rPr>
          <w:bCs/>
          <w:snapToGrid/>
          <w:kern w:val="0"/>
          <w:szCs w:val="22"/>
        </w:rPr>
        <w:t xml:space="preserve"> Filed for the Transfer of Control of </w:t>
      </w:r>
    </w:p>
    <w:p w:rsidR="00A90728" w:rsidRPr="00A90728" w:rsidP="00A90728" w14:paraId="29547A6C" w14:textId="62890018">
      <w:pPr>
        <w:widowControl/>
        <w:autoSpaceDE w:val="0"/>
        <w:autoSpaceDN w:val="0"/>
        <w:adjustRightInd w:val="0"/>
        <w:ind w:left="720" w:right="420"/>
        <w:rPr>
          <w:bCs/>
          <w:snapToGrid/>
          <w:kern w:val="0"/>
          <w:szCs w:val="22"/>
        </w:rPr>
      </w:pPr>
      <w:r w:rsidRPr="00A90728">
        <w:rPr>
          <w:bCs/>
          <w:snapToGrid/>
          <w:kern w:val="0"/>
          <w:szCs w:val="22"/>
        </w:rPr>
        <w:t>Vertex Telecom</w:t>
      </w:r>
      <w:r>
        <w:rPr>
          <w:bCs/>
          <w:snapToGrid/>
          <w:kern w:val="0"/>
          <w:szCs w:val="22"/>
        </w:rPr>
        <w:t>,</w:t>
      </w:r>
      <w:r w:rsidRPr="00A90728">
        <w:rPr>
          <w:bCs/>
          <w:snapToGrid/>
          <w:kern w:val="0"/>
          <w:szCs w:val="22"/>
        </w:rPr>
        <w:t xml:space="preserve"> Inc., WC Docket No. 21-22, Public Notice, DA 21-93 (WCB 20</w:t>
      </w:r>
      <w:bookmarkEnd w:id="1"/>
      <w:r w:rsidRPr="00A90728">
        <w:rPr>
          <w:bCs/>
          <w:snapToGrid/>
          <w:kern w:val="0"/>
          <w:szCs w:val="22"/>
        </w:rPr>
        <w:t>21)</w:t>
      </w:r>
    </w:p>
    <w:p w:rsidR="00A90728" w:rsidRPr="00A90728" w:rsidP="00A90728" w14:paraId="28E93DC7" w14:textId="77777777">
      <w:pPr>
        <w:widowControl/>
        <w:autoSpaceDE w:val="0"/>
        <w:autoSpaceDN w:val="0"/>
        <w:adjustRightInd w:val="0"/>
        <w:ind w:left="1440" w:right="420"/>
        <w:rPr>
          <w:bCs/>
          <w:snapToGrid/>
          <w:kern w:val="0"/>
          <w:szCs w:val="22"/>
        </w:rPr>
      </w:pPr>
      <w:r w:rsidRPr="00A90728">
        <w:rPr>
          <w:snapToGrid/>
          <w:kern w:val="0"/>
        </w:rPr>
        <w:tab/>
      </w:r>
      <w:r w:rsidRPr="00A90728">
        <w:rPr>
          <w:snapToGrid/>
          <w:kern w:val="0"/>
          <w:szCs w:val="24"/>
        </w:rPr>
        <w:t xml:space="preserve"> </w:t>
      </w:r>
    </w:p>
    <w:p w:rsidR="00A90728" w:rsidRPr="00A90728" w:rsidP="00A90728" w14:paraId="16F3CC25" w14:textId="77777777">
      <w:pPr>
        <w:widowControl/>
        <w:rPr>
          <w:snapToGrid/>
          <w:kern w:val="0"/>
          <w:szCs w:val="24"/>
        </w:rPr>
      </w:pPr>
      <w:r w:rsidRPr="00A90728">
        <w:rPr>
          <w:snapToGrid/>
          <w:kern w:val="0"/>
          <w:szCs w:val="16"/>
        </w:rPr>
        <w:tab/>
      </w:r>
      <w:r w:rsidRPr="00A90728">
        <w:rPr>
          <w:snapToGrid/>
          <w:kern w:val="0"/>
          <w:szCs w:val="24"/>
        </w:rPr>
        <w:t xml:space="preserve">For further information, please contact </w:t>
      </w:r>
      <w:bookmarkStart w:id="2" w:name="_Hlk35427381"/>
      <w:r w:rsidRPr="00A90728">
        <w:rPr>
          <w:snapToGrid/>
          <w:kern w:val="0"/>
          <w:szCs w:val="24"/>
        </w:rPr>
        <w:t>Gregory Kwan, Competition Policy Division, Wireline Competition Bureau, at (202) 418-1191.</w:t>
      </w:r>
      <w:bookmarkEnd w:id="2"/>
    </w:p>
    <w:p w:rsidR="00A90728" w:rsidRPr="00A90728" w:rsidP="00A90728" w14:paraId="21EB5A8B" w14:textId="77777777">
      <w:pPr>
        <w:widowControl/>
        <w:rPr>
          <w:snapToGrid/>
          <w:kern w:val="0"/>
          <w:szCs w:val="24"/>
        </w:rPr>
      </w:pPr>
    </w:p>
    <w:p w:rsidR="00A90728" w:rsidRPr="00A90728" w:rsidP="00A90728" w14:paraId="5CFD5BB0" w14:textId="77777777">
      <w:pPr>
        <w:widowControl/>
        <w:rPr>
          <w:snapToGrid/>
          <w:kern w:val="0"/>
          <w:szCs w:val="24"/>
        </w:rPr>
      </w:pPr>
    </w:p>
    <w:p w:rsidR="00A90728" w:rsidRPr="00A90728" w:rsidP="00A90728" w14:paraId="7EB35CEE" w14:textId="77777777">
      <w:pPr>
        <w:widowControl/>
        <w:rPr>
          <w:snapToGrid/>
          <w:kern w:val="0"/>
          <w:szCs w:val="24"/>
        </w:rPr>
      </w:pPr>
    </w:p>
    <w:p w:rsidR="00930ECF" w:rsidRPr="00930ECF" w:rsidP="00F96F63" w14:paraId="39A0BFE3"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15E16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1A38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8E93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152D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728" w14:paraId="66EE4785" w14:textId="77777777">
      <w:r>
        <w:separator/>
      </w:r>
    </w:p>
  </w:footnote>
  <w:footnote w:type="continuationSeparator" w:id="1">
    <w:p w:rsidR="00A90728" w14:paraId="0D22BE0B" w14:textId="77777777">
      <w:pPr>
        <w:rPr>
          <w:sz w:val="20"/>
        </w:rPr>
      </w:pPr>
      <w:r>
        <w:rPr>
          <w:sz w:val="20"/>
        </w:rPr>
        <w:t xml:space="preserve">(Continued from previous page)  </w:t>
      </w:r>
      <w:r>
        <w:rPr>
          <w:sz w:val="20"/>
        </w:rPr>
        <w:separator/>
      </w:r>
    </w:p>
  </w:footnote>
  <w:footnote w:type="continuationNotice" w:id="2">
    <w:p w:rsidR="00A90728" w:rsidP="00910F12" w14:paraId="4C03D501" w14:textId="77777777">
      <w:pPr>
        <w:jc w:val="right"/>
        <w:rPr>
          <w:sz w:val="20"/>
        </w:rPr>
      </w:pPr>
      <w:r>
        <w:rPr>
          <w:sz w:val="20"/>
        </w:rPr>
        <w:t>(continued….)</w:t>
      </w:r>
    </w:p>
  </w:footnote>
  <w:footnote w:id="3">
    <w:p w:rsidR="00A90728" w:rsidP="00A90728" w14:paraId="4201092D" w14:textId="77777777">
      <w:pPr>
        <w:pStyle w:val="FootnoteText"/>
      </w:pPr>
      <w:r>
        <w:rPr>
          <w:rStyle w:val="FootnoteReference"/>
        </w:rPr>
        <w:footnoteRef/>
      </w:r>
      <w:r>
        <w:t xml:space="preserve">  47 U.S.C. 214; 47 CFR § 63.03; </w:t>
      </w:r>
      <w:r>
        <w:rPr>
          <w:i/>
        </w:rPr>
        <w:t>Implementation of Further Streamlining Measures for Domestic Section 214 Authorizations</w:t>
      </w:r>
      <w:r>
        <w:rPr>
          <w:iCs/>
        </w:rPr>
        <w:t xml:space="preserve">, CC Docket No. 01-150, Report and Order, </w:t>
      </w:r>
      <w:r>
        <w:t>17 FCC Rcd 5517 (2002).</w:t>
      </w:r>
    </w:p>
  </w:footnote>
  <w:footnote w:id="4">
    <w:p w:rsidR="00A90728" w:rsidRPr="007B75C9" w:rsidP="00A90728" w14:paraId="3CC9E0C9" w14:textId="77777777">
      <w:pPr>
        <w:pStyle w:val="FootnoteText"/>
      </w:pPr>
      <w:r>
        <w:rPr>
          <w:rStyle w:val="FootnoteReference"/>
        </w:rPr>
        <w:footnoteRef/>
      </w:r>
      <w:r>
        <w:t xml:space="preserve">  </w:t>
      </w:r>
      <w:r>
        <w:rPr>
          <w:i/>
        </w:rPr>
        <w:t xml:space="preserve">See </w:t>
      </w:r>
      <w:r>
        <w:t>47 CFR § 63.03(c)(1)(v).</w:t>
      </w:r>
    </w:p>
  </w:footnote>
  <w:footnote w:id="5">
    <w:p w:rsidR="00A90728" w:rsidP="00A90728" w14:paraId="27C145E7" w14:textId="77777777">
      <w:pPr>
        <w:pStyle w:val="FootnoteText"/>
      </w:pPr>
      <w:r w:rsidRPr="007B75C9">
        <w:rPr>
          <w:rStyle w:val="FootnoteReference"/>
        </w:rPr>
        <w:footnoteRef/>
      </w:r>
      <w:r w:rsidRPr="007B75C9">
        <w:t xml:space="preserve"> Except in extraordinary circumstances, final action on this application should be expected no later than 180 days from public notice that the application was accepted for filing. </w:t>
      </w:r>
      <w:r w:rsidRPr="007B75C9">
        <w:rPr>
          <w:i/>
          <w:iCs/>
        </w:rPr>
        <w:t>See</w:t>
      </w:r>
      <w:r w:rsidRPr="007B75C9">
        <w:t> 47 C.F.R. § 63.03(c)(2).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9C0B3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46743A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89A3AA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F29C1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FC4C9D0" w14:textId="77777777">
                <w:pPr>
                  <w:rPr>
                    <w:rFonts w:ascii="Arial" w:hAnsi="Arial"/>
                    <w:b/>
                    <w:snapToGrid/>
                  </w:rPr>
                </w:pPr>
                <w:r>
                  <w:rPr>
                    <w:rFonts w:ascii="Arial" w:hAnsi="Arial"/>
                    <w:b/>
                  </w:rPr>
                  <w:t>Federal Communications Commission</w:t>
                </w:r>
              </w:p>
              <w:p w:rsidR="00DE0AB8" w:rsidP="00DE0AB8" w14:paraId="7B7EF81E" w14:textId="77777777">
                <w:pPr>
                  <w:rPr>
                    <w:rFonts w:ascii="Arial" w:hAnsi="Arial"/>
                    <w:b/>
                  </w:rPr>
                </w:pPr>
                <w:r>
                  <w:rPr>
                    <w:rFonts w:ascii="Arial" w:hAnsi="Arial"/>
                    <w:b/>
                  </w:rPr>
                  <w:t>45 L Street NE</w:t>
                </w:r>
              </w:p>
              <w:p w:rsidR="009838BC" w:rsidP="00DE0AB8" w14:paraId="510182A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F5BF3C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1F735E1" w14:textId="77777777">
                <w:pPr>
                  <w:spacing w:before="40"/>
                  <w:jc w:val="right"/>
                  <w:rPr>
                    <w:rFonts w:ascii="Arial" w:hAnsi="Arial"/>
                    <w:b/>
                    <w:sz w:val="16"/>
                  </w:rPr>
                </w:pPr>
                <w:r>
                  <w:rPr>
                    <w:rFonts w:ascii="Arial" w:hAnsi="Arial"/>
                    <w:b/>
                    <w:sz w:val="16"/>
                  </w:rPr>
                  <w:t>News Media Information 202 / 418-0500</w:t>
                </w:r>
              </w:p>
              <w:p w:rsidR="009838BC" w:rsidP="009838BC" w14:paraId="43DACB8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txbxContent>
          </v:textbox>
        </v:shape>
      </w:pict>
    </w:r>
  </w:p>
  <w:p w:rsidR="006F7393" w:rsidRPr="009838BC" w:rsidP="009838BC" w14:paraId="15A4F59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28"/>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47F6C"/>
    <w:rsid w:val="00451B0F"/>
    <w:rsid w:val="0046125F"/>
    <w:rsid w:val="00487524"/>
    <w:rsid w:val="00496106"/>
    <w:rsid w:val="004C12D0"/>
    <w:rsid w:val="004C2EE3"/>
    <w:rsid w:val="004E4A22"/>
    <w:rsid w:val="00511968"/>
    <w:rsid w:val="005373B5"/>
    <w:rsid w:val="0055614C"/>
    <w:rsid w:val="00607BA5"/>
    <w:rsid w:val="00626EB6"/>
    <w:rsid w:val="006353A3"/>
    <w:rsid w:val="00655D03"/>
    <w:rsid w:val="00683F84"/>
    <w:rsid w:val="006A6A81"/>
    <w:rsid w:val="006E26AF"/>
    <w:rsid w:val="006F7393"/>
    <w:rsid w:val="0070224F"/>
    <w:rsid w:val="007115F7"/>
    <w:rsid w:val="00745963"/>
    <w:rsid w:val="00785689"/>
    <w:rsid w:val="0079754B"/>
    <w:rsid w:val="007A1E6D"/>
    <w:rsid w:val="007B75C9"/>
    <w:rsid w:val="00822CE0"/>
    <w:rsid w:val="00837C62"/>
    <w:rsid w:val="00841AB1"/>
    <w:rsid w:val="008C22FD"/>
    <w:rsid w:val="00910F12"/>
    <w:rsid w:val="00926503"/>
    <w:rsid w:val="00930ECF"/>
    <w:rsid w:val="009838BC"/>
    <w:rsid w:val="00A0445F"/>
    <w:rsid w:val="00A45F4F"/>
    <w:rsid w:val="00A600A9"/>
    <w:rsid w:val="00A866AC"/>
    <w:rsid w:val="00A90728"/>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D123E"/>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D8D"/>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F1364E-2D11-4FE5-AF53-43B1AD7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44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6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