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BC77B9">
      <w:pPr>
        <w:pStyle w:val="Header"/>
        <w:tabs>
          <w:tab w:val="clear" w:pos="4320"/>
          <w:tab w:val="clear" w:pos="8640"/>
        </w:tabs>
        <w:rPr>
          <w:szCs w:val="22"/>
        </w:rPr>
      </w:pPr>
      <w:r>
        <w:rPr>
          <w:szCs w:val="22"/>
        </w:rPr>
        <w:t xml:space="preserve"> </w:t>
      </w:r>
    </w:p>
    <w:p w:rsidR="002710BB" w:rsidRPr="006B29E2">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1404EC">
        <w:rPr>
          <w:szCs w:val="22"/>
        </w:rPr>
        <w:t xml:space="preserve"> </w:t>
      </w:r>
      <w:r w:rsidR="006253CB">
        <w:rPr>
          <w:szCs w:val="22"/>
        </w:rPr>
        <w:t xml:space="preserve"> </w:t>
      </w:r>
    </w:p>
    <w:p w:rsidR="002710BB" w:rsidRPr="006B29E2" w:rsidP="00D160FC">
      <w:pPr>
        <w:ind w:left="6480" w:hanging="90"/>
        <w:jc w:val="center"/>
        <w:rPr>
          <w:b/>
          <w:szCs w:val="22"/>
        </w:rPr>
      </w:pPr>
      <w:r w:rsidRPr="006B29E2">
        <w:rPr>
          <w:b/>
          <w:szCs w:val="22"/>
        </w:rPr>
        <w:t xml:space="preserve">DA </w:t>
      </w:r>
      <w:r w:rsidR="004775F2">
        <w:rPr>
          <w:b/>
          <w:szCs w:val="22"/>
        </w:rPr>
        <w:t>2</w:t>
      </w:r>
      <w:r w:rsidR="00051852">
        <w:rPr>
          <w:b/>
          <w:szCs w:val="22"/>
        </w:rPr>
        <w:t>1</w:t>
      </w:r>
      <w:r w:rsidR="004241B2">
        <w:rPr>
          <w:b/>
          <w:szCs w:val="22"/>
        </w:rPr>
        <w:t>-</w:t>
      </w:r>
      <w:r w:rsidR="00E562B2">
        <w:rPr>
          <w:b/>
          <w:szCs w:val="22"/>
        </w:rPr>
        <w:t>178</w:t>
      </w:r>
    </w:p>
    <w:p w:rsidR="002710BB" w:rsidRPr="006B29E2" w:rsidP="00D160FC">
      <w:pPr>
        <w:spacing w:before="60"/>
        <w:ind w:left="6930"/>
        <w:jc w:val="center"/>
        <w:rPr>
          <w:b/>
          <w:szCs w:val="22"/>
        </w:rPr>
      </w:pPr>
      <w:r>
        <w:rPr>
          <w:b/>
          <w:szCs w:val="22"/>
        </w:rPr>
        <w:t>February</w:t>
      </w:r>
      <w:r w:rsidR="0065645C">
        <w:rPr>
          <w:b/>
          <w:szCs w:val="22"/>
        </w:rPr>
        <w:t xml:space="preserve"> </w:t>
      </w:r>
      <w:r w:rsidR="00BD1C99">
        <w:rPr>
          <w:b/>
          <w:szCs w:val="22"/>
        </w:rPr>
        <w:t>16</w:t>
      </w:r>
      <w:r w:rsidRPr="00D160FC" w:rsidR="00803F8F">
        <w:rPr>
          <w:b/>
          <w:szCs w:val="22"/>
        </w:rPr>
        <w:t>,</w:t>
      </w:r>
      <w:r w:rsidRPr="006B29E2" w:rsidR="00803F8F">
        <w:rPr>
          <w:b/>
          <w:szCs w:val="22"/>
        </w:rPr>
        <w:t xml:space="preserve"> 20</w:t>
      </w:r>
      <w:r w:rsidR="004775F2">
        <w:rPr>
          <w:b/>
          <w:szCs w:val="22"/>
        </w:rPr>
        <w:t>2</w:t>
      </w:r>
      <w:r w:rsidR="00AE6E86">
        <w:rPr>
          <w:b/>
          <w:szCs w:val="22"/>
        </w:rPr>
        <w:t>1</w:t>
      </w:r>
    </w:p>
    <w:p w:rsidR="002710BB" w:rsidRPr="006B29E2" w:rsidP="002710BB">
      <w:pPr>
        <w:tabs>
          <w:tab w:val="left" w:pos="5900"/>
        </w:tabs>
        <w:rPr>
          <w:szCs w:val="22"/>
        </w:rPr>
      </w:pPr>
      <w:r w:rsidRPr="006B29E2">
        <w:rPr>
          <w:szCs w:val="22"/>
        </w:rPr>
        <w:tab/>
      </w:r>
    </w:p>
    <w:p w:rsidR="00585942" w:rsidP="0020389B">
      <w:pPr>
        <w:autoSpaceDE w:val="0"/>
        <w:autoSpaceDN w:val="0"/>
        <w:adjustRightInd w:val="0"/>
        <w:jc w:val="center"/>
        <w:rPr>
          <w:b/>
          <w:bCs/>
          <w:szCs w:val="22"/>
        </w:rPr>
      </w:pPr>
      <w:bookmarkStart w:id="1" w:name="_Hlk519509475"/>
      <w:bookmarkStart w:id="2" w:name="_Hlk502044717"/>
      <w:bookmarkStart w:id="3" w:name="_Hlk516578398"/>
      <w:r w:rsidRPr="009F1D82">
        <w:rPr>
          <w:b/>
          <w:bCs/>
          <w:szCs w:val="22"/>
        </w:rPr>
        <w:t>APPLICATION</w:t>
      </w:r>
      <w:r>
        <w:rPr>
          <w:b/>
          <w:bCs/>
          <w:szCs w:val="22"/>
        </w:rPr>
        <w:t>S</w:t>
      </w:r>
      <w:r w:rsidRPr="009F1D82">
        <w:rPr>
          <w:b/>
          <w:bCs/>
          <w:szCs w:val="22"/>
        </w:rPr>
        <w:t xml:space="preserve"> FILED FOR THE TRANSFER OF </w:t>
      </w:r>
      <w:r w:rsidR="000264C0">
        <w:rPr>
          <w:b/>
          <w:bCs/>
          <w:szCs w:val="22"/>
        </w:rPr>
        <w:t>CONTROL</w:t>
      </w:r>
      <w:r w:rsidR="001C2BAE">
        <w:rPr>
          <w:b/>
          <w:bCs/>
          <w:szCs w:val="22"/>
        </w:rPr>
        <w:t xml:space="preserve"> </w:t>
      </w:r>
      <w:r w:rsidRPr="009F1D82" w:rsidR="00F54506">
        <w:rPr>
          <w:b/>
          <w:bCs/>
          <w:szCs w:val="22"/>
        </w:rPr>
        <w:t>OF</w:t>
      </w:r>
    </w:p>
    <w:p w:rsidR="004241B2" w:rsidP="00CF6AC5">
      <w:pPr>
        <w:autoSpaceDE w:val="0"/>
        <w:autoSpaceDN w:val="0"/>
        <w:adjustRightInd w:val="0"/>
        <w:jc w:val="center"/>
        <w:rPr>
          <w:b/>
          <w:bCs/>
          <w:szCs w:val="22"/>
        </w:rPr>
      </w:pPr>
      <w:r>
        <w:rPr>
          <w:b/>
          <w:bCs/>
          <w:szCs w:val="22"/>
        </w:rPr>
        <w:t xml:space="preserve">ALASKA COMMUNICATIONS SYSTEMS GROUP, INC. </w:t>
      </w:r>
      <w:r w:rsidR="0065645C">
        <w:rPr>
          <w:b/>
          <w:bCs/>
          <w:szCs w:val="22"/>
        </w:rPr>
        <w:t xml:space="preserve">TO </w:t>
      </w:r>
      <w:r>
        <w:rPr>
          <w:b/>
          <w:bCs/>
          <w:szCs w:val="22"/>
        </w:rPr>
        <w:t>PROJECT 8 BUYER, LLC</w:t>
      </w:r>
    </w:p>
    <w:bookmarkEnd w:id="1"/>
    <w:bookmarkEnd w:id="2"/>
    <w:bookmarkEnd w:id="3"/>
    <w:p w:rsidR="00F54506" w:rsidP="00F54506">
      <w:pPr>
        <w:autoSpaceDE w:val="0"/>
        <w:autoSpaceDN w:val="0"/>
        <w:adjustRightInd w:val="0"/>
        <w:rPr>
          <w:b/>
          <w:bCs/>
          <w:szCs w:val="22"/>
        </w:rPr>
      </w:pPr>
    </w:p>
    <w:p w:rsidR="002710BB" w:rsidRPr="006B29E2" w:rsidP="00F54506">
      <w:pPr>
        <w:autoSpaceDE w:val="0"/>
        <w:autoSpaceDN w:val="0"/>
        <w:adjustRightInd w:val="0"/>
        <w:jc w:val="center"/>
        <w:rPr>
          <w:b/>
          <w:szCs w:val="22"/>
        </w:rPr>
      </w:pPr>
      <w:r w:rsidRPr="006B29E2">
        <w:rPr>
          <w:b/>
          <w:szCs w:val="22"/>
        </w:rPr>
        <w:t>PLEADING CYCLE ESTABLISHED</w:t>
      </w:r>
    </w:p>
    <w:p w:rsidR="002710BB" w:rsidRPr="006B29E2" w:rsidP="002710BB">
      <w:pPr>
        <w:jc w:val="center"/>
        <w:rPr>
          <w:b/>
          <w:szCs w:val="22"/>
        </w:rPr>
      </w:pPr>
    </w:p>
    <w:p w:rsidR="002710BB" w:rsidP="002710BB">
      <w:pPr>
        <w:jc w:val="center"/>
        <w:rPr>
          <w:b/>
          <w:szCs w:val="22"/>
        </w:rPr>
      </w:pPr>
      <w:r>
        <w:rPr>
          <w:b/>
          <w:szCs w:val="22"/>
        </w:rPr>
        <w:t xml:space="preserve"> </w:t>
      </w:r>
      <w:r w:rsidRPr="00377CC1">
        <w:rPr>
          <w:b/>
          <w:szCs w:val="22"/>
        </w:rPr>
        <w:t xml:space="preserve">WC Docket No. </w:t>
      </w:r>
      <w:r w:rsidR="004775F2">
        <w:rPr>
          <w:b/>
          <w:szCs w:val="22"/>
        </w:rPr>
        <w:t>2</w:t>
      </w:r>
      <w:r w:rsidR="00A17219">
        <w:rPr>
          <w:b/>
          <w:szCs w:val="22"/>
        </w:rPr>
        <w:t>1</w:t>
      </w:r>
      <w:r w:rsidRPr="00377CC1">
        <w:rPr>
          <w:b/>
          <w:szCs w:val="22"/>
        </w:rPr>
        <w:t>-</w:t>
      </w:r>
      <w:r w:rsidR="00A17219">
        <w:rPr>
          <w:b/>
          <w:szCs w:val="22"/>
        </w:rPr>
        <w:t>23</w:t>
      </w:r>
    </w:p>
    <w:p w:rsidR="002710BB" w:rsidRPr="006B29E2" w:rsidP="002710BB">
      <w:pPr>
        <w:jc w:val="center"/>
        <w:rPr>
          <w:szCs w:val="22"/>
        </w:rPr>
      </w:pPr>
    </w:p>
    <w:p w:rsidR="002710BB" w:rsidRPr="006B29E2" w:rsidP="002710BB">
      <w:pPr>
        <w:pStyle w:val="NoSpacing"/>
        <w:rPr>
          <w:b/>
          <w:szCs w:val="22"/>
        </w:rPr>
      </w:pPr>
      <w:r>
        <w:rPr>
          <w:b/>
          <w:szCs w:val="22"/>
        </w:rPr>
        <w:t>Comments</w:t>
      </w:r>
      <w:r w:rsidR="00E736BA">
        <w:rPr>
          <w:b/>
          <w:szCs w:val="22"/>
        </w:rPr>
        <w:t>/Petitions Due</w:t>
      </w:r>
      <w:r>
        <w:rPr>
          <w:b/>
          <w:szCs w:val="22"/>
        </w:rPr>
        <w:t xml:space="preserve">:  </w:t>
      </w:r>
      <w:r w:rsidR="00BD1C99">
        <w:rPr>
          <w:b/>
          <w:szCs w:val="22"/>
        </w:rPr>
        <w:t>March</w:t>
      </w:r>
      <w:r w:rsidR="001E681F">
        <w:rPr>
          <w:b/>
          <w:szCs w:val="22"/>
        </w:rPr>
        <w:t xml:space="preserve"> </w:t>
      </w:r>
      <w:r w:rsidR="00EB0007">
        <w:rPr>
          <w:b/>
          <w:szCs w:val="22"/>
        </w:rPr>
        <w:t>18</w:t>
      </w:r>
      <w:r w:rsidRPr="00AF1348">
        <w:rPr>
          <w:b/>
          <w:szCs w:val="22"/>
        </w:rPr>
        <w:t>, 20</w:t>
      </w:r>
      <w:r w:rsidR="004775F2">
        <w:rPr>
          <w:b/>
          <w:szCs w:val="22"/>
        </w:rPr>
        <w:t>2</w:t>
      </w:r>
      <w:r w:rsidR="00AE6E86">
        <w:rPr>
          <w:b/>
          <w:szCs w:val="22"/>
        </w:rPr>
        <w:t>1</w:t>
      </w:r>
    </w:p>
    <w:p w:rsidR="00590D65" w:rsidRPr="006B29E2" w:rsidP="002710BB">
      <w:pPr>
        <w:pStyle w:val="NoSpacing"/>
        <w:rPr>
          <w:b/>
          <w:szCs w:val="22"/>
        </w:rPr>
      </w:pPr>
      <w:r w:rsidRPr="006B29E2">
        <w:rPr>
          <w:b/>
          <w:szCs w:val="22"/>
        </w:rPr>
        <w:t>Reply Comments</w:t>
      </w:r>
      <w:r w:rsidR="00E736BA">
        <w:rPr>
          <w:b/>
          <w:szCs w:val="22"/>
        </w:rPr>
        <w:t>/Oppositions to Petitions Due</w:t>
      </w:r>
      <w:r w:rsidRPr="00AF1348">
        <w:rPr>
          <w:b/>
          <w:szCs w:val="22"/>
        </w:rPr>
        <w:t xml:space="preserve">:  </w:t>
      </w:r>
      <w:r w:rsidR="00EB0007">
        <w:rPr>
          <w:b/>
          <w:szCs w:val="22"/>
        </w:rPr>
        <w:t>April 2</w:t>
      </w:r>
      <w:r w:rsidRPr="00AF1348">
        <w:rPr>
          <w:b/>
          <w:szCs w:val="22"/>
        </w:rPr>
        <w:t>, 2</w:t>
      </w:r>
      <w:r w:rsidR="004775F2">
        <w:rPr>
          <w:b/>
          <w:szCs w:val="22"/>
        </w:rPr>
        <w:t>02</w:t>
      </w:r>
      <w:r w:rsidR="00AE6E86">
        <w:rPr>
          <w:b/>
          <w:szCs w:val="22"/>
        </w:rPr>
        <w:t>1</w:t>
      </w:r>
    </w:p>
    <w:p w:rsidR="002710BB" w:rsidRPr="006B29E2" w:rsidP="002710BB">
      <w:pPr>
        <w:autoSpaceDE w:val="0"/>
        <w:autoSpaceDN w:val="0"/>
        <w:adjustRightInd w:val="0"/>
        <w:rPr>
          <w:rFonts w:ascii="TimesNewRomanPSMT" w:hAnsi="TimesNewRomanPSMT" w:cs="TimesNewRomanPSMT"/>
          <w:szCs w:val="22"/>
        </w:rPr>
      </w:pPr>
    </w:p>
    <w:p w:rsidR="006C1429" w:rsidP="006C1429">
      <w:pPr>
        <w:autoSpaceDE w:val="0"/>
        <w:autoSpaceDN w:val="0"/>
        <w:adjustRightInd w:val="0"/>
        <w:ind w:firstLine="720"/>
        <w:rPr>
          <w:szCs w:val="22"/>
        </w:rPr>
      </w:pPr>
      <w:r w:rsidRPr="00FB3EDD">
        <w:rPr>
          <w:szCs w:val="22"/>
        </w:rPr>
        <w:t>By this Public Notice, the Wireline Competition</w:t>
      </w:r>
      <w:r w:rsidR="0020607D">
        <w:rPr>
          <w:szCs w:val="22"/>
        </w:rPr>
        <w:t xml:space="preserve"> </w:t>
      </w:r>
      <w:r w:rsidRPr="00FB3EDD">
        <w:rPr>
          <w:szCs w:val="22"/>
        </w:rPr>
        <w:t>Bureau</w:t>
      </w:r>
      <w:r w:rsidR="00377A13">
        <w:rPr>
          <w:szCs w:val="22"/>
        </w:rPr>
        <w:t xml:space="preserve">, International Bureau, </w:t>
      </w:r>
      <w:r w:rsidRPr="001212A4" w:rsidR="00377A13">
        <w:rPr>
          <w:szCs w:val="22"/>
        </w:rPr>
        <w:t xml:space="preserve">and Wireless </w:t>
      </w:r>
      <w:r w:rsidR="00332E1C">
        <w:rPr>
          <w:szCs w:val="22"/>
        </w:rPr>
        <w:t xml:space="preserve">Telecommunications </w:t>
      </w:r>
      <w:r w:rsidRPr="001212A4" w:rsidR="00377A13">
        <w:rPr>
          <w:szCs w:val="22"/>
        </w:rPr>
        <w:t>Bureau</w:t>
      </w:r>
      <w:r w:rsidRPr="00FB3EDD">
        <w:rPr>
          <w:szCs w:val="22"/>
        </w:rPr>
        <w:t xml:space="preserve"> </w:t>
      </w:r>
      <w:r w:rsidR="001E681F">
        <w:rPr>
          <w:szCs w:val="22"/>
        </w:rPr>
        <w:t xml:space="preserve">(Bureaus) </w:t>
      </w:r>
      <w:r w:rsidRPr="00FB3EDD">
        <w:rPr>
          <w:szCs w:val="22"/>
        </w:rPr>
        <w:t>seek comment from interested parties on</w:t>
      </w:r>
      <w:r w:rsidR="00585942">
        <w:rPr>
          <w:szCs w:val="22"/>
        </w:rPr>
        <w:t xml:space="preserve"> </w:t>
      </w:r>
      <w:r w:rsidRPr="00FB3EDD">
        <w:rPr>
          <w:szCs w:val="22"/>
        </w:rPr>
        <w:t>application</w:t>
      </w:r>
      <w:r w:rsidR="007418EB">
        <w:rPr>
          <w:szCs w:val="22"/>
        </w:rPr>
        <w:t>s</w:t>
      </w:r>
      <w:r w:rsidRPr="00FB3EDD">
        <w:rPr>
          <w:szCs w:val="22"/>
        </w:rPr>
        <w:t xml:space="preserve"> filed by</w:t>
      </w:r>
      <w:r w:rsidRPr="00FB3EDD" w:rsidR="001419AD">
        <w:rPr>
          <w:color w:val="231F20"/>
          <w:szCs w:val="22"/>
        </w:rPr>
        <w:t xml:space="preserve"> </w:t>
      </w:r>
      <w:r w:rsidR="00CF16D1">
        <w:rPr>
          <w:color w:val="231F20"/>
          <w:szCs w:val="22"/>
        </w:rPr>
        <w:t xml:space="preserve">Alaska </w:t>
      </w:r>
      <w:r w:rsidR="008B3949">
        <w:rPr>
          <w:color w:val="231F20"/>
          <w:szCs w:val="22"/>
        </w:rPr>
        <w:t>C</w:t>
      </w:r>
      <w:r w:rsidR="00CF16D1">
        <w:rPr>
          <w:color w:val="231F20"/>
          <w:szCs w:val="22"/>
        </w:rPr>
        <w:t>ommunications Systems Group, Inc. (Alaska Communications) and Project 8 Buyer, LLC</w:t>
      </w:r>
      <w:r w:rsidR="008B3949">
        <w:rPr>
          <w:color w:val="231F20"/>
          <w:szCs w:val="22"/>
        </w:rPr>
        <w:t xml:space="preserve"> </w:t>
      </w:r>
      <w:r w:rsidR="002D10D9">
        <w:rPr>
          <w:color w:val="231F20"/>
          <w:szCs w:val="22"/>
        </w:rPr>
        <w:t>(</w:t>
      </w:r>
      <w:r w:rsidR="00CF16D1">
        <w:rPr>
          <w:color w:val="231F20"/>
          <w:szCs w:val="22"/>
        </w:rPr>
        <w:t>Project 8</w:t>
      </w:r>
      <w:r w:rsidR="008B16AA">
        <w:rPr>
          <w:color w:val="231F20"/>
          <w:szCs w:val="22"/>
        </w:rPr>
        <w:t>)</w:t>
      </w:r>
      <w:r w:rsidR="00CF16D1">
        <w:rPr>
          <w:color w:val="231F20"/>
          <w:szCs w:val="22"/>
        </w:rPr>
        <w:t xml:space="preserve"> (together, Applicants)</w:t>
      </w:r>
      <w:r w:rsidR="008B16AA">
        <w:rPr>
          <w:color w:val="231F20"/>
          <w:szCs w:val="22"/>
        </w:rPr>
        <w:t xml:space="preserve"> for the transfer of </w:t>
      </w:r>
      <w:r w:rsidR="00CF16D1">
        <w:rPr>
          <w:color w:val="231F20"/>
          <w:szCs w:val="22"/>
        </w:rPr>
        <w:t xml:space="preserve">Alaska Communications and its operating subsidiaries </w:t>
      </w:r>
      <w:r w:rsidR="008B16AA">
        <w:rPr>
          <w:color w:val="231F20"/>
          <w:szCs w:val="22"/>
        </w:rPr>
        <w:t xml:space="preserve">to </w:t>
      </w:r>
      <w:r w:rsidR="00CF16D1">
        <w:rPr>
          <w:color w:val="231F20"/>
          <w:szCs w:val="22"/>
        </w:rPr>
        <w:t>Project 8</w:t>
      </w:r>
      <w:r w:rsidRPr="00FB3EDD" w:rsidR="001419AD">
        <w:rPr>
          <w:color w:val="231F20"/>
          <w:szCs w:val="22"/>
        </w:rPr>
        <w:t xml:space="preserve">, </w:t>
      </w:r>
      <w:r w:rsidRPr="007656E1" w:rsidR="007656E1">
        <w:rPr>
          <w:snapToGrid w:val="0"/>
          <w:kern w:val="28"/>
          <w:szCs w:val="22"/>
        </w:rPr>
        <w:t>pursuant to sections 214 and 310(d) of the Communications Act of 1934, as amended (Act),</w:t>
      </w:r>
      <w:r>
        <w:rPr>
          <w:rStyle w:val="FootnoteReference"/>
          <w:snapToGrid w:val="0"/>
          <w:kern w:val="28"/>
          <w:szCs w:val="22"/>
        </w:rPr>
        <w:footnoteReference w:id="3"/>
      </w:r>
      <w:r w:rsidRPr="007656E1" w:rsidR="007656E1">
        <w:rPr>
          <w:snapToGrid w:val="0"/>
          <w:kern w:val="28"/>
          <w:szCs w:val="22"/>
        </w:rPr>
        <w:t xml:space="preserve"> </w:t>
      </w:r>
      <w:r w:rsidRPr="00E40B8D" w:rsidR="0086071E">
        <w:rPr>
          <w:snapToGrid w:val="0"/>
          <w:color w:val="000000"/>
          <w:kern w:val="28"/>
          <w:szCs w:val="22"/>
        </w:rPr>
        <w:t>the Cable Landing License Act of 1921</w:t>
      </w:r>
      <w:r w:rsidR="006E356E">
        <w:rPr>
          <w:snapToGrid w:val="0"/>
          <w:color w:val="000000"/>
          <w:kern w:val="28"/>
          <w:szCs w:val="22"/>
        </w:rPr>
        <w:t>,</w:t>
      </w:r>
      <w:r>
        <w:rPr>
          <w:snapToGrid w:val="0"/>
          <w:color w:val="000000"/>
          <w:kern w:val="28"/>
          <w:szCs w:val="22"/>
          <w:vertAlign w:val="superscript"/>
        </w:rPr>
        <w:footnoteReference w:id="4"/>
      </w:r>
      <w:r w:rsidR="00CD7D4C">
        <w:rPr>
          <w:snapToGrid w:val="0"/>
          <w:color w:val="000000"/>
          <w:kern w:val="28"/>
          <w:szCs w:val="22"/>
        </w:rPr>
        <w:t xml:space="preserve"> </w:t>
      </w:r>
      <w:r w:rsidRPr="007656E1" w:rsidR="007656E1">
        <w:rPr>
          <w:snapToGrid w:val="0"/>
          <w:kern w:val="28"/>
          <w:szCs w:val="22"/>
        </w:rPr>
        <w:t xml:space="preserve">and sections </w:t>
      </w:r>
      <w:r w:rsidR="0086071E">
        <w:rPr>
          <w:snapToGrid w:val="0"/>
          <w:kern w:val="28"/>
          <w:szCs w:val="22"/>
        </w:rPr>
        <w:t xml:space="preserve">1.767, </w:t>
      </w:r>
      <w:r w:rsidR="00F4126D">
        <w:rPr>
          <w:snapToGrid w:val="0"/>
          <w:kern w:val="28"/>
          <w:szCs w:val="22"/>
        </w:rPr>
        <w:t xml:space="preserve">1.948, </w:t>
      </w:r>
      <w:r w:rsidR="008E2E4C">
        <w:rPr>
          <w:snapToGrid w:val="0"/>
          <w:kern w:val="28"/>
          <w:szCs w:val="22"/>
        </w:rPr>
        <w:t xml:space="preserve">25.119, </w:t>
      </w:r>
      <w:r w:rsidRPr="007656E1" w:rsidR="007656E1">
        <w:rPr>
          <w:snapToGrid w:val="0"/>
          <w:kern w:val="28"/>
          <w:szCs w:val="22"/>
        </w:rPr>
        <w:t>63.03-04, 63.18, and 63.24 of the Commission’s rules</w:t>
      </w:r>
      <w:r w:rsidR="006E356E">
        <w:rPr>
          <w:snapToGrid w:val="0"/>
          <w:kern w:val="28"/>
          <w:szCs w:val="22"/>
        </w:rPr>
        <w:t>.</w:t>
      </w:r>
      <w:r>
        <w:rPr>
          <w:snapToGrid w:val="0"/>
          <w:kern w:val="28"/>
          <w:szCs w:val="22"/>
          <w:vertAlign w:val="superscript"/>
        </w:rPr>
        <w:footnoteReference w:id="5"/>
      </w:r>
      <w:r w:rsidR="007A6DA2">
        <w:rPr>
          <w:snapToGrid w:val="0"/>
          <w:color w:val="000000"/>
          <w:kern w:val="28"/>
          <w:szCs w:val="22"/>
        </w:rPr>
        <w:t xml:space="preserve"> </w:t>
      </w:r>
      <w:r w:rsidR="00F40FFC">
        <w:rPr>
          <w:szCs w:val="22"/>
        </w:rPr>
        <w:t xml:space="preserve"> </w:t>
      </w:r>
    </w:p>
    <w:p w:rsidR="00210870" w:rsidP="006C1429">
      <w:pPr>
        <w:autoSpaceDE w:val="0"/>
        <w:autoSpaceDN w:val="0"/>
        <w:adjustRightInd w:val="0"/>
        <w:ind w:firstLine="720"/>
        <w:rPr>
          <w:szCs w:val="22"/>
        </w:rPr>
      </w:pPr>
    </w:p>
    <w:p w:rsidR="005F24AE" w:rsidP="006519AD">
      <w:pPr>
        <w:autoSpaceDE w:val="0"/>
        <w:autoSpaceDN w:val="0"/>
        <w:adjustRightInd w:val="0"/>
        <w:ind w:firstLine="720"/>
        <w:rPr>
          <w:szCs w:val="22"/>
        </w:rPr>
      </w:pPr>
      <w:r w:rsidRPr="002E0AE6">
        <w:rPr>
          <w:szCs w:val="22"/>
        </w:rPr>
        <w:t>Alaska Communications</w:t>
      </w:r>
      <w:r w:rsidRPr="002E0AE6" w:rsidR="00803F8F">
        <w:rPr>
          <w:szCs w:val="22"/>
        </w:rPr>
        <w:t xml:space="preserve">, </w:t>
      </w:r>
      <w:r w:rsidRPr="002E0AE6" w:rsidR="00224FC0">
        <w:rPr>
          <w:szCs w:val="22"/>
        </w:rPr>
        <w:t>a publicly</w:t>
      </w:r>
      <w:r w:rsidRPr="002E0AE6" w:rsidR="00146426">
        <w:rPr>
          <w:szCs w:val="22"/>
        </w:rPr>
        <w:t xml:space="preserve"> </w:t>
      </w:r>
      <w:r w:rsidRPr="002E0AE6" w:rsidR="00224FC0">
        <w:rPr>
          <w:szCs w:val="22"/>
        </w:rPr>
        <w:t xml:space="preserve">traded </w:t>
      </w:r>
      <w:r w:rsidR="00E94E2A">
        <w:rPr>
          <w:szCs w:val="22"/>
        </w:rPr>
        <w:t>Delaware</w:t>
      </w:r>
      <w:r w:rsidRPr="002E0AE6" w:rsidR="00425372">
        <w:rPr>
          <w:szCs w:val="22"/>
        </w:rPr>
        <w:t xml:space="preserve"> corporation</w:t>
      </w:r>
      <w:r w:rsidRPr="002E0AE6" w:rsidR="00224FC0">
        <w:rPr>
          <w:szCs w:val="22"/>
        </w:rPr>
        <w:t xml:space="preserve">, </w:t>
      </w:r>
      <w:r w:rsidRPr="002E0AE6" w:rsidR="002B2167">
        <w:rPr>
          <w:szCs w:val="22"/>
        </w:rPr>
        <w:t>through</w:t>
      </w:r>
      <w:r w:rsidRPr="002E0AE6" w:rsidR="004220A8">
        <w:rPr>
          <w:szCs w:val="22"/>
        </w:rPr>
        <w:t xml:space="preserve"> </w:t>
      </w:r>
      <w:r w:rsidRPr="002E0AE6" w:rsidR="00F43B12">
        <w:rPr>
          <w:szCs w:val="22"/>
        </w:rPr>
        <w:t>its operating subsidiaries</w:t>
      </w:r>
      <w:r w:rsidRPr="002E0AE6" w:rsidR="005200CE">
        <w:rPr>
          <w:szCs w:val="22"/>
        </w:rPr>
        <w:t xml:space="preserve"> provide</w:t>
      </w:r>
      <w:r w:rsidRPr="002E0AE6" w:rsidR="00E40B8D">
        <w:rPr>
          <w:szCs w:val="22"/>
        </w:rPr>
        <w:t>s</w:t>
      </w:r>
      <w:r w:rsidR="0069262A">
        <w:rPr>
          <w:szCs w:val="22"/>
        </w:rPr>
        <w:t xml:space="preserve"> telecommunications and</w:t>
      </w:r>
      <w:r w:rsidRPr="002E0AE6" w:rsidR="00F43B12">
        <w:rPr>
          <w:szCs w:val="22"/>
        </w:rPr>
        <w:t xml:space="preserve"> broadband services</w:t>
      </w:r>
      <w:r w:rsidR="00CF6AC5">
        <w:rPr>
          <w:szCs w:val="22"/>
        </w:rPr>
        <w:t>.</w:t>
      </w:r>
      <w:r>
        <w:rPr>
          <w:rStyle w:val="FootnoteReference"/>
          <w:szCs w:val="22"/>
        </w:rPr>
        <w:footnoteReference w:id="6"/>
      </w:r>
      <w:r w:rsidRPr="002E0AE6" w:rsidR="00FF0286">
        <w:rPr>
          <w:szCs w:val="22"/>
        </w:rPr>
        <w:t xml:space="preserve">  </w:t>
      </w:r>
      <w:r w:rsidR="00AF09F8">
        <w:rPr>
          <w:szCs w:val="22"/>
        </w:rPr>
        <w:t xml:space="preserve">Alaska Communications’ </w:t>
      </w:r>
      <w:r w:rsidR="00206B3C">
        <w:rPr>
          <w:szCs w:val="22"/>
        </w:rPr>
        <w:t xml:space="preserve">operating </w:t>
      </w:r>
      <w:r w:rsidR="00AF09F8">
        <w:rPr>
          <w:szCs w:val="22"/>
        </w:rPr>
        <w:t xml:space="preserve">subsidiaries </w:t>
      </w:r>
      <w:r w:rsidR="00CF6AC5">
        <w:rPr>
          <w:szCs w:val="22"/>
        </w:rPr>
        <w:t>are</w:t>
      </w:r>
      <w:r w:rsidR="00AF09F8">
        <w:rPr>
          <w:szCs w:val="22"/>
        </w:rPr>
        <w:t xml:space="preserve">:  </w:t>
      </w:r>
      <w:r w:rsidR="0019574C">
        <w:rPr>
          <w:szCs w:val="22"/>
        </w:rPr>
        <w:t>(1)</w:t>
      </w:r>
      <w:r w:rsidR="006162C5">
        <w:rPr>
          <w:szCs w:val="22"/>
        </w:rPr>
        <w:t xml:space="preserve"> </w:t>
      </w:r>
      <w:r w:rsidRPr="002E0AE6" w:rsidR="00F43B12">
        <w:rPr>
          <w:szCs w:val="22"/>
        </w:rPr>
        <w:t>ACS of A</w:t>
      </w:r>
      <w:r w:rsidRPr="002E0AE6" w:rsidR="00BC34FB">
        <w:rPr>
          <w:szCs w:val="22"/>
        </w:rPr>
        <w:t>laska, LLC</w:t>
      </w:r>
      <w:r w:rsidRPr="002E0AE6" w:rsidR="00654BEB">
        <w:rPr>
          <w:szCs w:val="22"/>
        </w:rPr>
        <w:t>, an incumbent local exchange carrier (LEC)</w:t>
      </w:r>
      <w:r w:rsidRPr="002E0AE6" w:rsidR="00BC34FB">
        <w:rPr>
          <w:szCs w:val="22"/>
        </w:rPr>
        <w:t xml:space="preserve"> serving two study areas that encompass (</w:t>
      </w:r>
      <w:r w:rsidR="0019574C">
        <w:rPr>
          <w:szCs w:val="22"/>
        </w:rPr>
        <w:t>a</w:t>
      </w:r>
      <w:r w:rsidRPr="002E0AE6" w:rsidR="00BC34FB">
        <w:rPr>
          <w:szCs w:val="22"/>
        </w:rPr>
        <w:t xml:space="preserve">) the City and Borough of Juneau (the Juneau study area) </w:t>
      </w:r>
      <w:r w:rsidRPr="002E0AE6" w:rsidR="00BC34FB">
        <w:rPr>
          <w:szCs w:val="22"/>
        </w:rPr>
        <w:t>and (</w:t>
      </w:r>
      <w:r w:rsidR="0019574C">
        <w:rPr>
          <w:szCs w:val="22"/>
        </w:rPr>
        <w:t>b</w:t>
      </w:r>
      <w:r w:rsidRPr="002E0AE6" w:rsidR="00BC34FB">
        <w:rPr>
          <w:szCs w:val="22"/>
        </w:rPr>
        <w:t>) Eielson Air Force Base and Fort Wainwright (the Greatland Study Area)</w:t>
      </w:r>
      <w:r w:rsidRPr="002E0AE6" w:rsidR="00E40B8D">
        <w:rPr>
          <w:szCs w:val="22"/>
        </w:rPr>
        <w:t>;</w:t>
      </w:r>
      <w:r w:rsidRPr="002E0AE6" w:rsidR="00A71A74">
        <w:rPr>
          <w:szCs w:val="22"/>
        </w:rPr>
        <w:t xml:space="preserve"> </w:t>
      </w:r>
      <w:r w:rsidR="0019574C">
        <w:rPr>
          <w:szCs w:val="22"/>
        </w:rPr>
        <w:t xml:space="preserve">(2) </w:t>
      </w:r>
      <w:r w:rsidRPr="002E0AE6" w:rsidR="00BC34FB">
        <w:rPr>
          <w:szCs w:val="22"/>
        </w:rPr>
        <w:t>ACS of Fairbanks, LLC, an incumbent LEC serv</w:t>
      </w:r>
      <w:r w:rsidR="00AE6E86">
        <w:rPr>
          <w:szCs w:val="22"/>
        </w:rPr>
        <w:t>ing</w:t>
      </w:r>
      <w:r w:rsidRPr="002E0AE6" w:rsidR="00BC34FB">
        <w:rPr>
          <w:szCs w:val="22"/>
        </w:rPr>
        <w:t xml:space="preserve"> the City of Fairbanks and certain nearby areas; </w:t>
      </w:r>
      <w:r w:rsidR="0019574C">
        <w:rPr>
          <w:szCs w:val="22"/>
        </w:rPr>
        <w:t>(3)</w:t>
      </w:r>
      <w:r w:rsidR="006162C5">
        <w:rPr>
          <w:szCs w:val="22"/>
        </w:rPr>
        <w:t xml:space="preserve"> </w:t>
      </w:r>
      <w:r w:rsidRPr="002E0AE6" w:rsidR="00BC34FB">
        <w:rPr>
          <w:szCs w:val="22"/>
        </w:rPr>
        <w:t>ACS of the Northland, LLC</w:t>
      </w:r>
      <w:r w:rsidRPr="002E0AE6" w:rsidR="00F5442F">
        <w:rPr>
          <w:szCs w:val="22"/>
        </w:rPr>
        <w:t>, an incumbent LEC serving two study areas:</w:t>
      </w:r>
      <w:r w:rsidR="00C52A1D">
        <w:rPr>
          <w:szCs w:val="22"/>
        </w:rPr>
        <w:t xml:space="preserve"> </w:t>
      </w:r>
      <w:r w:rsidRPr="002E0AE6" w:rsidR="00F5442F">
        <w:rPr>
          <w:szCs w:val="22"/>
        </w:rPr>
        <w:t xml:space="preserve"> (</w:t>
      </w:r>
      <w:r w:rsidR="0019574C">
        <w:rPr>
          <w:szCs w:val="22"/>
        </w:rPr>
        <w:t>a</w:t>
      </w:r>
      <w:r w:rsidRPr="002E0AE6" w:rsidR="00F5442F">
        <w:rPr>
          <w:szCs w:val="22"/>
        </w:rPr>
        <w:t>) Sitka Borough and certain non-contiguous Bush areas</w:t>
      </w:r>
      <w:r w:rsidRPr="002E0AE6" w:rsidR="0064131D">
        <w:rPr>
          <w:szCs w:val="22"/>
        </w:rPr>
        <w:t xml:space="preserve">, including part of Prince </w:t>
      </w:r>
      <w:r w:rsidRPr="002E0AE6" w:rsidR="003415A5">
        <w:rPr>
          <w:szCs w:val="22"/>
        </w:rPr>
        <w:t>of Wales Island, Yakutat, Northway, Border City, and parts of the Aleutian Island chain (the Sitka Bush Study Area) and (</w:t>
      </w:r>
      <w:r w:rsidR="0019574C">
        <w:rPr>
          <w:szCs w:val="22"/>
        </w:rPr>
        <w:t>b</w:t>
      </w:r>
      <w:r w:rsidRPr="002E0AE6" w:rsidR="003415A5">
        <w:rPr>
          <w:szCs w:val="22"/>
        </w:rPr>
        <w:t xml:space="preserve">) Kenai, Soldotna, Kodiak, and areas outside Fairbanks, including Delta Junction, Nenana, and North Pole (the Glacier State Study Area); </w:t>
      </w:r>
      <w:r w:rsidR="0019574C">
        <w:rPr>
          <w:szCs w:val="22"/>
        </w:rPr>
        <w:t xml:space="preserve">(4) </w:t>
      </w:r>
      <w:r w:rsidRPr="002E0AE6" w:rsidR="003415A5">
        <w:rPr>
          <w:szCs w:val="22"/>
        </w:rPr>
        <w:t>ACS of Anchorage, LLC</w:t>
      </w:r>
      <w:r w:rsidR="00CF6AC5">
        <w:rPr>
          <w:szCs w:val="22"/>
        </w:rPr>
        <w:t>,</w:t>
      </w:r>
      <w:r w:rsidRPr="002E0AE6" w:rsidR="003415A5">
        <w:rPr>
          <w:szCs w:val="22"/>
        </w:rPr>
        <w:t xml:space="preserve"> an incumbent LEC serving the Anchorage area, including Joint Base Elmendorf-Richardson, and certain small communities such as Girdwood and Hope</w:t>
      </w:r>
      <w:r w:rsidR="0055368C">
        <w:rPr>
          <w:szCs w:val="22"/>
        </w:rPr>
        <w:t>;</w:t>
      </w:r>
      <w:r>
        <w:rPr>
          <w:rStyle w:val="FootnoteReference"/>
          <w:szCs w:val="22"/>
        </w:rPr>
        <w:footnoteReference w:id="7"/>
      </w:r>
      <w:r w:rsidRPr="002E0AE6" w:rsidR="003415A5">
        <w:rPr>
          <w:szCs w:val="22"/>
        </w:rPr>
        <w:t xml:space="preserve"> </w:t>
      </w:r>
      <w:r w:rsidR="000E1406">
        <w:rPr>
          <w:szCs w:val="22"/>
        </w:rPr>
        <w:t xml:space="preserve">and </w:t>
      </w:r>
      <w:r w:rsidR="0019574C">
        <w:rPr>
          <w:szCs w:val="22"/>
        </w:rPr>
        <w:t xml:space="preserve">(5) </w:t>
      </w:r>
      <w:r w:rsidRPr="002E0AE6" w:rsidR="00404CBF">
        <w:rPr>
          <w:szCs w:val="22"/>
        </w:rPr>
        <w:t>ACS Long Distance, LLC</w:t>
      </w:r>
      <w:r w:rsidR="0055368C">
        <w:rPr>
          <w:szCs w:val="22"/>
        </w:rPr>
        <w:t>, a</w:t>
      </w:r>
      <w:r w:rsidRPr="002E0AE6" w:rsidR="00404CBF">
        <w:rPr>
          <w:szCs w:val="22"/>
        </w:rPr>
        <w:t xml:space="preserve"> long-distance </w:t>
      </w:r>
      <w:r w:rsidR="0055368C">
        <w:rPr>
          <w:szCs w:val="22"/>
        </w:rPr>
        <w:t>provider serving</w:t>
      </w:r>
      <w:r w:rsidRPr="002E0AE6" w:rsidR="00404CBF">
        <w:rPr>
          <w:szCs w:val="22"/>
        </w:rPr>
        <w:t xml:space="preserve"> within Alaska, and between Alaska and other states, using a combination of its own facilities and those of other facilities-based carriers.</w:t>
      </w:r>
      <w:r>
        <w:rPr>
          <w:rStyle w:val="FootnoteReference"/>
          <w:szCs w:val="22"/>
        </w:rPr>
        <w:footnoteReference w:id="8"/>
      </w:r>
      <w:r w:rsidRPr="002E0AE6" w:rsidR="00404CBF">
        <w:rPr>
          <w:szCs w:val="22"/>
        </w:rPr>
        <w:t xml:space="preserve">  </w:t>
      </w:r>
      <w:r w:rsidR="00C61DDE">
        <w:rPr>
          <w:szCs w:val="22"/>
        </w:rPr>
        <w:t xml:space="preserve">Through its subsidiaries, </w:t>
      </w:r>
      <w:r w:rsidRPr="002E0AE6" w:rsidR="00C13AEC">
        <w:rPr>
          <w:szCs w:val="22"/>
        </w:rPr>
        <w:t xml:space="preserve">Alaska Communications also provides broadband and business data services </w:t>
      </w:r>
      <w:r w:rsidR="002E0AE6">
        <w:rPr>
          <w:szCs w:val="22"/>
        </w:rPr>
        <w:t>to residential, enterprise, and wholesale customers in its incumbent LEC areas and in other locations in Alaska.</w:t>
      </w:r>
      <w:r>
        <w:rPr>
          <w:rStyle w:val="FootnoteReference"/>
          <w:szCs w:val="22"/>
        </w:rPr>
        <w:footnoteReference w:id="9"/>
      </w:r>
      <w:r w:rsidR="002E0AE6">
        <w:rPr>
          <w:szCs w:val="22"/>
        </w:rPr>
        <w:t xml:space="preserve"> </w:t>
      </w:r>
      <w:r w:rsidR="00C90741">
        <w:rPr>
          <w:szCs w:val="22"/>
        </w:rPr>
        <w:t xml:space="preserve"> ACS Internet offers limited wholesale services (such as terrestrial and undersea cable capacity) to carrier-customers in Oregon, on a private (non-common carrier) contractual basis</w:t>
      </w:r>
      <w:r w:rsidR="0055368C">
        <w:rPr>
          <w:szCs w:val="22"/>
        </w:rPr>
        <w:t xml:space="preserve"> and is a licensee of a transmit/receive earth station license</w:t>
      </w:r>
      <w:r w:rsidR="00806D64">
        <w:rPr>
          <w:szCs w:val="22"/>
        </w:rPr>
        <w:t>.</w:t>
      </w:r>
      <w:r>
        <w:rPr>
          <w:rStyle w:val="FootnoteReference"/>
          <w:szCs w:val="22"/>
        </w:rPr>
        <w:footnoteReference w:id="10"/>
      </w:r>
      <w:r w:rsidR="00482EFB">
        <w:rPr>
          <w:szCs w:val="22"/>
        </w:rPr>
        <w:t xml:space="preserve"> </w:t>
      </w:r>
      <w:r w:rsidR="007004CE">
        <w:rPr>
          <w:szCs w:val="22"/>
        </w:rPr>
        <w:t xml:space="preserve"> </w:t>
      </w:r>
      <w:r w:rsidR="00CF6AC5">
        <w:rPr>
          <w:szCs w:val="22"/>
        </w:rPr>
        <w:t>Through its two domestic undersea cable systems, the AKORN and NorthStar Cable Systems, Alaska Commu</w:t>
      </w:r>
      <w:r w:rsidR="005A472F">
        <w:rPr>
          <w:szCs w:val="22"/>
        </w:rPr>
        <w:t>ni</w:t>
      </w:r>
      <w:r w:rsidR="00CF6AC5">
        <w:rPr>
          <w:szCs w:val="22"/>
        </w:rPr>
        <w:t xml:space="preserve">cations offers wholesale fiber optic cable capacity between Alaska and </w:t>
      </w:r>
      <w:r w:rsidR="005A472F">
        <w:rPr>
          <w:szCs w:val="22"/>
        </w:rPr>
        <w:t>Oregon.</w:t>
      </w:r>
      <w:r>
        <w:rPr>
          <w:rStyle w:val="FootnoteReference"/>
          <w:szCs w:val="22"/>
        </w:rPr>
        <w:footnoteReference w:id="11"/>
      </w:r>
      <w:r w:rsidR="007004CE">
        <w:rPr>
          <w:szCs w:val="22"/>
        </w:rPr>
        <w:t xml:space="preserve"> </w:t>
      </w:r>
    </w:p>
    <w:p w:rsidR="00111189" w:rsidP="00111189">
      <w:pPr>
        <w:autoSpaceDE w:val="0"/>
        <w:autoSpaceDN w:val="0"/>
        <w:adjustRightInd w:val="0"/>
        <w:rPr>
          <w:szCs w:val="22"/>
        </w:rPr>
      </w:pPr>
    </w:p>
    <w:p w:rsidR="003C6D63" w:rsidP="00F274F3">
      <w:pPr>
        <w:autoSpaceDE w:val="0"/>
        <w:autoSpaceDN w:val="0"/>
        <w:adjustRightInd w:val="0"/>
        <w:rPr>
          <w:szCs w:val="22"/>
        </w:rPr>
      </w:pPr>
      <w:r>
        <w:rPr>
          <w:szCs w:val="22"/>
        </w:rPr>
        <w:tab/>
        <w:t xml:space="preserve">Project 8, a Delaware limited liability company, is a </w:t>
      </w:r>
      <w:r w:rsidR="005A472F">
        <w:rPr>
          <w:szCs w:val="22"/>
        </w:rPr>
        <w:t xml:space="preserve">newly formed </w:t>
      </w:r>
      <w:r>
        <w:rPr>
          <w:szCs w:val="22"/>
        </w:rPr>
        <w:t xml:space="preserve">holding company </w:t>
      </w:r>
      <w:r w:rsidR="006F768C">
        <w:rPr>
          <w:szCs w:val="22"/>
        </w:rPr>
        <w:t>held by</w:t>
      </w:r>
      <w:r>
        <w:rPr>
          <w:szCs w:val="22"/>
        </w:rPr>
        <w:t xml:space="preserve"> </w:t>
      </w:r>
      <w:r w:rsidR="006F768C">
        <w:rPr>
          <w:szCs w:val="22"/>
        </w:rPr>
        <w:t>ATN International, Inc. (ATN) and Freedom 3 Investments IV, LP (Freedom)</w:t>
      </w:r>
      <w:r w:rsidR="00C52A1D">
        <w:rPr>
          <w:szCs w:val="22"/>
        </w:rPr>
        <w:t>,</w:t>
      </w:r>
      <w:r w:rsidR="006F768C">
        <w:rPr>
          <w:szCs w:val="22"/>
        </w:rPr>
        <w:t xml:space="preserve"> </w:t>
      </w:r>
      <w:r>
        <w:rPr>
          <w:szCs w:val="22"/>
        </w:rPr>
        <w:t>for the purposes of acquiring Alaska Communications.</w:t>
      </w:r>
      <w:r>
        <w:rPr>
          <w:rStyle w:val="FootnoteReference"/>
          <w:szCs w:val="22"/>
        </w:rPr>
        <w:footnoteReference w:id="12"/>
      </w:r>
      <w:r>
        <w:rPr>
          <w:szCs w:val="22"/>
        </w:rPr>
        <w:t xml:space="preserve">  Project 8 is a wholly owned subsidiary of ALSK Holdings, LLC</w:t>
      </w:r>
      <w:r w:rsidR="00E90AA2">
        <w:rPr>
          <w:szCs w:val="22"/>
        </w:rPr>
        <w:t xml:space="preserve"> (ALSK Holdings)</w:t>
      </w:r>
      <w:r>
        <w:rPr>
          <w:szCs w:val="22"/>
        </w:rPr>
        <w:t>, a Delaware limited liability company.</w:t>
      </w:r>
      <w:r>
        <w:rPr>
          <w:rStyle w:val="FootnoteReference"/>
          <w:szCs w:val="22"/>
        </w:rPr>
        <w:footnoteReference w:id="13"/>
      </w:r>
      <w:r>
        <w:rPr>
          <w:szCs w:val="22"/>
        </w:rPr>
        <w:t xml:space="preserve">  </w:t>
      </w:r>
      <w:r w:rsidR="0065645C">
        <w:rPr>
          <w:szCs w:val="22"/>
        </w:rPr>
        <w:t xml:space="preserve">ATN, a publicly traded Delaware corporation, </w:t>
      </w:r>
      <w:r>
        <w:rPr>
          <w:szCs w:val="22"/>
        </w:rPr>
        <w:t>will control Project 8 through ALSK Holdings (52% voting interest</w:t>
      </w:r>
      <w:r w:rsidR="000C6CB2">
        <w:rPr>
          <w:szCs w:val="22"/>
        </w:rPr>
        <w:t xml:space="preserve"> and</w:t>
      </w:r>
      <w:r>
        <w:rPr>
          <w:szCs w:val="22"/>
        </w:rPr>
        <w:t xml:space="preserve"> 50.67% equity interest</w:t>
      </w:r>
      <w:r w:rsidR="000C6CB2">
        <w:rPr>
          <w:szCs w:val="22"/>
        </w:rPr>
        <w:t xml:space="preserve"> in ALSK Holdings</w:t>
      </w:r>
      <w:r>
        <w:rPr>
          <w:szCs w:val="22"/>
        </w:rPr>
        <w:t>)</w:t>
      </w:r>
      <w:r w:rsidR="000C6CB2">
        <w:rPr>
          <w:szCs w:val="22"/>
        </w:rPr>
        <w:t>.</w:t>
      </w:r>
      <w:r>
        <w:rPr>
          <w:rStyle w:val="FootnoteReference"/>
          <w:szCs w:val="22"/>
        </w:rPr>
        <w:footnoteReference w:id="14"/>
      </w:r>
      <w:r w:rsidR="000C6CB2">
        <w:rPr>
          <w:szCs w:val="22"/>
        </w:rPr>
        <w:t xml:space="preserve">  </w:t>
      </w:r>
      <w:r w:rsidR="006F772E">
        <w:rPr>
          <w:szCs w:val="22"/>
        </w:rPr>
        <w:t xml:space="preserve">One individual and one entity hold an interest in ATN of </w:t>
      </w:r>
      <w:r w:rsidR="005A472F">
        <w:rPr>
          <w:szCs w:val="22"/>
        </w:rPr>
        <w:t>10%</w:t>
      </w:r>
      <w:r w:rsidR="006F772E">
        <w:rPr>
          <w:szCs w:val="22"/>
        </w:rPr>
        <w:t xml:space="preserve"> or more: </w:t>
      </w:r>
      <w:r w:rsidR="00C52A1D">
        <w:rPr>
          <w:szCs w:val="22"/>
        </w:rPr>
        <w:t xml:space="preserve"> </w:t>
      </w:r>
      <w:r w:rsidR="006F772E">
        <w:rPr>
          <w:szCs w:val="22"/>
        </w:rPr>
        <w:t>Cornelius B. Prior, Jr., a U.S. citizen (26.4% of ATN’s stock) and Black</w:t>
      </w:r>
      <w:r w:rsidR="00B549E9">
        <w:rPr>
          <w:szCs w:val="22"/>
        </w:rPr>
        <w:t>R</w:t>
      </w:r>
      <w:r w:rsidR="006F772E">
        <w:rPr>
          <w:szCs w:val="22"/>
        </w:rPr>
        <w:t>ock Fund Advisors, a U.S. entity (10.1% of ATN’s stock).</w:t>
      </w:r>
      <w:r>
        <w:rPr>
          <w:rStyle w:val="FootnoteReference"/>
          <w:szCs w:val="22"/>
        </w:rPr>
        <w:footnoteReference w:id="15"/>
      </w:r>
      <w:r w:rsidR="006F772E">
        <w:rPr>
          <w:szCs w:val="22"/>
        </w:rPr>
        <w:t xml:space="preserve"> </w:t>
      </w:r>
      <w:r w:rsidR="002D64AB">
        <w:rPr>
          <w:szCs w:val="22"/>
        </w:rPr>
        <w:t xml:space="preserve"> </w:t>
      </w:r>
      <w:r w:rsidR="000C6CB2">
        <w:rPr>
          <w:szCs w:val="22"/>
        </w:rPr>
        <w:t xml:space="preserve">Freedom, </w:t>
      </w:r>
      <w:r w:rsidR="00543C7E">
        <w:rPr>
          <w:szCs w:val="22"/>
        </w:rPr>
        <w:t>a Delaware</w:t>
      </w:r>
      <w:r w:rsidR="006F772E">
        <w:rPr>
          <w:szCs w:val="22"/>
        </w:rPr>
        <w:t xml:space="preserve"> limited partnership, holds, </w:t>
      </w:r>
      <w:r w:rsidR="000C6CB2">
        <w:rPr>
          <w:szCs w:val="22"/>
        </w:rPr>
        <w:t xml:space="preserve">directly </w:t>
      </w:r>
      <w:r w:rsidR="000C6CB2">
        <w:rPr>
          <w:szCs w:val="22"/>
        </w:rPr>
        <w:t>and indirectly through its wholly owned subsidiary</w:t>
      </w:r>
      <w:r w:rsidR="005A472F">
        <w:rPr>
          <w:szCs w:val="22"/>
        </w:rPr>
        <w:t>,</w:t>
      </w:r>
      <w:r w:rsidR="000C6CB2">
        <w:rPr>
          <w:szCs w:val="22"/>
        </w:rPr>
        <w:t xml:space="preserve"> F3C AK, LLC (F3C AK)</w:t>
      </w:r>
      <w:r w:rsidR="005A472F">
        <w:rPr>
          <w:szCs w:val="22"/>
        </w:rPr>
        <w:t>,</w:t>
      </w:r>
      <w:r w:rsidR="000C6CB2">
        <w:rPr>
          <w:szCs w:val="22"/>
        </w:rPr>
        <w:t xml:space="preserve"> </w:t>
      </w:r>
      <w:r w:rsidR="006F772E">
        <w:rPr>
          <w:szCs w:val="22"/>
        </w:rPr>
        <w:t xml:space="preserve">a </w:t>
      </w:r>
      <w:r w:rsidR="000C6CB2">
        <w:rPr>
          <w:szCs w:val="22"/>
        </w:rPr>
        <w:t>48% voting interest and 49.43% equity interest in ALSK Holdings.</w:t>
      </w:r>
      <w:r>
        <w:rPr>
          <w:rStyle w:val="FootnoteReference"/>
          <w:szCs w:val="22"/>
        </w:rPr>
        <w:footnoteReference w:id="16"/>
      </w:r>
      <w:r w:rsidR="0065645C">
        <w:rPr>
          <w:szCs w:val="22"/>
        </w:rPr>
        <w:t xml:space="preserve">  </w:t>
      </w:r>
      <w:r w:rsidR="00272914">
        <w:rPr>
          <w:szCs w:val="22"/>
        </w:rPr>
        <w:t xml:space="preserve">Through a series of intermediate </w:t>
      </w:r>
      <w:r w:rsidR="006F768C">
        <w:rPr>
          <w:szCs w:val="22"/>
        </w:rPr>
        <w:t xml:space="preserve">U.S. </w:t>
      </w:r>
      <w:r w:rsidR="00272914">
        <w:rPr>
          <w:szCs w:val="22"/>
        </w:rPr>
        <w:t xml:space="preserve">entities, Freedom </w:t>
      </w:r>
      <w:r w:rsidR="00FF66F1">
        <w:rPr>
          <w:szCs w:val="22"/>
        </w:rPr>
        <w:t xml:space="preserve">is ultimately controlled by </w:t>
      </w:r>
      <w:r w:rsidR="00C52A1D">
        <w:rPr>
          <w:szCs w:val="22"/>
        </w:rPr>
        <w:t xml:space="preserve">the </w:t>
      </w:r>
      <w:r w:rsidR="00311D03">
        <w:rPr>
          <w:szCs w:val="22"/>
        </w:rPr>
        <w:t xml:space="preserve">following U.S. </w:t>
      </w:r>
      <w:r w:rsidR="00F943DF">
        <w:rPr>
          <w:szCs w:val="22"/>
        </w:rPr>
        <w:t xml:space="preserve">citizens: </w:t>
      </w:r>
      <w:bookmarkStart w:id="9" w:name="_Hlk63156493"/>
      <w:r w:rsidR="005A472F">
        <w:rPr>
          <w:szCs w:val="22"/>
        </w:rPr>
        <w:t xml:space="preserve"> </w:t>
      </w:r>
      <w:r w:rsidR="00F943DF">
        <w:rPr>
          <w:szCs w:val="22"/>
        </w:rPr>
        <w:t>Jason Block, Erik Glover, and Daniel</w:t>
      </w:r>
      <w:r w:rsidR="00704B72">
        <w:rPr>
          <w:szCs w:val="22"/>
        </w:rPr>
        <w:t xml:space="preserve"> </w:t>
      </w:r>
      <w:r w:rsidR="00F943DF">
        <w:rPr>
          <w:szCs w:val="22"/>
        </w:rPr>
        <w:t>Ta</w:t>
      </w:r>
      <w:r w:rsidR="00704B72">
        <w:rPr>
          <w:szCs w:val="22"/>
        </w:rPr>
        <w:t>m</w:t>
      </w:r>
      <w:r w:rsidR="00F943DF">
        <w:rPr>
          <w:szCs w:val="22"/>
        </w:rPr>
        <w:t>kin</w:t>
      </w:r>
      <w:bookmarkEnd w:id="9"/>
      <w:r w:rsidR="00DE77F4">
        <w:rPr>
          <w:szCs w:val="22"/>
        </w:rPr>
        <w:t>.</w:t>
      </w:r>
      <w:r>
        <w:rPr>
          <w:rStyle w:val="FootnoteReference"/>
          <w:szCs w:val="22"/>
        </w:rPr>
        <w:footnoteReference w:id="17"/>
      </w:r>
      <w:r w:rsidR="00DE77F4">
        <w:rPr>
          <w:szCs w:val="22"/>
        </w:rPr>
        <w:t xml:space="preserve">  </w:t>
      </w:r>
      <w:r w:rsidR="00F943DF">
        <w:rPr>
          <w:szCs w:val="22"/>
        </w:rPr>
        <w:t xml:space="preserve"> </w:t>
      </w:r>
    </w:p>
    <w:p w:rsidR="00C92CA8" w:rsidP="00CD1B34">
      <w:pPr>
        <w:autoSpaceDE w:val="0"/>
        <w:autoSpaceDN w:val="0"/>
        <w:adjustRightInd w:val="0"/>
        <w:ind w:firstLine="720"/>
        <w:rPr>
          <w:szCs w:val="22"/>
        </w:rPr>
      </w:pPr>
    </w:p>
    <w:p w:rsidR="00D74D23" w:rsidP="00C244AC">
      <w:pPr>
        <w:autoSpaceDE w:val="0"/>
        <w:autoSpaceDN w:val="0"/>
        <w:adjustRightInd w:val="0"/>
        <w:ind w:firstLine="720"/>
        <w:rPr>
          <w:szCs w:val="22"/>
        </w:rPr>
      </w:pPr>
      <w:r w:rsidRPr="00DE3D45">
        <w:rPr>
          <w:szCs w:val="22"/>
        </w:rPr>
        <w:t xml:space="preserve">Pursuant to </w:t>
      </w:r>
      <w:r w:rsidR="0015480D">
        <w:rPr>
          <w:szCs w:val="22"/>
        </w:rPr>
        <w:t xml:space="preserve">an </w:t>
      </w:r>
      <w:r w:rsidRPr="00DE3D45">
        <w:rPr>
          <w:szCs w:val="22"/>
        </w:rPr>
        <w:t>Agreement and Plan of Merger</w:t>
      </w:r>
      <w:r w:rsidR="007B4A37">
        <w:rPr>
          <w:szCs w:val="22"/>
        </w:rPr>
        <w:t xml:space="preserve"> (Merger Agreement)</w:t>
      </w:r>
      <w:r w:rsidRPr="00DE3D45">
        <w:rPr>
          <w:szCs w:val="22"/>
        </w:rPr>
        <w:t xml:space="preserve">, dated </w:t>
      </w:r>
      <w:r w:rsidR="00B20FAD">
        <w:rPr>
          <w:szCs w:val="22"/>
        </w:rPr>
        <w:t>December</w:t>
      </w:r>
      <w:r w:rsidRPr="00DE3D45">
        <w:rPr>
          <w:szCs w:val="22"/>
        </w:rPr>
        <w:t xml:space="preserve"> 3</w:t>
      </w:r>
      <w:r w:rsidR="00B20FAD">
        <w:rPr>
          <w:szCs w:val="22"/>
        </w:rPr>
        <w:t>1</w:t>
      </w:r>
      <w:r w:rsidRPr="00DE3D45">
        <w:rPr>
          <w:szCs w:val="22"/>
        </w:rPr>
        <w:t>, 2020,</w:t>
      </w:r>
      <w:r w:rsidRPr="00DE3D45" w:rsidR="00DE3D45">
        <w:rPr>
          <w:szCs w:val="22"/>
        </w:rPr>
        <w:t xml:space="preserve"> </w:t>
      </w:r>
      <w:r w:rsidRPr="00DE3D45">
        <w:rPr>
          <w:szCs w:val="22"/>
        </w:rPr>
        <w:t xml:space="preserve">by and among </w:t>
      </w:r>
      <w:r w:rsidR="007A53C8">
        <w:rPr>
          <w:szCs w:val="22"/>
        </w:rPr>
        <w:t>Project 8</w:t>
      </w:r>
      <w:r w:rsidR="00DE3CDD">
        <w:rPr>
          <w:szCs w:val="22"/>
        </w:rPr>
        <w:t>,</w:t>
      </w:r>
      <w:r w:rsidR="003C6B09">
        <w:rPr>
          <w:szCs w:val="22"/>
        </w:rPr>
        <w:t xml:space="preserve"> its wholly owned subsidiary, Project 8</w:t>
      </w:r>
      <w:r w:rsidR="00203ED1">
        <w:rPr>
          <w:szCs w:val="22"/>
        </w:rPr>
        <w:t xml:space="preserve"> MergerSub, Inc. (Merger Sub), a Delaware corporation,</w:t>
      </w:r>
      <w:r w:rsidR="007A53C8">
        <w:rPr>
          <w:szCs w:val="22"/>
        </w:rPr>
        <w:t xml:space="preserve"> and Alaska Communications</w:t>
      </w:r>
      <w:r w:rsidR="004330F2">
        <w:rPr>
          <w:szCs w:val="22"/>
        </w:rPr>
        <w:t>,</w:t>
      </w:r>
      <w:r w:rsidR="006F47F0">
        <w:rPr>
          <w:szCs w:val="22"/>
        </w:rPr>
        <w:t xml:space="preserve"> </w:t>
      </w:r>
      <w:r w:rsidR="00B8763F">
        <w:rPr>
          <w:szCs w:val="22"/>
        </w:rPr>
        <w:t xml:space="preserve">Merger Sub </w:t>
      </w:r>
      <w:r w:rsidRPr="00DE3D45">
        <w:rPr>
          <w:szCs w:val="22"/>
        </w:rPr>
        <w:t xml:space="preserve">will merge with and into </w:t>
      </w:r>
      <w:r w:rsidR="00207A54">
        <w:rPr>
          <w:szCs w:val="22"/>
        </w:rPr>
        <w:t>Alaska Communications</w:t>
      </w:r>
      <w:r w:rsidR="00EA1B7E">
        <w:rPr>
          <w:szCs w:val="22"/>
        </w:rPr>
        <w:t>.</w:t>
      </w:r>
      <w:r>
        <w:rPr>
          <w:rStyle w:val="FootnoteReference"/>
          <w:szCs w:val="22"/>
        </w:rPr>
        <w:footnoteReference w:id="18"/>
      </w:r>
      <w:r w:rsidR="00EA1B7E">
        <w:rPr>
          <w:szCs w:val="22"/>
        </w:rPr>
        <w:t xml:space="preserve">  As a result of the transaction,</w:t>
      </w:r>
      <w:r w:rsidR="00207A54">
        <w:rPr>
          <w:szCs w:val="22"/>
        </w:rPr>
        <w:t xml:space="preserve"> Alaska Communications </w:t>
      </w:r>
      <w:r w:rsidR="00EA1B7E">
        <w:rPr>
          <w:szCs w:val="22"/>
        </w:rPr>
        <w:t xml:space="preserve">will </w:t>
      </w:r>
      <w:r w:rsidR="003A353D">
        <w:rPr>
          <w:szCs w:val="22"/>
        </w:rPr>
        <w:t>continu</w:t>
      </w:r>
      <w:r w:rsidR="00EA1B7E">
        <w:rPr>
          <w:szCs w:val="22"/>
        </w:rPr>
        <w:t>e</w:t>
      </w:r>
      <w:r w:rsidR="003A353D">
        <w:rPr>
          <w:szCs w:val="22"/>
        </w:rPr>
        <w:t xml:space="preserve"> as the surviving corporate entity</w:t>
      </w:r>
      <w:r w:rsidR="00D13053">
        <w:rPr>
          <w:szCs w:val="22"/>
        </w:rPr>
        <w:t xml:space="preserve"> and </w:t>
      </w:r>
      <w:r w:rsidR="00B05D82">
        <w:rPr>
          <w:szCs w:val="22"/>
        </w:rPr>
        <w:t>will be</w:t>
      </w:r>
      <w:r w:rsidR="002912F8">
        <w:rPr>
          <w:szCs w:val="22"/>
        </w:rPr>
        <w:t>come a</w:t>
      </w:r>
      <w:r w:rsidR="00B05D82">
        <w:rPr>
          <w:szCs w:val="22"/>
        </w:rPr>
        <w:t xml:space="preserve"> </w:t>
      </w:r>
      <w:r w:rsidR="00D13053">
        <w:rPr>
          <w:szCs w:val="22"/>
        </w:rPr>
        <w:t>wholly owned subsidiary of Project 8.</w:t>
      </w:r>
      <w:r>
        <w:rPr>
          <w:rStyle w:val="FootnoteReference"/>
          <w:szCs w:val="22"/>
        </w:rPr>
        <w:footnoteReference w:id="19"/>
      </w:r>
      <w:r w:rsidR="00D13053">
        <w:rPr>
          <w:szCs w:val="22"/>
        </w:rPr>
        <w:t xml:space="preserve">  </w:t>
      </w:r>
    </w:p>
    <w:p w:rsidR="00D30E1D" w:rsidP="00C244AC">
      <w:pPr>
        <w:autoSpaceDE w:val="0"/>
        <w:autoSpaceDN w:val="0"/>
        <w:adjustRightInd w:val="0"/>
        <w:ind w:firstLine="720"/>
      </w:pPr>
    </w:p>
    <w:p w:rsidR="00D30E1D" w:rsidP="00C244AC">
      <w:pPr>
        <w:autoSpaceDE w:val="0"/>
        <w:autoSpaceDN w:val="0"/>
        <w:adjustRightInd w:val="0"/>
        <w:ind w:firstLine="720"/>
        <w:rPr>
          <w:szCs w:val="22"/>
        </w:rPr>
      </w:pPr>
      <w:r>
        <w:t>The Applicants specifically note that in Auction 105, Alaska Communications</w:t>
      </w:r>
      <w:r w:rsidR="009D4187">
        <w:t>’</w:t>
      </w:r>
      <w:r>
        <w:t xml:space="preserve"> affiliate ACS Internet won </w:t>
      </w:r>
      <w:r w:rsidR="000E1406">
        <w:t xml:space="preserve">and applied for </w:t>
      </w:r>
      <w:r>
        <w:t xml:space="preserve">four 10 megahertz </w:t>
      </w:r>
      <w:r w:rsidR="000E1406">
        <w:t>Priority Access Licensees</w:t>
      </w:r>
      <w:r>
        <w:t xml:space="preserve"> </w:t>
      </w:r>
      <w:r w:rsidR="000E1406">
        <w:t>(</w:t>
      </w:r>
      <w:r>
        <w:t>PALs</w:t>
      </w:r>
      <w:r w:rsidR="000E1406">
        <w:t>)</w:t>
      </w:r>
      <w:r>
        <w:t xml:space="preserve"> in Kenai Peninsula Borough, Alaska, and ATN affiliate SAL Spectrum, LLC (SAL) won </w:t>
      </w:r>
      <w:r w:rsidR="00A965AE">
        <w:t xml:space="preserve">and applied for </w:t>
      </w:r>
      <w:r>
        <w:t>one PAL in that license area.</w:t>
      </w:r>
      <w:r>
        <w:rPr>
          <w:rStyle w:val="FootnoteReference"/>
        </w:rPr>
        <w:footnoteReference w:id="20"/>
      </w:r>
      <w:r>
        <w:t xml:space="preserve">  Assuming that the Commission grants these Auction 105 </w:t>
      </w:r>
      <w:r w:rsidR="00A965AE">
        <w:t xml:space="preserve">long-form </w:t>
      </w:r>
      <w:r>
        <w:t>applications prior to acting on the transaction applications, consummation of the proposed transaction would result in ATN ultimately controlling 50 megahertz of PALs in Kenai Peninsula Borough.</w:t>
      </w:r>
      <w:r>
        <w:rPr>
          <w:rStyle w:val="FootnoteReference"/>
        </w:rPr>
        <w:footnoteReference w:id="21"/>
      </w:r>
      <w:r>
        <w:t xml:space="preserve">  The Applicants request a temporary waiver of section 96.31 of the Commission’s rules</w:t>
      </w:r>
      <w:r>
        <w:rPr>
          <w:rStyle w:val="FootnoteReference"/>
        </w:rPr>
        <w:footnoteReference w:id="22"/>
      </w:r>
      <w:r>
        <w:t xml:space="preserve"> to allow ATN to control 50 </w:t>
      </w:r>
      <w:r w:rsidR="00A965AE">
        <w:t>megahertz</w:t>
      </w:r>
      <w:r>
        <w:t xml:space="preserve"> of PALs for a temporary period to provide ATN with an opportunity to sell a 10 </w:t>
      </w:r>
      <w:r w:rsidR="00A965AE">
        <w:t>megahertz</w:t>
      </w:r>
      <w:r>
        <w:t xml:space="preserve"> PAL in Kenai Peninsula Borough to bring it into compliance with the Commission’s rules.</w:t>
      </w:r>
      <w:r>
        <w:rPr>
          <w:rStyle w:val="FootnoteReference"/>
        </w:rPr>
        <w:footnoteReference w:id="23"/>
      </w:r>
      <w:r>
        <w:t xml:space="preserve">  ATN commits to filing an application (or applications) with the Commission to assign or transfer control of at least one of the ACS Internet or SAL PALs in Kenai Peninsula Borough (the Divestiture Assets).</w:t>
      </w:r>
      <w:r>
        <w:rPr>
          <w:rStyle w:val="FootnoteReference"/>
        </w:rPr>
        <w:footnoteReference w:id="24"/>
      </w:r>
      <w:r>
        <w:t xml:space="preserve">  The Applicants assert that the FCC did not adopt a rule specifying the appropriate time period for such a divestiture of a PAL.</w:t>
      </w:r>
      <w:r>
        <w:rPr>
          <w:rStyle w:val="FootnoteReference"/>
        </w:rPr>
        <w:footnoteReference w:id="25"/>
      </w:r>
      <w:r>
        <w:t xml:space="preserve">  Due to the potential challenge of divesting a single 10 megahertz PAL in a single borough in Alaska, ATN requests that </w:t>
      </w:r>
      <w:r>
        <w:t>the divestiture period (Divestiture Period) be 12 months from the later of (1) the release date of the Commission’s order granting the proposed Transaction, and (2) the last date on which the Commission grants to SAL or ACS Internet a PAL for Kenai Peninsula Borough.</w:t>
      </w:r>
      <w:r>
        <w:rPr>
          <w:rStyle w:val="FootnoteReference"/>
        </w:rPr>
        <w:footnoteReference w:id="26"/>
      </w:r>
      <w:r>
        <w:t xml:space="preserve"> </w:t>
      </w:r>
      <w:r w:rsidR="009D4187">
        <w:t xml:space="preserve"> </w:t>
      </w:r>
      <w:r>
        <w:t>In addition, ATN requests that any Commission order approving the Transaction explicitly provide that the Bureau may grant one or more extensions of the Divestiture Period, not to exceed 120 days in the aggregate, to allow the Applicants further time to dispose of the Divestiture Assets.</w:t>
      </w:r>
      <w:r>
        <w:rPr>
          <w:rStyle w:val="FootnoteReference"/>
        </w:rPr>
        <w:footnoteReference w:id="27"/>
      </w:r>
      <w:r>
        <w:t xml:space="preserve"> </w:t>
      </w:r>
      <w:r w:rsidR="009D4187">
        <w:t xml:space="preserve"> </w:t>
      </w:r>
      <w:r>
        <w:t xml:space="preserve">The Applicants </w:t>
      </w:r>
      <w:r w:rsidR="009D4187">
        <w:t>assert</w:t>
      </w:r>
      <w:r>
        <w:t xml:space="preserve"> that the requested Divestiture Period is reasonable in these circumstances.</w:t>
      </w:r>
      <w:r>
        <w:rPr>
          <w:rStyle w:val="FootnoteReference"/>
        </w:rPr>
        <w:footnoteReference w:id="28"/>
      </w:r>
    </w:p>
    <w:p w:rsidR="00F352D6" w:rsidP="00C244AC">
      <w:pPr>
        <w:autoSpaceDE w:val="0"/>
        <w:autoSpaceDN w:val="0"/>
        <w:adjustRightInd w:val="0"/>
        <w:ind w:firstLine="720"/>
        <w:rPr>
          <w:szCs w:val="22"/>
        </w:rPr>
      </w:pPr>
      <w:r>
        <w:rPr>
          <w:szCs w:val="22"/>
        </w:rPr>
        <w:t xml:space="preserve"> </w:t>
      </w:r>
    </w:p>
    <w:p w:rsidR="002710BB" w:rsidP="00BF123E">
      <w:pPr>
        <w:autoSpaceDE w:val="0"/>
        <w:autoSpaceDN w:val="0"/>
        <w:adjustRightInd w:val="0"/>
        <w:ind w:firstLine="720"/>
        <w:rPr>
          <w:szCs w:val="22"/>
        </w:rPr>
      </w:pPr>
      <w:r w:rsidRPr="00F55292">
        <w:rPr>
          <w:szCs w:val="22"/>
        </w:rPr>
        <w:t xml:space="preserve">Applicants assert </w:t>
      </w:r>
      <w:r>
        <w:rPr>
          <w:szCs w:val="22"/>
        </w:rPr>
        <w:t>that a grant of the application</w:t>
      </w:r>
      <w:r w:rsidR="00F4126D">
        <w:rPr>
          <w:szCs w:val="22"/>
        </w:rPr>
        <w:t>s</w:t>
      </w:r>
      <w:r w:rsidRPr="00F55292">
        <w:rPr>
          <w:szCs w:val="22"/>
        </w:rPr>
        <w:t xml:space="preserve"> will serve the public interest, convenience, and necessity.</w:t>
      </w:r>
      <w:r>
        <w:rPr>
          <w:rStyle w:val="FootnoteReference"/>
          <w:szCs w:val="22"/>
        </w:rPr>
        <w:footnoteReference w:id="29"/>
      </w:r>
      <w:r w:rsidRPr="00F55292">
        <w:rPr>
          <w:szCs w:val="22"/>
        </w:rPr>
        <w:t xml:space="preserve"> </w:t>
      </w:r>
      <w:r w:rsidR="00BF1FF9">
        <w:rPr>
          <w:szCs w:val="22"/>
        </w:rPr>
        <w:t xml:space="preserve"> </w:t>
      </w:r>
      <w:r w:rsidR="00DA7CB7">
        <w:rPr>
          <w:szCs w:val="22"/>
        </w:rPr>
        <w:t>They</w:t>
      </w:r>
      <w:r w:rsidR="00497B29">
        <w:rPr>
          <w:szCs w:val="22"/>
        </w:rPr>
        <w:t xml:space="preserve"> </w:t>
      </w:r>
      <w:r w:rsidR="009A524C">
        <w:rPr>
          <w:szCs w:val="22"/>
        </w:rPr>
        <w:t xml:space="preserve">maintain </w:t>
      </w:r>
      <w:r w:rsidR="00B90846">
        <w:rPr>
          <w:szCs w:val="22"/>
        </w:rPr>
        <w:t xml:space="preserve">that </w:t>
      </w:r>
      <w:r w:rsidR="005D30C1">
        <w:rPr>
          <w:szCs w:val="22"/>
        </w:rPr>
        <w:t xml:space="preserve">ATN </w:t>
      </w:r>
      <w:r w:rsidR="00676538">
        <w:rPr>
          <w:szCs w:val="22"/>
        </w:rPr>
        <w:t xml:space="preserve">is “uniquely qualified” to control Alaska Communications because it </w:t>
      </w:r>
      <w:r w:rsidR="005D30C1">
        <w:rPr>
          <w:szCs w:val="22"/>
        </w:rPr>
        <w:t xml:space="preserve">has </w:t>
      </w:r>
      <w:r w:rsidR="00676538">
        <w:rPr>
          <w:szCs w:val="22"/>
        </w:rPr>
        <w:t>“</w:t>
      </w:r>
      <w:r w:rsidR="006162C5">
        <w:rPr>
          <w:szCs w:val="22"/>
        </w:rPr>
        <w:t>[S]</w:t>
      </w:r>
      <w:r w:rsidR="005D30C1">
        <w:rPr>
          <w:szCs w:val="22"/>
        </w:rPr>
        <w:t xml:space="preserve">ignificant expertise deploying, upgrading, maintaining, and </w:t>
      </w:r>
      <w:r w:rsidR="000D5DA8">
        <w:rPr>
          <w:szCs w:val="22"/>
        </w:rPr>
        <w:t xml:space="preserve">operating communications networks and service businesses in rural, tribal, island-based, and other insular and </w:t>
      </w:r>
      <w:r w:rsidR="00577930">
        <w:rPr>
          <w:szCs w:val="22"/>
        </w:rPr>
        <w:t>u</w:t>
      </w:r>
      <w:r w:rsidR="000D5DA8">
        <w:rPr>
          <w:szCs w:val="22"/>
        </w:rPr>
        <w:t>nderserved markets in the United State</w:t>
      </w:r>
      <w:r w:rsidR="004330F2">
        <w:rPr>
          <w:szCs w:val="22"/>
        </w:rPr>
        <w:t>s</w:t>
      </w:r>
      <w:r w:rsidR="000D5DA8">
        <w:rPr>
          <w:szCs w:val="22"/>
        </w:rPr>
        <w:t xml:space="preserve">, the </w:t>
      </w:r>
      <w:r w:rsidR="00577930">
        <w:rPr>
          <w:szCs w:val="22"/>
        </w:rPr>
        <w:t>Caribbean region, South America, and Bermuda.”</w:t>
      </w:r>
      <w:r>
        <w:rPr>
          <w:rStyle w:val="FootnoteReference"/>
          <w:szCs w:val="22"/>
        </w:rPr>
        <w:footnoteReference w:id="30"/>
      </w:r>
      <w:r w:rsidR="00577930">
        <w:rPr>
          <w:szCs w:val="22"/>
        </w:rPr>
        <w:t xml:space="preserve">  </w:t>
      </w:r>
      <w:r w:rsidR="0098725D">
        <w:rPr>
          <w:szCs w:val="22"/>
        </w:rPr>
        <w:t>Furt</w:t>
      </w:r>
      <w:r w:rsidR="001E014C">
        <w:rPr>
          <w:szCs w:val="22"/>
        </w:rPr>
        <w:t>her, the Applicants state that they are “</w:t>
      </w:r>
      <w:r w:rsidR="006162C5">
        <w:rPr>
          <w:szCs w:val="22"/>
        </w:rPr>
        <w:t>[C]</w:t>
      </w:r>
      <w:r w:rsidR="001E014C">
        <w:rPr>
          <w:szCs w:val="22"/>
        </w:rPr>
        <w:t xml:space="preserve">ommitted to Alaska Communications fulfilling its obligations to rural and other underserved populations under the CAF </w:t>
      </w:r>
      <w:r w:rsidR="004330F2">
        <w:rPr>
          <w:szCs w:val="22"/>
        </w:rPr>
        <w:t xml:space="preserve">[Connect America Fund] </w:t>
      </w:r>
      <w:r w:rsidR="00971F43">
        <w:rPr>
          <w:szCs w:val="22"/>
        </w:rPr>
        <w:t>Phase II program, E-rate, and other FCC universal service programs.”</w:t>
      </w:r>
      <w:r>
        <w:rPr>
          <w:rStyle w:val="FootnoteReference"/>
          <w:szCs w:val="22"/>
        </w:rPr>
        <w:footnoteReference w:id="31"/>
      </w:r>
      <w:r w:rsidR="00B021B2">
        <w:rPr>
          <w:szCs w:val="22"/>
        </w:rPr>
        <w:t xml:space="preserve">  </w:t>
      </w:r>
      <w:r w:rsidR="00AE6E86">
        <w:rPr>
          <w:szCs w:val="22"/>
        </w:rPr>
        <w:t>Applicants submit that t</w:t>
      </w:r>
      <w:r w:rsidR="00DA7CB7">
        <w:rPr>
          <w:szCs w:val="22"/>
        </w:rPr>
        <w:t>he proposed t</w:t>
      </w:r>
      <w:r w:rsidR="0010170C">
        <w:rPr>
          <w:szCs w:val="22"/>
        </w:rPr>
        <w:t xml:space="preserve">ransaction will </w:t>
      </w:r>
      <w:r w:rsidR="00C33568">
        <w:rPr>
          <w:szCs w:val="22"/>
        </w:rPr>
        <w:t>be at the holding company level</w:t>
      </w:r>
      <w:r w:rsidR="00DA7CB7">
        <w:rPr>
          <w:szCs w:val="22"/>
        </w:rPr>
        <w:t>,</w:t>
      </w:r>
      <w:r w:rsidR="00C33568">
        <w:rPr>
          <w:szCs w:val="22"/>
        </w:rPr>
        <w:t xml:space="preserve"> </w:t>
      </w:r>
      <w:r w:rsidR="00AE4A26">
        <w:rPr>
          <w:szCs w:val="22"/>
        </w:rPr>
        <w:t>and customer</w:t>
      </w:r>
      <w:r w:rsidR="004330F2">
        <w:rPr>
          <w:szCs w:val="22"/>
        </w:rPr>
        <w:t>s</w:t>
      </w:r>
      <w:r w:rsidR="00AE4A26">
        <w:rPr>
          <w:szCs w:val="22"/>
        </w:rPr>
        <w:t xml:space="preserve"> will continue to receive service under the </w:t>
      </w:r>
      <w:r w:rsidR="00841CEB">
        <w:rPr>
          <w:szCs w:val="22"/>
        </w:rPr>
        <w:t>current rates, terms</w:t>
      </w:r>
      <w:r w:rsidR="00DA7CB7">
        <w:rPr>
          <w:szCs w:val="22"/>
        </w:rPr>
        <w:t>,</w:t>
      </w:r>
      <w:r w:rsidR="00841CEB">
        <w:rPr>
          <w:szCs w:val="22"/>
        </w:rPr>
        <w:t xml:space="preserve"> and conditions of service </w:t>
      </w:r>
      <w:r w:rsidR="00DA7CB7">
        <w:rPr>
          <w:szCs w:val="22"/>
        </w:rPr>
        <w:t>post-closing</w:t>
      </w:r>
      <w:r w:rsidR="00076872">
        <w:rPr>
          <w:szCs w:val="22"/>
        </w:rPr>
        <w:t>.</w:t>
      </w:r>
      <w:r>
        <w:rPr>
          <w:rStyle w:val="FootnoteReference"/>
          <w:szCs w:val="22"/>
        </w:rPr>
        <w:footnoteReference w:id="32"/>
      </w:r>
      <w:r w:rsidR="00DF6E5E">
        <w:rPr>
          <w:szCs w:val="22"/>
        </w:rPr>
        <w:t xml:space="preserve"> </w:t>
      </w:r>
      <w:r w:rsidR="00DA7CB7">
        <w:rPr>
          <w:szCs w:val="22"/>
        </w:rPr>
        <w:t xml:space="preserve"> </w:t>
      </w:r>
      <w:r w:rsidR="00237D89">
        <w:rPr>
          <w:szCs w:val="22"/>
        </w:rPr>
        <w:t xml:space="preserve">Finally, Applicants </w:t>
      </w:r>
      <w:r w:rsidR="007A6DA2">
        <w:rPr>
          <w:szCs w:val="22"/>
        </w:rPr>
        <w:t>maintain that</w:t>
      </w:r>
      <w:r w:rsidR="00237D89">
        <w:rPr>
          <w:szCs w:val="22"/>
        </w:rPr>
        <w:t xml:space="preserve"> </w:t>
      </w:r>
      <w:r w:rsidR="00AB1083">
        <w:rPr>
          <w:szCs w:val="22"/>
        </w:rPr>
        <w:t xml:space="preserve">the </w:t>
      </w:r>
      <w:r w:rsidR="00DA7CB7">
        <w:rPr>
          <w:szCs w:val="22"/>
        </w:rPr>
        <w:t>proposed t</w:t>
      </w:r>
      <w:r w:rsidR="00AB1083">
        <w:rPr>
          <w:szCs w:val="22"/>
        </w:rPr>
        <w:t xml:space="preserve">ransaction will not result in a reduction in competition, as </w:t>
      </w:r>
      <w:r w:rsidR="00F41833">
        <w:rPr>
          <w:szCs w:val="22"/>
        </w:rPr>
        <w:t xml:space="preserve">their service areas </w:t>
      </w:r>
      <w:r w:rsidR="007C78A2">
        <w:rPr>
          <w:szCs w:val="22"/>
        </w:rPr>
        <w:t>do not overlap</w:t>
      </w:r>
      <w:r w:rsidR="004330F2">
        <w:rPr>
          <w:szCs w:val="22"/>
        </w:rPr>
        <w:t>,</w:t>
      </w:r>
      <w:r w:rsidR="007C78A2">
        <w:rPr>
          <w:szCs w:val="22"/>
        </w:rPr>
        <w:t xml:space="preserve"> </w:t>
      </w:r>
      <w:r w:rsidR="004C2EFB">
        <w:rPr>
          <w:szCs w:val="22"/>
        </w:rPr>
        <w:t xml:space="preserve">and </w:t>
      </w:r>
      <w:r w:rsidR="004330F2">
        <w:rPr>
          <w:szCs w:val="22"/>
        </w:rPr>
        <w:t xml:space="preserve">that </w:t>
      </w:r>
      <w:r w:rsidR="004C2EFB">
        <w:rPr>
          <w:szCs w:val="22"/>
        </w:rPr>
        <w:t xml:space="preserve">the </w:t>
      </w:r>
      <w:r w:rsidR="004330F2">
        <w:rPr>
          <w:szCs w:val="22"/>
        </w:rPr>
        <w:t xml:space="preserve">proposed </w:t>
      </w:r>
      <w:r w:rsidR="004C2EFB">
        <w:rPr>
          <w:szCs w:val="22"/>
        </w:rPr>
        <w:t xml:space="preserve">transaction will enhance competition </w:t>
      </w:r>
      <w:r w:rsidR="002532C5">
        <w:rPr>
          <w:szCs w:val="22"/>
        </w:rPr>
        <w:t xml:space="preserve">by providing Alaska Communication with </w:t>
      </w:r>
      <w:r w:rsidR="002912F8">
        <w:rPr>
          <w:szCs w:val="22"/>
        </w:rPr>
        <w:t>“</w:t>
      </w:r>
      <w:r w:rsidR="006162C5">
        <w:rPr>
          <w:szCs w:val="22"/>
        </w:rPr>
        <w:t>[A]</w:t>
      </w:r>
      <w:r w:rsidR="002532C5">
        <w:rPr>
          <w:szCs w:val="22"/>
        </w:rPr>
        <w:t xml:space="preserve">ccess to </w:t>
      </w:r>
      <w:r w:rsidR="002912F8">
        <w:rPr>
          <w:szCs w:val="22"/>
        </w:rPr>
        <w:t>significant capital resources needed to upgrade networks and offer innovative services at competitive prices</w:t>
      </w:r>
      <w:r w:rsidR="00895444">
        <w:rPr>
          <w:szCs w:val="22"/>
        </w:rPr>
        <w:t>.”</w:t>
      </w:r>
      <w:r>
        <w:rPr>
          <w:rStyle w:val="FootnoteReference"/>
          <w:szCs w:val="22"/>
        </w:rPr>
        <w:footnoteReference w:id="33"/>
      </w:r>
      <w:r w:rsidR="00AE6E86">
        <w:rPr>
          <w:szCs w:val="22"/>
        </w:rPr>
        <w:t xml:space="preserve">  </w:t>
      </w:r>
    </w:p>
    <w:p w:rsidR="00FE2A23" w:rsidRPr="00E651E5" w:rsidP="007C4E39">
      <w:pPr>
        <w:autoSpaceDE w:val="0"/>
        <w:autoSpaceDN w:val="0"/>
        <w:adjustRightInd w:val="0"/>
        <w:rPr>
          <w:szCs w:val="22"/>
        </w:rPr>
      </w:pPr>
    </w:p>
    <w:p w:rsidR="0009631D" w:rsidRPr="006F2A61" w:rsidP="004E75F5">
      <w:pPr>
        <w:autoSpaceDE w:val="0"/>
        <w:autoSpaceDN w:val="0"/>
        <w:adjustRightInd w:val="0"/>
        <w:rPr>
          <w:b/>
          <w:color w:val="000000"/>
          <w:szCs w:val="22"/>
          <w:u w:val="single"/>
        </w:rPr>
      </w:pPr>
      <w:r w:rsidRPr="0009631D">
        <w:rPr>
          <w:b/>
          <w:color w:val="000000"/>
          <w:szCs w:val="22"/>
          <w:u w:val="single"/>
        </w:rPr>
        <w:t>GENERAL INFORMATION</w:t>
      </w:r>
    </w:p>
    <w:p w:rsidR="0009631D" w:rsidRPr="0009631D" w:rsidP="0009631D">
      <w:pPr>
        <w:rPr>
          <w:color w:val="000000"/>
          <w:szCs w:val="22"/>
        </w:rPr>
      </w:pPr>
    </w:p>
    <w:p w:rsidR="0009631D" w:rsidRPr="0009631D" w:rsidP="0009631D">
      <w:pPr>
        <w:ind w:firstLine="720"/>
        <w:rPr>
          <w:color w:val="000000"/>
          <w:szCs w:val="22"/>
        </w:rPr>
      </w:pPr>
      <w:r w:rsidRPr="0009631D">
        <w:rPr>
          <w:color w:val="000000"/>
          <w:szCs w:val="22"/>
        </w:rPr>
        <w:t>The application</w:t>
      </w:r>
      <w:r w:rsidR="00585942">
        <w:rPr>
          <w:color w:val="000000"/>
          <w:szCs w:val="22"/>
        </w:rPr>
        <w:t>s</w:t>
      </w:r>
      <w:r w:rsidRPr="0009631D">
        <w:rPr>
          <w:color w:val="000000"/>
          <w:szCs w:val="22"/>
        </w:rPr>
        <w:t xml:space="preserve"> identified herein ha</w:t>
      </w:r>
      <w:r w:rsidR="00585942">
        <w:rPr>
          <w:color w:val="000000"/>
          <w:szCs w:val="22"/>
        </w:rPr>
        <w:t>ve</w:t>
      </w:r>
      <w:r w:rsidRPr="0009631D">
        <w:rPr>
          <w:color w:val="000000"/>
          <w:szCs w:val="22"/>
        </w:rPr>
        <w:t xml:space="preserve"> been found, upon initial review, to be acceptable for filing.  The Commission reserves the right to return any application if, upon further examination, it is determined to be defective and not in conformance with the Commission’s rules and policies.  </w:t>
      </w:r>
    </w:p>
    <w:p w:rsidR="0009631D" w:rsidRPr="0009631D" w:rsidP="0009631D">
      <w:pPr>
        <w:rPr>
          <w:color w:val="000000"/>
          <w:szCs w:val="22"/>
        </w:rPr>
      </w:pPr>
    </w:p>
    <w:p w:rsidR="0009631D" w:rsidRPr="0009631D" w:rsidP="0009631D">
      <w:pPr>
        <w:ind w:firstLine="360"/>
        <w:rPr>
          <w:color w:val="000000"/>
          <w:szCs w:val="22"/>
        </w:rPr>
      </w:pPr>
      <w:r w:rsidRPr="0009631D">
        <w:rPr>
          <w:color w:val="000000"/>
          <w:szCs w:val="22"/>
        </w:rPr>
        <w:t xml:space="preserve">Interested parties may file comments and </w:t>
      </w:r>
      <w:r w:rsidRPr="00AF1348">
        <w:rPr>
          <w:color w:val="000000"/>
          <w:szCs w:val="22"/>
        </w:rPr>
        <w:t xml:space="preserve">petitions </w:t>
      </w:r>
      <w:r w:rsidRPr="00AF1348">
        <w:rPr>
          <w:b/>
          <w:color w:val="000000"/>
          <w:szCs w:val="22"/>
        </w:rPr>
        <w:t>on or</w:t>
      </w:r>
      <w:r w:rsidRPr="00AF1348">
        <w:rPr>
          <w:color w:val="000000"/>
          <w:szCs w:val="22"/>
        </w:rPr>
        <w:t xml:space="preserve"> </w:t>
      </w:r>
      <w:r w:rsidRPr="00AF1348">
        <w:rPr>
          <w:b/>
          <w:color w:val="000000"/>
          <w:szCs w:val="22"/>
        </w:rPr>
        <w:t xml:space="preserve">before </w:t>
      </w:r>
      <w:r w:rsidR="00BD1C99">
        <w:rPr>
          <w:b/>
          <w:color w:val="000000"/>
          <w:szCs w:val="22"/>
        </w:rPr>
        <w:t>March</w:t>
      </w:r>
      <w:r w:rsidR="008A1D00">
        <w:rPr>
          <w:b/>
          <w:color w:val="000000"/>
          <w:szCs w:val="22"/>
        </w:rPr>
        <w:t xml:space="preserve"> </w:t>
      </w:r>
      <w:r w:rsidR="00EB0007">
        <w:rPr>
          <w:b/>
          <w:color w:val="000000"/>
          <w:szCs w:val="22"/>
        </w:rPr>
        <w:t>18</w:t>
      </w:r>
      <w:r w:rsidRPr="00AF1348">
        <w:rPr>
          <w:b/>
          <w:color w:val="000000"/>
          <w:szCs w:val="22"/>
        </w:rPr>
        <w:t>, 20</w:t>
      </w:r>
      <w:r w:rsidR="00552C0F">
        <w:rPr>
          <w:b/>
          <w:color w:val="000000"/>
          <w:szCs w:val="22"/>
        </w:rPr>
        <w:t>2</w:t>
      </w:r>
      <w:r w:rsidR="006846C1">
        <w:rPr>
          <w:b/>
          <w:color w:val="000000"/>
          <w:szCs w:val="22"/>
        </w:rPr>
        <w:t>1</w:t>
      </w:r>
      <w:r w:rsidRPr="0009631D">
        <w:rPr>
          <w:b/>
          <w:color w:val="000000"/>
          <w:szCs w:val="22"/>
        </w:rPr>
        <w:t>,</w:t>
      </w:r>
      <w:r w:rsidRPr="0009631D">
        <w:rPr>
          <w:color w:val="000000"/>
          <w:szCs w:val="22"/>
        </w:rPr>
        <w:t xml:space="preserve"> and</w:t>
      </w:r>
      <w:r w:rsidRPr="0009631D">
        <w:rPr>
          <w:color w:val="000000"/>
          <w:szCs w:val="22"/>
        </w:rPr>
        <w:t xml:space="preserve"> reply comments or oppositions to </w:t>
      </w:r>
      <w:r w:rsidRPr="00AF1348">
        <w:rPr>
          <w:color w:val="000000"/>
          <w:szCs w:val="22"/>
        </w:rPr>
        <w:t xml:space="preserve">petitions </w:t>
      </w:r>
      <w:r w:rsidRPr="00AF1348">
        <w:rPr>
          <w:b/>
          <w:color w:val="000000"/>
          <w:szCs w:val="22"/>
        </w:rPr>
        <w:t xml:space="preserve">on or before </w:t>
      </w:r>
      <w:r w:rsidR="00EB0007">
        <w:rPr>
          <w:b/>
          <w:color w:val="000000"/>
          <w:szCs w:val="22"/>
        </w:rPr>
        <w:t>April</w:t>
      </w:r>
      <w:r w:rsidR="008A1D00">
        <w:rPr>
          <w:b/>
          <w:color w:val="000000"/>
          <w:szCs w:val="22"/>
        </w:rPr>
        <w:t xml:space="preserve"> </w:t>
      </w:r>
      <w:r w:rsidR="00EB0007">
        <w:rPr>
          <w:b/>
          <w:color w:val="000000"/>
          <w:szCs w:val="22"/>
        </w:rPr>
        <w:t>2</w:t>
      </w:r>
      <w:r w:rsidRPr="00AF1348">
        <w:rPr>
          <w:b/>
          <w:color w:val="000000"/>
          <w:szCs w:val="22"/>
        </w:rPr>
        <w:t>, 20</w:t>
      </w:r>
      <w:r w:rsidR="00552C0F">
        <w:rPr>
          <w:b/>
          <w:color w:val="000000"/>
          <w:szCs w:val="22"/>
        </w:rPr>
        <w:t>2</w:t>
      </w:r>
      <w:r w:rsidR="006846C1">
        <w:rPr>
          <w:b/>
          <w:color w:val="000000"/>
          <w:szCs w:val="22"/>
        </w:rPr>
        <w:t>1</w:t>
      </w:r>
      <w:r w:rsidRPr="0009631D">
        <w:rPr>
          <w:color w:val="000000"/>
          <w:szCs w:val="22"/>
        </w:rPr>
        <w:t>.  C</w:t>
      </w:r>
      <w:bookmarkStart w:id="13" w:name="_GoBack"/>
      <w:bookmarkEnd w:id="13"/>
      <w:r w:rsidRPr="0009631D">
        <w:rPr>
          <w:color w:val="000000"/>
          <w:szCs w:val="22"/>
        </w:rPr>
        <w:t>omments may be filed using the Commission’s Electronic Comment Filing System (ECFS) or by paper. </w:t>
      </w:r>
      <w:r w:rsidR="004159C4">
        <w:rPr>
          <w:color w:val="000000"/>
          <w:szCs w:val="22"/>
        </w:rPr>
        <w:t xml:space="preserve"> </w:t>
      </w:r>
      <w:r w:rsidRPr="0009631D">
        <w:rPr>
          <w:color w:val="000000"/>
          <w:szCs w:val="22"/>
        </w:rPr>
        <w:t>All filings must be addressed to the Commission’s Secretary, Office of the Secretary, Federal Communications Commission.</w:t>
      </w:r>
    </w:p>
    <w:p w:rsidR="0009631D" w:rsidRPr="0009631D" w:rsidP="0009631D">
      <w:pPr>
        <w:rPr>
          <w:color w:val="000000"/>
          <w:szCs w:val="22"/>
        </w:rPr>
      </w:pPr>
      <w:r w:rsidRPr="0009631D">
        <w:rPr>
          <w:color w:val="000000"/>
          <w:szCs w:val="22"/>
        </w:rPr>
        <w:t> </w:t>
      </w:r>
    </w:p>
    <w:p w:rsidR="0009631D" w:rsidP="0009631D">
      <w:pPr>
        <w:numPr>
          <w:ilvl w:val="0"/>
          <w:numId w:val="20"/>
        </w:numPr>
        <w:rPr>
          <w:color w:val="000000"/>
          <w:szCs w:val="22"/>
        </w:rPr>
      </w:pPr>
      <w:r w:rsidRPr="0009631D">
        <w:rPr>
          <w:color w:val="000000"/>
          <w:szCs w:val="22"/>
        </w:rPr>
        <w:t>Electronic Filers:  Comments may be filed electronically by accessing ECFS at </w:t>
      </w:r>
      <w:hyperlink r:id="rId8" w:history="1">
        <w:r w:rsidRPr="0009631D">
          <w:rPr>
            <w:rStyle w:val="Hyperlink"/>
            <w:szCs w:val="22"/>
          </w:rPr>
          <w:t>http://apps.fcc.gov/ecfs/</w:t>
        </w:r>
      </w:hyperlink>
      <w:r w:rsidRPr="0009631D">
        <w:rPr>
          <w:color w:val="000000"/>
          <w:szCs w:val="22"/>
        </w:rPr>
        <w:t>.</w:t>
      </w:r>
    </w:p>
    <w:p w:rsidR="0056572F" w:rsidP="00AF3AE2">
      <w:pPr>
        <w:ind w:left="720"/>
        <w:rPr>
          <w:color w:val="000000"/>
          <w:szCs w:val="22"/>
        </w:rPr>
      </w:pPr>
    </w:p>
    <w:p w:rsidR="0056572F" w:rsidRPr="00AF3AE2" w:rsidP="0056572F">
      <w:pPr>
        <w:numPr>
          <w:ilvl w:val="0"/>
          <w:numId w:val="20"/>
        </w:numPr>
        <w:rPr>
          <w:szCs w:val="22"/>
        </w:rPr>
      </w:pPr>
      <w:r w:rsidRPr="00AF3AE2">
        <w:rPr>
          <w:szCs w:val="22"/>
        </w:rPr>
        <w:t>Paper Filers:  Parties who choose to file by paper must file an original and one copy of each filing.</w:t>
      </w:r>
    </w:p>
    <w:p w:rsidR="0056572F" w:rsidRPr="00AF3AE2" w:rsidP="006F2A61">
      <w:pPr>
        <w:ind w:left="720"/>
        <w:rPr>
          <w:szCs w:val="22"/>
        </w:rPr>
      </w:pPr>
    </w:p>
    <w:p w:rsidR="0056572F" w:rsidRPr="00AF3AE2" w:rsidP="006F2A61">
      <w:pPr>
        <w:numPr>
          <w:ilvl w:val="1"/>
          <w:numId w:val="20"/>
        </w:numPr>
        <w:rPr>
          <w:szCs w:val="22"/>
        </w:rPr>
      </w:pPr>
      <w:r w:rsidRPr="00AF3AE2">
        <w:rPr>
          <w:szCs w:val="22"/>
        </w:rPr>
        <w:t xml:space="preserve">Filings can be sent by commercial overnight courier, or by first-class or overnight U.S. Postal Service mail. </w:t>
      </w:r>
      <w:r w:rsidR="007418EB">
        <w:rPr>
          <w:szCs w:val="22"/>
        </w:rPr>
        <w:t xml:space="preserve"> </w:t>
      </w:r>
      <w:r w:rsidRPr="00AF3AE2">
        <w:rPr>
          <w:szCs w:val="22"/>
        </w:rPr>
        <w:t>All filings must be addressed to the Commission’s Secretary, Office of the Secretary, Federal Communications Commission.</w:t>
      </w:r>
    </w:p>
    <w:p w:rsidR="0056572F" w:rsidRPr="00AF3AE2" w:rsidP="006F2A61">
      <w:pPr>
        <w:ind w:left="720"/>
        <w:rPr>
          <w:szCs w:val="22"/>
        </w:rPr>
      </w:pPr>
    </w:p>
    <w:p w:rsidR="0056572F" w:rsidRPr="006F2A61" w:rsidP="006F2A61">
      <w:pPr>
        <w:numPr>
          <w:ilvl w:val="1"/>
          <w:numId w:val="20"/>
        </w:numPr>
        <w:rPr>
          <w:szCs w:val="22"/>
        </w:rPr>
      </w:pPr>
      <w:r w:rsidRPr="00AF3AE2">
        <w:rPr>
          <w:szCs w:val="22"/>
        </w:rPr>
        <w:t>Commercial overnight mail (other than U.S. Postal Service Express Mail and Priority Mail) must be sent to 9050 Junction Drive, Annapolis Junction, MD 20701.</w:t>
      </w:r>
      <w:r w:rsidR="00BD683F">
        <w:rPr>
          <w:szCs w:val="22"/>
        </w:rPr>
        <w:t xml:space="preserve">  </w:t>
      </w:r>
      <w:r w:rsidRPr="00AF3AE2">
        <w:rPr>
          <w:szCs w:val="22"/>
        </w:rPr>
        <w:t>U.S. Postal Service first-class, Express, and Priority mail must be addressed to 45 L Street NE</w:t>
      </w:r>
      <w:r w:rsidR="006F2A61">
        <w:rPr>
          <w:szCs w:val="22"/>
        </w:rPr>
        <w:t xml:space="preserve">, </w:t>
      </w:r>
      <w:r w:rsidRPr="006F2A61">
        <w:rPr>
          <w:szCs w:val="22"/>
        </w:rPr>
        <w:t>Washington, DC  20554.</w:t>
      </w:r>
    </w:p>
    <w:p w:rsidR="0056572F" w:rsidRPr="00AF3AE2" w:rsidP="006F2A61">
      <w:pPr>
        <w:ind w:left="720"/>
        <w:rPr>
          <w:szCs w:val="22"/>
        </w:rPr>
      </w:pPr>
    </w:p>
    <w:p w:rsidR="0009631D" w:rsidRPr="006F2A61" w:rsidP="006F2A61">
      <w:pPr>
        <w:numPr>
          <w:ilvl w:val="1"/>
          <w:numId w:val="20"/>
        </w:numPr>
        <w:rPr>
          <w:szCs w:val="22"/>
        </w:rPr>
      </w:pPr>
      <w:r w:rsidRPr="00AF3AE2">
        <w:rPr>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w:t>
      </w:r>
      <w:r w:rsidRPr="006F2A61">
        <w:rPr>
          <w:i/>
          <w:iCs/>
          <w:szCs w:val="22"/>
        </w:rPr>
        <w:t>See</w:t>
      </w:r>
      <w:r w:rsidRPr="00AF3AE2">
        <w:rPr>
          <w:szCs w:val="22"/>
        </w:rPr>
        <w:t xml:space="preserve"> FCC Announces Closure of FCC Headquarters Open Window and Change in Hand-Delivery Policy, Public Notice, DA 20-304 (March 19, 2020).  </w:t>
      </w:r>
      <w:hyperlink r:id="rId9" w:history="1">
        <w:r w:rsidRPr="00AF3AE2">
          <w:rPr>
            <w:szCs w:val="22"/>
          </w:rPr>
          <w:t>https://www.fcc.gov/document/fcc-closes-headquarters-open-window-and-changes-hand-delivery-policy</w:t>
        </w:r>
      </w:hyperlink>
    </w:p>
    <w:p w:rsidR="0009631D" w:rsidRPr="0009631D" w:rsidP="0009631D">
      <w:pPr>
        <w:rPr>
          <w:color w:val="000000"/>
          <w:szCs w:val="22"/>
        </w:rPr>
      </w:pPr>
      <w:r w:rsidRPr="0009631D">
        <w:rPr>
          <w:color w:val="000000"/>
          <w:szCs w:val="22"/>
        </w:rPr>
        <w:t> </w:t>
      </w:r>
    </w:p>
    <w:p w:rsidR="0009631D" w:rsidRPr="0009631D" w:rsidP="00607817">
      <w:pPr>
        <w:ind w:firstLine="720"/>
        <w:rPr>
          <w:color w:val="000000"/>
          <w:szCs w:val="22"/>
        </w:rPr>
      </w:pPr>
      <w:r w:rsidRPr="0009631D">
        <w:rPr>
          <w:color w:val="000000"/>
          <w:szCs w:val="22"/>
        </w:rPr>
        <w:t xml:space="preserve">People with Disabilities:  </w:t>
      </w:r>
      <w:r w:rsidRPr="00607817" w:rsidR="00607817">
        <w:rPr>
          <w:color w:val="000000"/>
          <w:szCs w:val="22"/>
        </w:rPr>
        <w:t>We ask that requests for accommodations be made as soon as possible in order to allow the agency to satisfy such requests whenever possible.  Send an email to </w:t>
      </w:r>
      <w:hyperlink r:id="rId10" w:tgtFrame="_blank" w:history="1">
        <w:r w:rsidRPr="00607817" w:rsidR="00607817">
          <w:rPr>
            <w:rStyle w:val="Hyperlink"/>
            <w:szCs w:val="22"/>
          </w:rPr>
          <w:t>fcc504@fcc.gov</w:t>
        </w:r>
      </w:hyperlink>
      <w:r w:rsidRPr="00607817" w:rsidR="00607817">
        <w:rPr>
          <w:color w:val="000000"/>
          <w:szCs w:val="22"/>
        </w:rPr>
        <w:t> or call the Consumer and Governmental Affairs Bureau at (202) 418-0530.</w:t>
      </w:r>
    </w:p>
    <w:p w:rsidR="0009631D" w:rsidRPr="0009631D" w:rsidP="0009631D">
      <w:pPr>
        <w:rPr>
          <w:color w:val="000000"/>
          <w:szCs w:val="22"/>
        </w:rPr>
      </w:pPr>
    </w:p>
    <w:p w:rsidR="0009631D" w:rsidRPr="0009631D" w:rsidP="0009631D">
      <w:pPr>
        <w:rPr>
          <w:b/>
          <w:color w:val="000000"/>
          <w:szCs w:val="22"/>
        </w:rPr>
      </w:pPr>
      <w:r w:rsidRPr="0009631D">
        <w:rPr>
          <w:b/>
          <w:color w:val="000000"/>
          <w:szCs w:val="22"/>
        </w:rPr>
        <w:t>In addition, e-mail one copy of each pleading to each of the following:</w:t>
      </w:r>
    </w:p>
    <w:p w:rsidR="0009631D" w:rsidRPr="0009631D" w:rsidP="0009631D">
      <w:pPr>
        <w:rPr>
          <w:b/>
          <w:color w:val="000000"/>
          <w:szCs w:val="22"/>
        </w:rPr>
      </w:pPr>
    </w:p>
    <w:p w:rsidR="007040DC" w:rsidRPr="0044565F" w:rsidP="0044565F">
      <w:pPr>
        <w:numPr>
          <w:ilvl w:val="0"/>
          <w:numId w:val="18"/>
        </w:numPr>
        <w:rPr>
          <w:color w:val="000000"/>
          <w:szCs w:val="22"/>
        </w:rPr>
      </w:pPr>
      <w:r>
        <w:rPr>
          <w:color w:val="000000"/>
          <w:szCs w:val="22"/>
        </w:rPr>
        <w:t>Dennis Johnson</w:t>
      </w:r>
      <w:r w:rsidRPr="0009631D" w:rsidR="00803F8F">
        <w:rPr>
          <w:color w:val="000000"/>
          <w:szCs w:val="22"/>
        </w:rPr>
        <w:t xml:space="preserve">, Wireline Competition Bureau, </w:t>
      </w:r>
      <w:hyperlink r:id="rId11" w:history="1">
        <w:r w:rsidRPr="002273F6">
          <w:rPr>
            <w:rStyle w:val="Hyperlink"/>
            <w:szCs w:val="22"/>
          </w:rPr>
          <w:t>dennis.johnson@fcc.gov</w:t>
        </w:r>
      </w:hyperlink>
      <w:r w:rsidR="00235E4B">
        <w:rPr>
          <w:color w:val="000000"/>
          <w:szCs w:val="22"/>
        </w:rPr>
        <w:t>;</w:t>
      </w:r>
    </w:p>
    <w:p w:rsidR="0044565F" w:rsidP="0044565F">
      <w:pPr>
        <w:numPr>
          <w:ilvl w:val="0"/>
          <w:numId w:val="18"/>
        </w:numPr>
        <w:rPr>
          <w:color w:val="000000"/>
          <w:szCs w:val="22"/>
        </w:rPr>
      </w:pPr>
      <w:bookmarkStart w:id="14" w:name="_Hlk520384977"/>
      <w:r>
        <w:rPr>
          <w:color w:val="000000"/>
          <w:szCs w:val="22"/>
        </w:rPr>
        <w:t xml:space="preserve">Clay DeCell, International Bureau, </w:t>
      </w:r>
      <w:hyperlink r:id="rId12" w:history="1">
        <w:r w:rsidRPr="0044565F">
          <w:rPr>
            <w:rStyle w:val="Hyperlink"/>
            <w:szCs w:val="22"/>
          </w:rPr>
          <w:t>clay.decell@fcc.gov</w:t>
        </w:r>
      </w:hyperlink>
      <w:r>
        <w:rPr>
          <w:color w:val="000000"/>
          <w:szCs w:val="22"/>
        </w:rPr>
        <w:t>;</w:t>
      </w:r>
    </w:p>
    <w:p w:rsidR="008C77CA" w:rsidRPr="00646C42" w:rsidP="0044565F">
      <w:pPr>
        <w:numPr>
          <w:ilvl w:val="0"/>
          <w:numId w:val="18"/>
        </w:numPr>
        <w:rPr>
          <w:rStyle w:val="Hyperlink"/>
          <w:color w:val="000000"/>
          <w:szCs w:val="22"/>
          <w:u w:val="none"/>
        </w:rPr>
      </w:pPr>
      <w:r>
        <w:rPr>
          <w:color w:val="000000"/>
          <w:szCs w:val="22"/>
        </w:rPr>
        <w:t>David Krech</w:t>
      </w:r>
      <w:r w:rsidRPr="007040DC" w:rsidR="0065645C">
        <w:rPr>
          <w:color w:val="000000"/>
          <w:szCs w:val="22"/>
        </w:rPr>
        <w:t>, International Bureau,</w:t>
      </w:r>
      <w:r w:rsidRPr="007040DC" w:rsidR="000F3C60">
        <w:rPr>
          <w:color w:val="000000"/>
          <w:szCs w:val="22"/>
        </w:rPr>
        <w:t xml:space="preserve"> </w:t>
      </w:r>
      <w:hyperlink r:id="rId13" w:history="1">
        <w:r w:rsidRPr="009A524C" w:rsidR="009A524C">
          <w:rPr>
            <w:rStyle w:val="Hyperlink"/>
            <w:szCs w:val="22"/>
          </w:rPr>
          <w:t>david.krech@fcc.gov</w:t>
        </w:r>
      </w:hyperlink>
      <w:r w:rsidR="009A524C">
        <w:rPr>
          <w:rStyle w:val="Hyperlink"/>
          <w:szCs w:val="22"/>
          <w:u w:val="none"/>
        </w:rPr>
        <w:t>;</w:t>
      </w:r>
    </w:p>
    <w:p w:rsidR="00F46063" w:rsidRPr="0044565F" w:rsidP="0044565F">
      <w:pPr>
        <w:numPr>
          <w:ilvl w:val="0"/>
          <w:numId w:val="18"/>
        </w:numPr>
        <w:rPr>
          <w:color w:val="000000"/>
          <w:szCs w:val="22"/>
        </w:rPr>
      </w:pPr>
      <w:r>
        <w:rPr>
          <w:color w:val="000000"/>
          <w:szCs w:val="22"/>
        </w:rPr>
        <w:t>Linda Ray, Wireless Telecommunications Bureau</w:t>
      </w:r>
      <w:r w:rsidRPr="0009631D">
        <w:rPr>
          <w:color w:val="000000"/>
          <w:szCs w:val="22"/>
        </w:rPr>
        <w:t xml:space="preserve">; </w:t>
      </w:r>
      <w:hyperlink r:id="rId14" w:history="1">
        <w:r w:rsidRPr="006D71A2">
          <w:rPr>
            <w:rStyle w:val="Hyperlink"/>
            <w:szCs w:val="22"/>
          </w:rPr>
          <w:t>linda.ray@fcc.gov</w:t>
        </w:r>
      </w:hyperlink>
      <w:r>
        <w:rPr>
          <w:color w:val="000000"/>
          <w:szCs w:val="22"/>
        </w:rPr>
        <w:t xml:space="preserve">; </w:t>
      </w:r>
      <w:r w:rsidRPr="0009631D">
        <w:rPr>
          <w:color w:val="000000"/>
          <w:szCs w:val="22"/>
        </w:rPr>
        <w:t>and</w:t>
      </w:r>
    </w:p>
    <w:p w:rsidR="0009631D" w:rsidRPr="006538F7" w:rsidP="006538F7">
      <w:pPr>
        <w:numPr>
          <w:ilvl w:val="0"/>
          <w:numId w:val="18"/>
        </w:numPr>
        <w:rPr>
          <w:color w:val="000000"/>
          <w:szCs w:val="22"/>
        </w:rPr>
      </w:pPr>
      <w:r w:rsidRPr="0009631D">
        <w:rPr>
          <w:color w:val="000000"/>
          <w:szCs w:val="22"/>
        </w:rPr>
        <w:t xml:space="preserve">Jim Bird, Office of General Counsel, </w:t>
      </w:r>
      <w:hyperlink r:id="rId15" w:history="1">
        <w:r w:rsidRPr="0009631D">
          <w:rPr>
            <w:rStyle w:val="Hyperlink"/>
            <w:szCs w:val="22"/>
          </w:rPr>
          <w:t>jim.bird@fcc.gov</w:t>
        </w:r>
      </w:hyperlink>
      <w:r w:rsidRPr="0009631D">
        <w:rPr>
          <w:color w:val="000000"/>
          <w:szCs w:val="22"/>
        </w:rPr>
        <w:t>.</w:t>
      </w:r>
      <w:r w:rsidR="001C0061">
        <w:rPr>
          <w:color w:val="000000"/>
          <w:szCs w:val="22"/>
        </w:rPr>
        <w:t xml:space="preserve"> </w:t>
      </w:r>
    </w:p>
    <w:bookmarkEnd w:id="14"/>
    <w:p w:rsidR="0009631D" w:rsidRPr="0009631D" w:rsidP="0009631D">
      <w:pPr>
        <w:rPr>
          <w:color w:val="000000"/>
          <w:szCs w:val="22"/>
        </w:rPr>
      </w:pPr>
    </w:p>
    <w:p w:rsidR="0009631D" w:rsidRPr="0009631D" w:rsidP="0009631D">
      <w:pPr>
        <w:ind w:firstLine="720"/>
        <w:rPr>
          <w:color w:val="000000"/>
          <w:szCs w:val="22"/>
        </w:rPr>
      </w:pPr>
      <w:r w:rsidRPr="0009631D">
        <w:rPr>
          <w:color w:val="000000"/>
          <w:szCs w:val="22"/>
        </w:rPr>
        <w:t xml:space="preserve">The proceeding in this Notice shall be treated as a “permit-but-disclose” proceeding in accordance with the Commission’s </w:t>
      </w:r>
      <w:r w:rsidRPr="0009631D">
        <w:rPr>
          <w:i/>
          <w:color w:val="000000"/>
          <w:szCs w:val="22"/>
        </w:rPr>
        <w:t>ex parte</w:t>
      </w:r>
      <w:r w:rsidRPr="0009631D">
        <w:rPr>
          <w:color w:val="000000"/>
          <w:szCs w:val="22"/>
        </w:rPr>
        <w:t xml:space="preserve"> rules.  Persons making </w:t>
      </w:r>
      <w:r w:rsidRPr="0009631D">
        <w:rPr>
          <w:i/>
          <w:color w:val="000000"/>
          <w:szCs w:val="22"/>
        </w:rPr>
        <w:t>ex parte</w:t>
      </w:r>
      <w:r w:rsidRPr="0009631D">
        <w:rPr>
          <w:color w:val="00000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9631D">
        <w:rPr>
          <w:i/>
          <w:color w:val="000000"/>
          <w:szCs w:val="22"/>
        </w:rPr>
        <w:t>ex parte</w:t>
      </w:r>
      <w:r w:rsidRPr="0009631D">
        <w:rPr>
          <w:color w:val="000000"/>
          <w:szCs w:val="22"/>
        </w:rPr>
        <w:t xml:space="preserve"> presentations are reminded that memoranda summarizing the presentation must (1) list all persons attending or otherwise participating in the meeting at which the </w:t>
      </w:r>
      <w:r w:rsidRPr="0009631D">
        <w:rPr>
          <w:i/>
          <w:color w:val="000000"/>
          <w:szCs w:val="22"/>
        </w:rPr>
        <w:t>ex parte</w:t>
      </w:r>
      <w:r w:rsidRPr="0009631D">
        <w:rPr>
          <w:color w:val="00000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9631D">
        <w:rPr>
          <w:i/>
          <w:color w:val="000000"/>
          <w:szCs w:val="22"/>
        </w:rPr>
        <w:t>ex parte</w:t>
      </w:r>
      <w:r w:rsidRPr="0009631D">
        <w:rPr>
          <w:color w:val="000000"/>
          <w:szCs w:val="22"/>
        </w:rPr>
        <w:t xml:space="preserve"> meetings are deemed to be written </w:t>
      </w:r>
      <w:r w:rsidRPr="0009631D">
        <w:rPr>
          <w:i/>
          <w:color w:val="000000"/>
          <w:szCs w:val="22"/>
        </w:rPr>
        <w:t>ex parte</w:t>
      </w:r>
      <w:r w:rsidRPr="0009631D">
        <w:rPr>
          <w:color w:val="000000"/>
          <w:szCs w:val="22"/>
        </w:rPr>
        <w:t xml:space="preserve"> presentations and must be filed consistent with rule 1.1206(b), 47 CFR § 1.1206(b).  Participants in this proceeding should familiarize themselves with the Commission’s </w:t>
      </w:r>
      <w:r w:rsidRPr="0009631D">
        <w:rPr>
          <w:i/>
          <w:color w:val="000000"/>
          <w:szCs w:val="22"/>
        </w:rPr>
        <w:t>ex parte</w:t>
      </w:r>
      <w:r w:rsidRPr="0009631D">
        <w:rPr>
          <w:color w:val="000000"/>
          <w:szCs w:val="22"/>
        </w:rPr>
        <w:t xml:space="preserve"> rules.</w:t>
      </w:r>
    </w:p>
    <w:p w:rsidR="0009631D" w:rsidRPr="0009631D" w:rsidP="0009631D">
      <w:pPr>
        <w:rPr>
          <w:color w:val="000000"/>
          <w:szCs w:val="22"/>
        </w:rPr>
      </w:pPr>
    </w:p>
    <w:p w:rsidR="0009631D" w:rsidRPr="0009631D" w:rsidP="004E1A72">
      <w:pPr>
        <w:ind w:firstLine="720"/>
        <w:rPr>
          <w:color w:val="000000"/>
          <w:szCs w:val="22"/>
        </w:rPr>
      </w:pPr>
      <w:r w:rsidRPr="0009631D">
        <w:rPr>
          <w:color w:val="000000"/>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color w:val="000000"/>
          <w:szCs w:val="22"/>
          <w:vertAlign w:val="superscript"/>
        </w:rPr>
        <w:footnoteReference w:id="34"/>
      </w:r>
      <w:r w:rsidRPr="0009631D">
        <w:rPr>
          <w:color w:val="00000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09631D" w:rsidRPr="0009631D" w:rsidP="0009631D">
      <w:pPr>
        <w:rPr>
          <w:color w:val="000000"/>
          <w:szCs w:val="22"/>
        </w:rPr>
      </w:pPr>
    </w:p>
    <w:p w:rsidR="0009631D" w:rsidRPr="0009631D" w:rsidP="009D0445">
      <w:pPr>
        <w:ind w:firstLine="720"/>
        <w:rPr>
          <w:color w:val="000000"/>
          <w:szCs w:val="22"/>
        </w:rPr>
      </w:pPr>
      <w:r w:rsidRPr="0009631D">
        <w:rPr>
          <w:color w:val="000000"/>
          <w:szCs w:val="22"/>
        </w:rPr>
        <w:t xml:space="preserve">For further information, please contact </w:t>
      </w:r>
      <w:r w:rsidR="00742B19">
        <w:rPr>
          <w:color w:val="000000"/>
          <w:szCs w:val="22"/>
        </w:rPr>
        <w:t>Dennis Johnson</w:t>
      </w:r>
      <w:r w:rsidR="00332E1C">
        <w:rPr>
          <w:color w:val="000000"/>
          <w:szCs w:val="22"/>
        </w:rPr>
        <w:t>, Wireline Competition Bureau,</w:t>
      </w:r>
      <w:r w:rsidRPr="0009631D">
        <w:rPr>
          <w:color w:val="000000"/>
          <w:szCs w:val="22"/>
        </w:rPr>
        <w:t xml:space="preserve"> (202) 418-</w:t>
      </w:r>
      <w:r w:rsidR="00742B19">
        <w:rPr>
          <w:color w:val="000000"/>
          <w:szCs w:val="22"/>
        </w:rPr>
        <w:t>0809</w:t>
      </w:r>
      <w:r w:rsidR="00332E1C">
        <w:rPr>
          <w:color w:val="000000"/>
          <w:szCs w:val="22"/>
        </w:rPr>
        <w:t xml:space="preserve">; </w:t>
      </w:r>
      <w:r w:rsidR="0044565F">
        <w:rPr>
          <w:color w:val="000000"/>
          <w:szCs w:val="22"/>
        </w:rPr>
        <w:t>Clay DeCell</w:t>
      </w:r>
      <w:r w:rsidR="00332E1C">
        <w:rPr>
          <w:color w:val="000000"/>
          <w:szCs w:val="22"/>
        </w:rPr>
        <w:t xml:space="preserve">, </w:t>
      </w:r>
      <w:bookmarkStart w:id="15" w:name="_Hlk63082595"/>
      <w:r w:rsidR="00332E1C">
        <w:rPr>
          <w:color w:val="000000"/>
          <w:szCs w:val="22"/>
        </w:rPr>
        <w:t>International Bureau, (202) 418-</w:t>
      </w:r>
      <w:bookmarkEnd w:id="15"/>
      <w:r w:rsidR="000E239B">
        <w:rPr>
          <w:color w:val="000000"/>
          <w:szCs w:val="22"/>
        </w:rPr>
        <w:t>0803</w:t>
      </w:r>
      <w:r w:rsidR="00332E1C">
        <w:rPr>
          <w:color w:val="000000"/>
          <w:szCs w:val="22"/>
        </w:rPr>
        <w:t xml:space="preserve">; </w:t>
      </w:r>
      <w:r w:rsidR="0044565F">
        <w:rPr>
          <w:color w:val="000000"/>
          <w:szCs w:val="22"/>
        </w:rPr>
        <w:t>David Krech, International Bureau, (202) 418-</w:t>
      </w:r>
      <w:r w:rsidR="000E239B">
        <w:rPr>
          <w:color w:val="000000"/>
          <w:szCs w:val="22"/>
        </w:rPr>
        <w:t>7443</w:t>
      </w:r>
      <w:r w:rsidR="00897587">
        <w:rPr>
          <w:color w:val="000000"/>
          <w:szCs w:val="22"/>
        </w:rPr>
        <w:t>;</w:t>
      </w:r>
      <w:r w:rsidR="0044565F">
        <w:rPr>
          <w:color w:val="000000"/>
          <w:szCs w:val="22"/>
        </w:rPr>
        <w:t xml:space="preserve"> </w:t>
      </w:r>
      <w:r w:rsidR="00332E1C">
        <w:rPr>
          <w:color w:val="000000"/>
          <w:szCs w:val="22"/>
        </w:rPr>
        <w:t>or Linda Ray, Wireless Telecommunications Bureau, (202) 418-0257</w:t>
      </w:r>
      <w:r w:rsidRPr="0009631D">
        <w:rPr>
          <w:color w:val="000000"/>
          <w:szCs w:val="22"/>
        </w:rPr>
        <w:t>.</w:t>
      </w:r>
    </w:p>
    <w:p w:rsidR="0038750A" w:rsidRPr="00585942" w:rsidP="00AC34AD">
      <w:pPr>
        <w:jc w:val="center"/>
        <w:rPr>
          <w:b/>
          <w:color w:val="000000"/>
          <w:szCs w:val="22"/>
          <w:u w:val="single"/>
        </w:rPr>
      </w:pPr>
      <w:r>
        <w:rPr>
          <w:b/>
          <w:color w:val="000000"/>
          <w:szCs w:val="22"/>
        </w:rPr>
        <w:br w:type="page"/>
      </w:r>
      <w:r w:rsidRPr="00585942">
        <w:rPr>
          <w:b/>
          <w:color w:val="000000"/>
          <w:szCs w:val="22"/>
          <w:u w:val="single"/>
        </w:rPr>
        <w:t>ATTACHMENT A</w:t>
      </w:r>
    </w:p>
    <w:p w:rsidR="0038750A" w:rsidRPr="00585942" w:rsidP="0038750A">
      <w:pPr>
        <w:rPr>
          <w:b/>
          <w:color w:val="000000"/>
          <w:szCs w:val="22"/>
        </w:rPr>
      </w:pPr>
    </w:p>
    <w:p w:rsidR="0038750A" w:rsidRPr="00585942" w:rsidP="0038750A">
      <w:pPr>
        <w:rPr>
          <w:b/>
          <w:color w:val="000000"/>
          <w:szCs w:val="22"/>
        </w:rPr>
      </w:pPr>
    </w:p>
    <w:p w:rsidR="0038750A" w:rsidRPr="0022664E" w:rsidP="0038750A">
      <w:pPr>
        <w:rPr>
          <w:color w:val="000000"/>
          <w:szCs w:val="22"/>
        </w:rPr>
      </w:pPr>
      <w:r w:rsidRPr="00585942">
        <w:rPr>
          <w:b/>
          <w:color w:val="000000"/>
          <w:szCs w:val="22"/>
        </w:rPr>
        <w:t>SECTION 214 AUTHORIZATIONS</w:t>
      </w:r>
    </w:p>
    <w:p w:rsidR="0038750A" w:rsidRPr="0022664E" w:rsidP="0038750A">
      <w:pPr>
        <w:rPr>
          <w:color w:val="000000"/>
          <w:szCs w:val="22"/>
        </w:rPr>
      </w:pPr>
    </w:p>
    <w:p w:rsidR="0038750A" w:rsidRPr="00585942" w:rsidP="0038750A">
      <w:pPr>
        <w:rPr>
          <w:b/>
          <w:color w:val="000000"/>
          <w:szCs w:val="22"/>
        </w:rPr>
      </w:pPr>
      <w:r w:rsidRPr="00585942">
        <w:rPr>
          <w:b/>
          <w:color w:val="000000"/>
          <w:szCs w:val="22"/>
        </w:rPr>
        <w:t>A.</w:t>
      </w:r>
      <w:r w:rsidRPr="00585942">
        <w:rPr>
          <w:b/>
          <w:color w:val="000000"/>
          <w:szCs w:val="22"/>
        </w:rPr>
        <w:tab/>
        <w:t>International</w:t>
      </w:r>
    </w:p>
    <w:p w:rsidR="0038750A" w:rsidRPr="0022664E" w:rsidP="0038750A">
      <w:pPr>
        <w:rPr>
          <w:color w:val="000000"/>
          <w:szCs w:val="22"/>
        </w:rPr>
      </w:pPr>
    </w:p>
    <w:p w:rsidR="0038750A" w:rsidRPr="0022664E" w:rsidP="0038750A">
      <w:pPr>
        <w:rPr>
          <w:color w:val="000000"/>
          <w:szCs w:val="22"/>
        </w:rPr>
      </w:pPr>
      <w:bookmarkStart w:id="16" w:name="_Hlk1664737"/>
      <w:r w:rsidRPr="0022664E">
        <w:rPr>
          <w:color w:val="000000"/>
          <w:szCs w:val="22"/>
        </w:rPr>
        <w:t>The applications for consent to the transfer of control of certain international section 214 authorizations have been assigned the file numbers listed below.</w:t>
      </w:r>
    </w:p>
    <w:bookmarkEnd w:id="16"/>
    <w:p w:rsidR="0038750A" w:rsidRPr="0022664E" w:rsidP="0038750A">
      <w:pPr>
        <w:rPr>
          <w:color w:val="000000"/>
          <w:szCs w:val="22"/>
        </w:rPr>
      </w:pPr>
    </w:p>
    <w:tbl>
      <w:tblPr>
        <w:tblW w:w="9738" w:type="dxa"/>
        <w:tblLook w:val="01E0"/>
      </w:tblPr>
      <w:tblGrid>
        <w:gridCol w:w="2880"/>
        <w:gridCol w:w="3888"/>
        <w:gridCol w:w="2970"/>
      </w:tblGrid>
      <w:tr w:rsidTr="00A67047">
        <w:tblPrEx>
          <w:tblW w:w="9738" w:type="dxa"/>
          <w:tblLook w:val="01E0"/>
        </w:tblPrEx>
        <w:tc>
          <w:tcPr>
            <w:tcW w:w="2880" w:type="dxa"/>
          </w:tcPr>
          <w:p w:rsidR="0038750A" w:rsidRPr="00B77496" w:rsidP="0038750A">
            <w:pPr>
              <w:rPr>
                <w:b/>
                <w:bCs/>
                <w:color w:val="000000"/>
                <w:szCs w:val="22"/>
              </w:rPr>
            </w:pPr>
            <w:bookmarkStart w:id="17" w:name="_Hlk1656452"/>
            <w:bookmarkStart w:id="18" w:name="_Hlk62751682"/>
            <w:r w:rsidRPr="00B77496">
              <w:rPr>
                <w:b/>
                <w:bCs/>
                <w:color w:val="000000"/>
                <w:szCs w:val="22"/>
                <w:u w:val="single"/>
              </w:rPr>
              <w:t>File Number</w:t>
            </w:r>
          </w:p>
        </w:tc>
        <w:tc>
          <w:tcPr>
            <w:tcW w:w="3888" w:type="dxa"/>
          </w:tcPr>
          <w:p w:rsidR="0038750A" w:rsidRPr="00B77496" w:rsidP="0038750A">
            <w:pPr>
              <w:rPr>
                <w:b/>
                <w:bCs/>
                <w:color w:val="000000"/>
                <w:szCs w:val="22"/>
              </w:rPr>
            </w:pPr>
            <w:r w:rsidRPr="00B77496">
              <w:rPr>
                <w:b/>
                <w:bCs/>
                <w:color w:val="000000"/>
                <w:szCs w:val="22"/>
                <w:u w:val="single"/>
              </w:rPr>
              <w:t>Authorization Holder</w:t>
            </w:r>
          </w:p>
        </w:tc>
        <w:tc>
          <w:tcPr>
            <w:tcW w:w="2970" w:type="dxa"/>
          </w:tcPr>
          <w:p w:rsidR="0038750A" w:rsidRPr="00B77496" w:rsidP="0038750A">
            <w:pPr>
              <w:rPr>
                <w:b/>
                <w:bCs/>
                <w:color w:val="000000"/>
                <w:szCs w:val="22"/>
                <w:u w:val="single"/>
              </w:rPr>
            </w:pPr>
            <w:r w:rsidRPr="00B77496">
              <w:rPr>
                <w:b/>
                <w:bCs/>
                <w:color w:val="000000"/>
                <w:szCs w:val="22"/>
                <w:u w:val="single"/>
              </w:rPr>
              <w:t>Authorization Number</w:t>
            </w:r>
          </w:p>
          <w:p w:rsidR="0038750A" w:rsidRPr="0022664E" w:rsidP="0038750A">
            <w:pPr>
              <w:rPr>
                <w:color w:val="000000"/>
                <w:szCs w:val="22"/>
                <w:u w:val="single"/>
              </w:rPr>
            </w:pPr>
          </w:p>
        </w:tc>
      </w:tr>
      <w:bookmarkEnd w:id="17"/>
      <w:tr w:rsidTr="00A67047">
        <w:tblPrEx>
          <w:tblW w:w="9738" w:type="dxa"/>
          <w:tblLook w:val="01E0"/>
        </w:tblPrEx>
        <w:tc>
          <w:tcPr>
            <w:tcW w:w="2880" w:type="dxa"/>
          </w:tcPr>
          <w:p w:rsidR="004E26B5" w:rsidRPr="00704B2F" w:rsidP="00321FD3">
            <w:pPr>
              <w:rPr>
                <w:color w:val="000000"/>
                <w:szCs w:val="22"/>
                <w:highlight w:val="yellow"/>
              </w:rPr>
            </w:pPr>
            <w:r w:rsidRPr="008D3514">
              <w:rPr>
                <w:color w:val="000000"/>
                <w:szCs w:val="22"/>
              </w:rPr>
              <w:t>ITC-</w:t>
            </w:r>
            <w:r w:rsidR="0019574C">
              <w:t xml:space="preserve">T/C-20210121-00013 </w:t>
            </w:r>
            <w:r w:rsidR="00D04654">
              <w:rPr>
                <w:color w:val="000000"/>
                <w:szCs w:val="22"/>
              </w:rPr>
              <w:t xml:space="preserve"> </w:t>
            </w:r>
          </w:p>
        </w:tc>
        <w:tc>
          <w:tcPr>
            <w:tcW w:w="3888" w:type="dxa"/>
          </w:tcPr>
          <w:p w:rsidR="004E26B5" w:rsidRPr="0022664E" w:rsidP="004E26B5">
            <w:pPr>
              <w:rPr>
                <w:color w:val="000000"/>
                <w:szCs w:val="22"/>
              </w:rPr>
            </w:pPr>
            <w:r>
              <w:rPr>
                <w:color w:val="000000"/>
                <w:szCs w:val="22"/>
              </w:rPr>
              <w:t>ACS Long Distance, LLC</w:t>
            </w:r>
          </w:p>
        </w:tc>
        <w:tc>
          <w:tcPr>
            <w:tcW w:w="2970" w:type="dxa"/>
          </w:tcPr>
          <w:p w:rsidR="004E26B5" w:rsidRPr="00704B2F" w:rsidP="004E26B5">
            <w:pPr>
              <w:rPr>
                <w:color w:val="000000"/>
                <w:szCs w:val="22"/>
                <w:highlight w:val="yellow"/>
              </w:rPr>
            </w:pPr>
            <w:r w:rsidRPr="008D3514">
              <w:rPr>
                <w:color w:val="000000"/>
                <w:szCs w:val="22"/>
              </w:rPr>
              <w:t>ITC-214-</w:t>
            </w:r>
            <w:r w:rsidR="0019574C">
              <w:rPr>
                <w:color w:val="000000"/>
                <w:szCs w:val="22"/>
              </w:rPr>
              <w:t>19960612-00248</w:t>
            </w:r>
          </w:p>
        </w:tc>
      </w:tr>
      <w:tr w:rsidTr="00A67047">
        <w:tblPrEx>
          <w:tblW w:w="9738" w:type="dxa"/>
          <w:tblLook w:val="01E0"/>
        </w:tblPrEx>
        <w:tc>
          <w:tcPr>
            <w:tcW w:w="2880" w:type="dxa"/>
          </w:tcPr>
          <w:p w:rsidR="004E26B5" w:rsidRPr="00704B2F" w:rsidP="004E26B5">
            <w:pPr>
              <w:rPr>
                <w:color w:val="000000"/>
                <w:szCs w:val="22"/>
                <w:highlight w:val="yellow"/>
              </w:rPr>
            </w:pPr>
            <w:bookmarkStart w:id="19" w:name="_Hlk12362083"/>
            <w:r>
              <w:t xml:space="preserve">ITC-T/C-20210121-00014 </w:t>
            </w:r>
          </w:p>
        </w:tc>
        <w:tc>
          <w:tcPr>
            <w:tcW w:w="3888" w:type="dxa"/>
          </w:tcPr>
          <w:p w:rsidR="004E26B5" w:rsidRPr="0022664E" w:rsidP="004E26B5">
            <w:pPr>
              <w:rPr>
                <w:color w:val="000000"/>
                <w:szCs w:val="22"/>
              </w:rPr>
            </w:pPr>
            <w:r>
              <w:rPr>
                <w:color w:val="000000"/>
                <w:szCs w:val="22"/>
              </w:rPr>
              <w:t>Northstar License Corporation</w:t>
            </w:r>
          </w:p>
        </w:tc>
        <w:tc>
          <w:tcPr>
            <w:tcW w:w="2970" w:type="dxa"/>
          </w:tcPr>
          <w:p w:rsidR="004E26B5" w:rsidRPr="00704B2F" w:rsidP="004E26B5">
            <w:pPr>
              <w:rPr>
                <w:color w:val="000000"/>
                <w:szCs w:val="22"/>
                <w:highlight w:val="yellow"/>
              </w:rPr>
            </w:pPr>
            <w:r w:rsidRPr="008D3514">
              <w:rPr>
                <w:color w:val="000000"/>
                <w:szCs w:val="22"/>
              </w:rPr>
              <w:t>ITC-</w:t>
            </w:r>
            <w:r>
              <w:rPr>
                <w:color w:val="000000"/>
                <w:szCs w:val="22"/>
              </w:rPr>
              <w:t>214</w:t>
            </w:r>
            <w:r w:rsidRPr="008D3514">
              <w:rPr>
                <w:color w:val="000000"/>
                <w:szCs w:val="22"/>
              </w:rPr>
              <w:t>-</w:t>
            </w:r>
            <w:r>
              <w:rPr>
                <w:color w:val="000000"/>
                <w:szCs w:val="22"/>
              </w:rPr>
              <w:t>20000330-00209</w:t>
            </w:r>
          </w:p>
        </w:tc>
      </w:tr>
      <w:bookmarkEnd w:id="19"/>
      <w:tr w:rsidTr="007C3463">
        <w:tblPrEx>
          <w:tblW w:w="9738" w:type="dxa"/>
          <w:tblLook w:val="01E0"/>
        </w:tblPrEx>
        <w:tc>
          <w:tcPr>
            <w:tcW w:w="2880" w:type="dxa"/>
          </w:tcPr>
          <w:p w:rsidR="004E26B5" w:rsidP="004E26B5">
            <w:pPr>
              <w:rPr>
                <w:color w:val="000000"/>
                <w:szCs w:val="22"/>
                <w:highlight w:val="yellow"/>
              </w:rPr>
            </w:pPr>
          </w:p>
          <w:p w:rsidR="007A7240" w:rsidRPr="00704B2F" w:rsidP="004E26B5">
            <w:pPr>
              <w:rPr>
                <w:color w:val="000000"/>
                <w:szCs w:val="22"/>
                <w:highlight w:val="yellow"/>
              </w:rPr>
            </w:pPr>
          </w:p>
        </w:tc>
        <w:tc>
          <w:tcPr>
            <w:tcW w:w="3888" w:type="dxa"/>
          </w:tcPr>
          <w:p w:rsidR="004E26B5" w:rsidRPr="0022664E" w:rsidP="004E26B5">
            <w:pPr>
              <w:rPr>
                <w:color w:val="000000"/>
                <w:szCs w:val="22"/>
              </w:rPr>
            </w:pPr>
          </w:p>
        </w:tc>
        <w:tc>
          <w:tcPr>
            <w:tcW w:w="2970" w:type="dxa"/>
          </w:tcPr>
          <w:p w:rsidR="004E26B5" w:rsidRPr="00704B2F" w:rsidP="004E26B5">
            <w:pPr>
              <w:rPr>
                <w:color w:val="000000"/>
                <w:szCs w:val="22"/>
                <w:highlight w:val="yellow"/>
              </w:rPr>
            </w:pPr>
          </w:p>
        </w:tc>
      </w:tr>
    </w:tbl>
    <w:bookmarkEnd w:id="18"/>
    <w:p w:rsidR="0038750A" w:rsidRPr="00585942" w:rsidP="0038750A">
      <w:pPr>
        <w:rPr>
          <w:b/>
          <w:color w:val="000000"/>
          <w:szCs w:val="22"/>
        </w:rPr>
      </w:pPr>
      <w:r w:rsidRPr="00585942">
        <w:rPr>
          <w:b/>
          <w:color w:val="000000"/>
          <w:szCs w:val="22"/>
        </w:rPr>
        <w:t>B.</w:t>
      </w:r>
      <w:r w:rsidRPr="00585942">
        <w:rPr>
          <w:b/>
          <w:color w:val="000000"/>
          <w:szCs w:val="22"/>
        </w:rPr>
        <w:tab/>
        <w:t>Domestic</w:t>
      </w:r>
    </w:p>
    <w:p w:rsidR="0038750A" w:rsidRPr="0022664E" w:rsidP="0038750A">
      <w:pPr>
        <w:rPr>
          <w:color w:val="000000"/>
          <w:szCs w:val="22"/>
        </w:rPr>
      </w:pPr>
    </w:p>
    <w:p w:rsidR="0038750A" w:rsidRPr="0022664E" w:rsidP="0038750A">
      <w:pPr>
        <w:rPr>
          <w:color w:val="000000"/>
          <w:szCs w:val="22"/>
        </w:rPr>
      </w:pPr>
      <w:r w:rsidRPr="0022664E">
        <w:rPr>
          <w:color w:val="000000"/>
          <w:szCs w:val="22"/>
        </w:rPr>
        <w:t>Applicants filed an application to transfer control of domestic section 214 authority in connection with the proposed transaction</w:t>
      </w:r>
      <w:r w:rsidRPr="008E581F">
        <w:rPr>
          <w:color w:val="000000"/>
          <w:szCs w:val="22"/>
        </w:rPr>
        <w:t>.</w:t>
      </w:r>
      <w:bookmarkStart w:id="20" w:name="sp_999_4"/>
      <w:bookmarkStart w:id="21" w:name="SDU_4"/>
      <w:bookmarkStart w:id="22" w:name="citeas((Cite_as:_26_F.C.C.R._13372,_*133"/>
      <w:bookmarkEnd w:id="20"/>
      <w:bookmarkEnd w:id="21"/>
      <w:bookmarkEnd w:id="22"/>
      <w:r w:rsidRPr="008E581F">
        <w:rPr>
          <w:color w:val="000000"/>
          <w:szCs w:val="22"/>
        </w:rPr>
        <w:t xml:space="preserve">  </w:t>
      </w:r>
      <w:r w:rsidRPr="00B62EDB">
        <w:rPr>
          <w:color w:val="000000"/>
          <w:szCs w:val="22"/>
        </w:rPr>
        <w:t>In light of</w:t>
      </w:r>
      <w:r w:rsidRPr="00B62EDB">
        <w:rPr>
          <w:color w:val="000000"/>
          <w:szCs w:val="22"/>
        </w:rPr>
        <w:t xml:space="preserve"> the multiple applications pending before the Commission with respect to this transaction and the public interest review associated with them, the </w:t>
      </w:r>
      <w:r w:rsidR="00235E4B">
        <w:rPr>
          <w:color w:val="000000"/>
          <w:szCs w:val="22"/>
        </w:rPr>
        <w:t>domestic transfer of control application</w:t>
      </w:r>
      <w:r w:rsidRPr="00B62EDB">
        <w:rPr>
          <w:color w:val="000000"/>
          <w:szCs w:val="22"/>
        </w:rPr>
        <w:t xml:space="preserve"> </w:t>
      </w:r>
      <w:r w:rsidR="00235E4B">
        <w:rPr>
          <w:color w:val="000000"/>
          <w:szCs w:val="22"/>
        </w:rPr>
        <w:t xml:space="preserve">is </w:t>
      </w:r>
      <w:r w:rsidRPr="00B62EDB">
        <w:rPr>
          <w:color w:val="000000"/>
          <w:szCs w:val="22"/>
        </w:rPr>
        <w:t>not subject to streamlined treatment.</w:t>
      </w:r>
      <w:r>
        <w:rPr>
          <w:color w:val="000000"/>
          <w:szCs w:val="22"/>
          <w:vertAlign w:val="superscript"/>
        </w:rPr>
        <w:footnoteReference w:id="35"/>
      </w:r>
      <w:r w:rsidRPr="00B62EDB" w:rsidR="00CD125D">
        <w:rPr>
          <w:color w:val="000000"/>
          <w:szCs w:val="22"/>
        </w:rPr>
        <w:t xml:space="preserve"> </w:t>
      </w:r>
    </w:p>
    <w:tbl>
      <w:tblPr>
        <w:tblW w:w="9744" w:type="dxa"/>
        <w:tblLook w:val="01E0"/>
      </w:tblPr>
      <w:tblGrid>
        <w:gridCol w:w="2882"/>
        <w:gridCol w:w="3890"/>
        <w:gridCol w:w="2972"/>
      </w:tblGrid>
      <w:tr w:rsidTr="00A67047">
        <w:tblPrEx>
          <w:tblW w:w="9744" w:type="dxa"/>
          <w:tblLook w:val="01E0"/>
        </w:tblPrEx>
        <w:trPr>
          <w:trHeight w:val="297"/>
        </w:trPr>
        <w:tc>
          <w:tcPr>
            <w:tcW w:w="2882" w:type="dxa"/>
          </w:tcPr>
          <w:p w:rsidR="0038750A" w:rsidRPr="0022664E" w:rsidP="0038750A">
            <w:pPr>
              <w:rPr>
                <w:color w:val="000000"/>
                <w:szCs w:val="22"/>
              </w:rPr>
            </w:pPr>
          </w:p>
        </w:tc>
        <w:tc>
          <w:tcPr>
            <w:tcW w:w="3890" w:type="dxa"/>
          </w:tcPr>
          <w:p w:rsidR="0038750A" w:rsidRPr="0022664E" w:rsidP="0038750A">
            <w:pPr>
              <w:rPr>
                <w:color w:val="000000"/>
                <w:szCs w:val="22"/>
              </w:rPr>
            </w:pPr>
          </w:p>
        </w:tc>
        <w:tc>
          <w:tcPr>
            <w:tcW w:w="2972" w:type="dxa"/>
          </w:tcPr>
          <w:p w:rsidR="0038750A" w:rsidRPr="0022664E" w:rsidP="0038750A">
            <w:pPr>
              <w:rPr>
                <w:color w:val="000000"/>
                <w:szCs w:val="22"/>
              </w:rPr>
            </w:pPr>
          </w:p>
        </w:tc>
      </w:tr>
    </w:tbl>
    <w:p w:rsidR="0038750A" w:rsidRPr="0022664E" w:rsidP="0038750A">
      <w:pPr>
        <w:rPr>
          <w:color w:val="000000"/>
          <w:szCs w:val="22"/>
        </w:rPr>
      </w:pPr>
    </w:p>
    <w:p w:rsidR="008C77CA" w:rsidRPr="008C77CA" w:rsidP="008C77CA">
      <w:pPr>
        <w:widowControl w:val="0"/>
        <w:rPr>
          <w:b/>
          <w:snapToGrid w:val="0"/>
          <w:color w:val="000000"/>
          <w:kern w:val="28"/>
          <w:szCs w:val="22"/>
        </w:rPr>
      </w:pPr>
      <w:r w:rsidRPr="008C77CA">
        <w:rPr>
          <w:b/>
          <w:snapToGrid w:val="0"/>
          <w:color w:val="000000"/>
          <w:kern w:val="28"/>
          <w:szCs w:val="22"/>
        </w:rPr>
        <w:t>CABLE LANDING LICENSES</w:t>
      </w:r>
    </w:p>
    <w:p w:rsidR="008C77CA" w:rsidRPr="008C77CA" w:rsidP="008C77CA">
      <w:pPr>
        <w:widowControl w:val="0"/>
        <w:rPr>
          <w:b/>
          <w:snapToGrid w:val="0"/>
          <w:color w:val="000000"/>
          <w:kern w:val="28"/>
          <w:szCs w:val="22"/>
        </w:rPr>
      </w:pPr>
      <w:r w:rsidRPr="008C77CA">
        <w:rPr>
          <w:b/>
          <w:snapToGrid w:val="0"/>
          <w:color w:val="000000"/>
          <w:kern w:val="28"/>
          <w:szCs w:val="22"/>
        </w:rPr>
        <w:tab/>
      </w:r>
    </w:p>
    <w:tbl>
      <w:tblPr>
        <w:tblW w:w="9738" w:type="dxa"/>
        <w:tblLook w:val="01E0"/>
      </w:tblPr>
      <w:tblGrid>
        <w:gridCol w:w="2880"/>
        <w:gridCol w:w="3888"/>
        <w:gridCol w:w="2970"/>
      </w:tblGrid>
      <w:tr w:rsidTr="5210E296">
        <w:tblPrEx>
          <w:tblW w:w="9738" w:type="dxa"/>
          <w:tblLook w:val="01E0"/>
        </w:tblPrEx>
        <w:tc>
          <w:tcPr>
            <w:tcW w:w="2880" w:type="dxa"/>
          </w:tcPr>
          <w:p w:rsidR="008C77CA" w:rsidRPr="008C77CA" w:rsidP="008C77CA">
            <w:pPr>
              <w:widowControl w:val="0"/>
              <w:rPr>
                <w:b/>
                <w:snapToGrid w:val="0"/>
                <w:color w:val="000000"/>
                <w:kern w:val="28"/>
                <w:szCs w:val="22"/>
              </w:rPr>
            </w:pPr>
            <w:r w:rsidRPr="008C77CA">
              <w:rPr>
                <w:b/>
                <w:snapToGrid w:val="0"/>
                <w:color w:val="000000"/>
                <w:kern w:val="28"/>
                <w:szCs w:val="22"/>
                <w:u w:val="single"/>
              </w:rPr>
              <w:t>File Number</w:t>
            </w:r>
          </w:p>
        </w:tc>
        <w:tc>
          <w:tcPr>
            <w:tcW w:w="3888" w:type="dxa"/>
          </w:tcPr>
          <w:p w:rsidR="008C77CA" w:rsidRPr="008C77CA" w:rsidP="008C77CA">
            <w:pPr>
              <w:widowControl w:val="0"/>
              <w:rPr>
                <w:b/>
                <w:snapToGrid w:val="0"/>
                <w:color w:val="000000"/>
                <w:kern w:val="28"/>
                <w:szCs w:val="22"/>
                <w:u w:val="single"/>
              </w:rPr>
            </w:pPr>
            <w:r w:rsidRPr="008C77CA">
              <w:rPr>
                <w:b/>
                <w:snapToGrid w:val="0"/>
                <w:color w:val="000000"/>
                <w:kern w:val="28"/>
                <w:szCs w:val="22"/>
                <w:u w:val="single"/>
              </w:rPr>
              <w:t>Licensee</w:t>
            </w:r>
          </w:p>
        </w:tc>
        <w:tc>
          <w:tcPr>
            <w:tcW w:w="2970" w:type="dxa"/>
          </w:tcPr>
          <w:p w:rsidR="008C77CA" w:rsidRPr="008C77CA" w:rsidP="008C77CA">
            <w:pPr>
              <w:widowControl w:val="0"/>
              <w:rPr>
                <w:b/>
                <w:snapToGrid w:val="0"/>
                <w:color w:val="000000"/>
                <w:kern w:val="28"/>
                <w:szCs w:val="22"/>
                <w:u w:val="single"/>
              </w:rPr>
            </w:pPr>
            <w:r w:rsidRPr="008C77CA">
              <w:rPr>
                <w:b/>
                <w:snapToGrid w:val="0"/>
                <w:color w:val="000000"/>
                <w:kern w:val="28"/>
                <w:szCs w:val="22"/>
                <w:u w:val="single"/>
              </w:rPr>
              <w:t>License Number</w:t>
            </w:r>
          </w:p>
          <w:p w:rsidR="008C77CA" w:rsidRPr="008C77CA" w:rsidP="008C77CA">
            <w:pPr>
              <w:widowControl w:val="0"/>
              <w:rPr>
                <w:b/>
                <w:snapToGrid w:val="0"/>
                <w:color w:val="000000"/>
                <w:kern w:val="28"/>
                <w:szCs w:val="22"/>
                <w:u w:val="single"/>
              </w:rPr>
            </w:pPr>
          </w:p>
        </w:tc>
      </w:tr>
      <w:tr w:rsidTr="5210E296">
        <w:tblPrEx>
          <w:tblW w:w="9738" w:type="dxa"/>
          <w:tblLook w:val="01E0"/>
        </w:tblPrEx>
        <w:tc>
          <w:tcPr>
            <w:tcW w:w="2880" w:type="dxa"/>
          </w:tcPr>
          <w:p w:rsidR="008C77CA" w:rsidRPr="008C77CA" w:rsidP="009C6209">
            <w:pPr>
              <w:widowControl w:val="0"/>
              <w:rPr>
                <w:snapToGrid w:val="0"/>
                <w:color w:val="000000"/>
                <w:kern w:val="28"/>
                <w:szCs w:val="22"/>
              </w:rPr>
            </w:pPr>
            <w:r w:rsidRPr="00AA5C4E">
              <w:rPr>
                <w:snapToGrid w:val="0"/>
                <w:color w:val="000000"/>
                <w:kern w:val="28"/>
                <w:szCs w:val="22"/>
              </w:rPr>
              <w:t xml:space="preserve">SCL-T/C-20210120-00005 </w:t>
            </w:r>
          </w:p>
        </w:tc>
        <w:tc>
          <w:tcPr>
            <w:tcW w:w="3888" w:type="dxa"/>
          </w:tcPr>
          <w:p w:rsidR="008C77CA" w:rsidRPr="008C77CA" w:rsidP="008C77CA">
            <w:pPr>
              <w:widowControl w:val="0"/>
              <w:rPr>
                <w:snapToGrid w:val="0"/>
                <w:color w:val="000000"/>
                <w:kern w:val="28"/>
                <w:szCs w:val="22"/>
              </w:rPr>
            </w:pPr>
            <w:r>
              <w:rPr>
                <w:snapToGrid w:val="0"/>
                <w:color w:val="000000"/>
                <w:kern w:val="28"/>
                <w:szCs w:val="22"/>
              </w:rPr>
              <w:t>ACS Cable Systems, LLC</w:t>
            </w:r>
          </w:p>
          <w:p w:rsidR="008C77CA" w:rsidRPr="008C77CA" w:rsidP="008C77CA">
            <w:pPr>
              <w:widowControl w:val="0"/>
              <w:rPr>
                <w:snapToGrid w:val="0"/>
                <w:color w:val="000000"/>
                <w:kern w:val="28"/>
                <w:szCs w:val="22"/>
              </w:rPr>
            </w:pPr>
          </w:p>
        </w:tc>
        <w:tc>
          <w:tcPr>
            <w:tcW w:w="2970" w:type="dxa"/>
          </w:tcPr>
          <w:p w:rsidR="009C6209" w:rsidRPr="008C77CA" w:rsidP="009C6209">
            <w:pPr>
              <w:widowControl w:val="0"/>
              <w:rPr>
                <w:snapToGrid w:val="0"/>
                <w:color w:val="000000"/>
                <w:kern w:val="28"/>
                <w:szCs w:val="22"/>
              </w:rPr>
            </w:pPr>
            <w:r w:rsidRPr="008C77CA">
              <w:rPr>
                <w:snapToGrid w:val="0"/>
                <w:color w:val="000000"/>
                <w:kern w:val="28"/>
                <w:szCs w:val="22"/>
              </w:rPr>
              <w:t>SCL-</w:t>
            </w:r>
            <w:r>
              <w:rPr>
                <w:snapToGrid w:val="0"/>
                <w:color w:val="000000"/>
                <w:kern w:val="28"/>
                <w:szCs w:val="22"/>
              </w:rPr>
              <w:t>LIC</w:t>
            </w:r>
            <w:r w:rsidRPr="008C77CA">
              <w:rPr>
                <w:snapToGrid w:val="0"/>
                <w:color w:val="000000"/>
                <w:kern w:val="28"/>
                <w:szCs w:val="22"/>
              </w:rPr>
              <w:t>-</w:t>
            </w:r>
            <w:r>
              <w:rPr>
                <w:snapToGrid w:val="0"/>
                <w:color w:val="000000"/>
                <w:kern w:val="28"/>
                <w:szCs w:val="22"/>
              </w:rPr>
              <w:t xml:space="preserve">20071025-00018 </w:t>
            </w:r>
          </w:p>
          <w:p w:rsidR="00271386" w:rsidRPr="008C77CA" w:rsidP="0042427B">
            <w:pPr>
              <w:widowControl w:val="0"/>
              <w:rPr>
                <w:snapToGrid w:val="0"/>
                <w:color w:val="000000"/>
                <w:kern w:val="28"/>
                <w:szCs w:val="22"/>
              </w:rPr>
            </w:pPr>
          </w:p>
        </w:tc>
      </w:tr>
      <w:tr w:rsidTr="5210E296">
        <w:tblPrEx>
          <w:tblW w:w="9738" w:type="dxa"/>
          <w:tblLook w:val="01E0"/>
        </w:tblPrEx>
        <w:tc>
          <w:tcPr>
            <w:tcW w:w="2880" w:type="dxa"/>
          </w:tcPr>
          <w:p w:rsidR="5210E296" w:rsidRPr="007834A3" w:rsidP="5210E296">
            <w:pPr>
              <w:rPr>
                <w:color w:val="000000"/>
              </w:rPr>
            </w:pPr>
            <w:r w:rsidRPr="007834A3">
              <w:rPr>
                <w:color w:val="000000"/>
              </w:rPr>
              <w:t>SCL-T/C-20210120-00003</w:t>
            </w:r>
          </w:p>
          <w:p w:rsidR="003E4FA0" w:rsidRPr="008C77CA" w:rsidP="5210E296">
            <w:pPr>
              <w:widowControl w:val="0"/>
              <w:rPr>
                <w:snapToGrid w:val="0"/>
                <w:color w:val="000000"/>
                <w:kern w:val="28"/>
              </w:rPr>
            </w:pPr>
          </w:p>
        </w:tc>
        <w:tc>
          <w:tcPr>
            <w:tcW w:w="3888" w:type="dxa"/>
          </w:tcPr>
          <w:p w:rsidR="003E4FA0" w:rsidP="008C77CA">
            <w:pPr>
              <w:widowControl w:val="0"/>
              <w:rPr>
                <w:snapToGrid w:val="0"/>
                <w:color w:val="000000"/>
                <w:kern w:val="28"/>
                <w:szCs w:val="22"/>
              </w:rPr>
            </w:pPr>
            <w:r>
              <w:rPr>
                <w:snapToGrid w:val="0"/>
                <w:color w:val="000000"/>
                <w:kern w:val="28"/>
                <w:szCs w:val="22"/>
              </w:rPr>
              <w:t>Northstar License Corporation</w:t>
            </w:r>
          </w:p>
        </w:tc>
        <w:tc>
          <w:tcPr>
            <w:tcW w:w="2970" w:type="dxa"/>
          </w:tcPr>
          <w:p w:rsidR="0019574C" w:rsidRPr="00D1496E" w:rsidP="5210E296">
            <w:pPr>
              <w:widowControl w:val="0"/>
              <w:rPr>
                <w:color w:val="000000"/>
                <w:szCs w:val="22"/>
              </w:rPr>
            </w:pPr>
            <w:r w:rsidRPr="00565608">
              <w:rPr>
                <w:color w:val="000000"/>
                <w:szCs w:val="22"/>
              </w:rPr>
              <w:t>SCL-MOD-20020725-0009</w:t>
            </w:r>
            <w:r w:rsidRPr="00D1496E">
              <w:rPr>
                <w:color w:val="000000"/>
                <w:szCs w:val="22"/>
              </w:rPr>
              <w:t>0</w:t>
            </w:r>
          </w:p>
          <w:p w:rsidR="00565608" w:rsidRPr="00D1496E" w:rsidP="5210E296">
            <w:pPr>
              <w:widowControl w:val="0"/>
              <w:rPr>
                <w:color w:val="000000"/>
                <w:szCs w:val="22"/>
              </w:rPr>
            </w:pPr>
            <w:r w:rsidRPr="00D1496E">
              <w:rPr>
                <w:color w:val="000000"/>
                <w:szCs w:val="22"/>
              </w:rPr>
              <w:t>SCL-LIC-19940617-00002</w:t>
            </w:r>
          </w:p>
          <w:p w:rsidR="003E4FA0" w:rsidRPr="008C77CA" w:rsidP="5210E296">
            <w:pPr>
              <w:widowControl w:val="0"/>
              <w:rPr>
                <w:snapToGrid w:val="0"/>
                <w:color w:val="000000"/>
                <w:kern w:val="28"/>
              </w:rPr>
            </w:pPr>
            <w:r w:rsidRPr="00565608">
              <w:rPr>
                <w:color w:val="000000"/>
                <w:szCs w:val="22"/>
              </w:rPr>
              <w:t xml:space="preserve">SCL-MOD-20020725-00091 </w:t>
            </w:r>
            <w:r w:rsidRPr="00D1496E">
              <w:rPr>
                <w:color w:val="000000"/>
                <w:szCs w:val="22"/>
              </w:rPr>
              <w:t>SCL-LIC-19960308-00001</w:t>
            </w:r>
          </w:p>
        </w:tc>
      </w:tr>
    </w:tbl>
    <w:p w:rsidR="0038197E" w:rsidP="008C77CA">
      <w:pPr>
        <w:widowControl w:val="0"/>
        <w:rPr>
          <w:b/>
          <w:snapToGrid w:val="0"/>
          <w:color w:val="000000"/>
          <w:kern w:val="28"/>
          <w:szCs w:val="22"/>
        </w:rPr>
      </w:pPr>
    </w:p>
    <w:p w:rsidR="008A2F9F" w:rsidP="008C77CA">
      <w:pPr>
        <w:widowControl w:val="0"/>
        <w:rPr>
          <w:b/>
          <w:snapToGrid w:val="0"/>
          <w:color w:val="000000"/>
          <w:kern w:val="28"/>
          <w:szCs w:val="22"/>
        </w:rPr>
      </w:pPr>
    </w:p>
    <w:p w:rsidR="00A142DA" w:rsidP="008C77CA">
      <w:pPr>
        <w:widowControl w:val="0"/>
        <w:rPr>
          <w:b/>
          <w:snapToGrid w:val="0"/>
          <w:color w:val="000000"/>
          <w:kern w:val="28"/>
          <w:szCs w:val="22"/>
        </w:rPr>
      </w:pPr>
      <w:r>
        <w:rPr>
          <w:b/>
          <w:snapToGrid w:val="0"/>
          <w:color w:val="000000"/>
          <w:kern w:val="28"/>
          <w:szCs w:val="22"/>
        </w:rPr>
        <w:t>EARTH STATION LICENSE</w:t>
      </w:r>
    </w:p>
    <w:p w:rsidR="00A142DA" w:rsidP="008C77CA">
      <w:pPr>
        <w:widowControl w:val="0"/>
        <w:rPr>
          <w:b/>
          <w:snapToGrid w:val="0"/>
          <w:color w:val="000000"/>
          <w:kern w:val="28"/>
          <w:szCs w:val="22"/>
        </w:rPr>
      </w:pPr>
    </w:p>
    <w:tbl>
      <w:tblPr>
        <w:tblW w:w="9738" w:type="dxa"/>
        <w:tblLook w:val="01E0"/>
      </w:tblPr>
      <w:tblGrid>
        <w:gridCol w:w="2880"/>
        <w:gridCol w:w="3888"/>
        <w:gridCol w:w="2970"/>
      </w:tblGrid>
      <w:tr w:rsidTr="002722C2">
        <w:tblPrEx>
          <w:tblW w:w="9738" w:type="dxa"/>
          <w:tblLook w:val="01E0"/>
        </w:tblPrEx>
        <w:tc>
          <w:tcPr>
            <w:tcW w:w="2880" w:type="dxa"/>
          </w:tcPr>
          <w:p w:rsidR="00CC57AD" w:rsidRPr="00B77496" w:rsidP="002722C2">
            <w:pPr>
              <w:rPr>
                <w:b/>
                <w:bCs/>
                <w:color w:val="000000"/>
                <w:szCs w:val="22"/>
              </w:rPr>
            </w:pPr>
            <w:r w:rsidRPr="00B77496">
              <w:rPr>
                <w:b/>
                <w:bCs/>
                <w:color w:val="000000"/>
                <w:szCs w:val="22"/>
                <w:u w:val="single"/>
              </w:rPr>
              <w:t>Call Sign</w:t>
            </w:r>
          </w:p>
        </w:tc>
        <w:tc>
          <w:tcPr>
            <w:tcW w:w="3888" w:type="dxa"/>
          </w:tcPr>
          <w:p w:rsidR="00CC57AD" w:rsidRPr="00B77496" w:rsidP="002722C2">
            <w:pPr>
              <w:rPr>
                <w:b/>
                <w:bCs/>
                <w:color w:val="000000"/>
                <w:szCs w:val="22"/>
              </w:rPr>
            </w:pPr>
            <w:r w:rsidRPr="00B77496">
              <w:rPr>
                <w:b/>
                <w:bCs/>
                <w:color w:val="000000"/>
                <w:szCs w:val="22"/>
                <w:u w:val="single"/>
              </w:rPr>
              <w:t>Authorization Holder</w:t>
            </w:r>
          </w:p>
        </w:tc>
        <w:tc>
          <w:tcPr>
            <w:tcW w:w="2970" w:type="dxa"/>
          </w:tcPr>
          <w:p w:rsidR="00CC57AD" w:rsidRPr="00B77496" w:rsidP="002722C2">
            <w:pPr>
              <w:rPr>
                <w:b/>
                <w:bCs/>
                <w:color w:val="000000"/>
                <w:szCs w:val="22"/>
                <w:u w:val="single"/>
              </w:rPr>
            </w:pPr>
            <w:r w:rsidRPr="00B77496">
              <w:rPr>
                <w:b/>
                <w:bCs/>
                <w:color w:val="000000"/>
                <w:szCs w:val="22"/>
                <w:u w:val="single"/>
              </w:rPr>
              <w:t>Authorization Number</w:t>
            </w:r>
          </w:p>
          <w:p w:rsidR="00CC57AD" w:rsidRPr="0022664E" w:rsidP="002722C2">
            <w:pPr>
              <w:rPr>
                <w:color w:val="000000"/>
                <w:szCs w:val="22"/>
                <w:u w:val="single"/>
              </w:rPr>
            </w:pPr>
          </w:p>
        </w:tc>
      </w:tr>
      <w:tr w:rsidTr="002722C2">
        <w:tblPrEx>
          <w:tblW w:w="9738" w:type="dxa"/>
          <w:tblLook w:val="01E0"/>
        </w:tblPrEx>
        <w:tc>
          <w:tcPr>
            <w:tcW w:w="2880" w:type="dxa"/>
          </w:tcPr>
          <w:p w:rsidR="00CC57AD" w:rsidRPr="00704B2F" w:rsidP="002722C2">
            <w:pPr>
              <w:rPr>
                <w:color w:val="000000"/>
                <w:szCs w:val="22"/>
                <w:highlight w:val="yellow"/>
              </w:rPr>
            </w:pPr>
            <w:r>
              <w:rPr>
                <w:color w:val="000000"/>
                <w:szCs w:val="22"/>
              </w:rPr>
              <w:t>E170205</w:t>
            </w:r>
            <w:r>
              <w:rPr>
                <w:color w:val="000000"/>
                <w:szCs w:val="22"/>
              </w:rPr>
              <w:t xml:space="preserve"> </w:t>
            </w:r>
          </w:p>
        </w:tc>
        <w:tc>
          <w:tcPr>
            <w:tcW w:w="3888" w:type="dxa"/>
          </w:tcPr>
          <w:p w:rsidR="00CC57AD" w:rsidRPr="0022664E" w:rsidP="002722C2">
            <w:pPr>
              <w:rPr>
                <w:color w:val="000000"/>
                <w:szCs w:val="22"/>
              </w:rPr>
            </w:pPr>
            <w:r>
              <w:rPr>
                <w:color w:val="000000"/>
                <w:szCs w:val="22"/>
              </w:rPr>
              <w:t>A</w:t>
            </w:r>
            <w:r w:rsidR="00586578">
              <w:rPr>
                <w:color w:val="000000"/>
                <w:szCs w:val="22"/>
              </w:rPr>
              <w:t>laska Communications Internet, LLC</w:t>
            </w:r>
          </w:p>
        </w:tc>
        <w:tc>
          <w:tcPr>
            <w:tcW w:w="2970" w:type="dxa"/>
          </w:tcPr>
          <w:p w:rsidR="00CC57AD" w:rsidRPr="00704B2F" w:rsidP="002722C2">
            <w:pPr>
              <w:rPr>
                <w:color w:val="000000"/>
                <w:szCs w:val="22"/>
                <w:highlight w:val="yellow"/>
              </w:rPr>
            </w:pPr>
            <w:r w:rsidRPr="008E2E4C">
              <w:rPr>
                <w:color w:val="000000"/>
                <w:szCs w:val="22"/>
              </w:rPr>
              <w:t>SES-MOD-20190828-01106</w:t>
            </w:r>
          </w:p>
        </w:tc>
      </w:tr>
    </w:tbl>
    <w:p w:rsidR="00BE0C87" w:rsidP="008C77CA">
      <w:pPr>
        <w:widowControl w:val="0"/>
        <w:rPr>
          <w:b/>
          <w:snapToGrid w:val="0"/>
          <w:color w:val="000000"/>
          <w:kern w:val="28"/>
          <w:szCs w:val="22"/>
        </w:rPr>
      </w:pPr>
    </w:p>
    <w:p w:rsidR="008C77CA" w:rsidRPr="008C77CA" w:rsidP="00BE0C87">
      <w:pPr>
        <w:widowControl w:val="0"/>
        <w:rPr>
          <w:b/>
          <w:snapToGrid w:val="0"/>
          <w:color w:val="000000"/>
          <w:kern w:val="28"/>
          <w:szCs w:val="22"/>
        </w:rPr>
      </w:pPr>
      <w:r>
        <w:rPr>
          <w:b/>
          <w:snapToGrid w:val="0"/>
          <w:color w:val="000000"/>
          <w:kern w:val="28"/>
          <w:szCs w:val="22"/>
        </w:rPr>
        <w:br w:type="page"/>
      </w:r>
      <w:r w:rsidRPr="008C77CA" w:rsidR="0065645C">
        <w:rPr>
          <w:b/>
          <w:snapToGrid w:val="0"/>
          <w:color w:val="000000"/>
          <w:kern w:val="28"/>
          <w:szCs w:val="22"/>
        </w:rPr>
        <w:t>SECTION 310(d) APPLICATION</w:t>
      </w:r>
    </w:p>
    <w:tbl>
      <w:tblPr>
        <w:tblW w:w="9738" w:type="dxa"/>
        <w:tblLook w:val="01E0"/>
      </w:tblPr>
      <w:tblGrid>
        <w:gridCol w:w="2880"/>
        <w:gridCol w:w="3888"/>
        <w:gridCol w:w="2970"/>
      </w:tblGrid>
      <w:tr w:rsidTr="008C77CA">
        <w:tblPrEx>
          <w:tblW w:w="9738" w:type="dxa"/>
          <w:tblLook w:val="01E0"/>
        </w:tblPrEx>
        <w:trPr>
          <w:trHeight w:val="669"/>
        </w:trPr>
        <w:tc>
          <w:tcPr>
            <w:tcW w:w="2880" w:type="dxa"/>
          </w:tcPr>
          <w:p w:rsidR="008C77CA" w:rsidRPr="008C77CA" w:rsidP="008C77CA">
            <w:pPr>
              <w:widowControl w:val="0"/>
              <w:rPr>
                <w:b/>
                <w:snapToGrid w:val="0"/>
                <w:color w:val="000000"/>
                <w:kern w:val="28"/>
                <w:szCs w:val="22"/>
              </w:rPr>
            </w:pPr>
            <w:r w:rsidRPr="008C77CA">
              <w:rPr>
                <w:b/>
                <w:snapToGrid w:val="0"/>
                <w:color w:val="000000"/>
                <w:kern w:val="28"/>
                <w:szCs w:val="22"/>
                <w:u w:val="single"/>
              </w:rPr>
              <w:t>File Number</w:t>
            </w:r>
          </w:p>
        </w:tc>
        <w:tc>
          <w:tcPr>
            <w:tcW w:w="3888" w:type="dxa"/>
          </w:tcPr>
          <w:p w:rsidR="008C77CA" w:rsidRPr="008C77CA" w:rsidP="008C77CA">
            <w:pPr>
              <w:widowControl w:val="0"/>
              <w:rPr>
                <w:b/>
                <w:snapToGrid w:val="0"/>
                <w:color w:val="000000"/>
                <w:kern w:val="28"/>
                <w:szCs w:val="22"/>
                <w:u w:val="single"/>
              </w:rPr>
            </w:pPr>
            <w:r w:rsidRPr="008C77CA">
              <w:rPr>
                <w:b/>
                <w:snapToGrid w:val="0"/>
                <w:color w:val="000000"/>
                <w:kern w:val="28"/>
                <w:szCs w:val="22"/>
                <w:u w:val="single"/>
              </w:rPr>
              <w:t>Licensee</w:t>
            </w:r>
          </w:p>
        </w:tc>
        <w:tc>
          <w:tcPr>
            <w:tcW w:w="2970" w:type="dxa"/>
          </w:tcPr>
          <w:p w:rsidR="008C77CA" w:rsidRPr="008C77CA" w:rsidP="008C77CA">
            <w:pPr>
              <w:widowControl w:val="0"/>
              <w:rPr>
                <w:b/>
                <w:snapToGrid w:val="0"/>
                <w:color w:val="000000"/>
                <w:kern w:val="28"/>
                <w:szCs w:val="22"/>
                <w:u w:val="single"/>
              </w:rPr>
            </w:pPr>
            <w:r w:rsidRPr="008C77CA">
              <w:rPr>
                <w:b/>
                <w:snapToGrid w:val="0"/>
                <w:color w:val="000000"/>
                <w:kern w:val="28"/>
                <w:szCs w:val="22"/>
                <w:u w:val="single"/>
              </w:rPr>
              <w:t>Lead Call Sign</w:t>
            </w:r>
          </w:p>
          <w:p w:rsidR="008C77CA" w:rsidRPr="008C77CA" w:rsidP="008C77CA">
            <w:pPr>
              <w:widowControl w:val="0"/>
              <w:rPr>
                <w:b/>
                <w:snapToGrid w:val="0"/>
                <w:color w:val="000000"/>
                <w:kern w:val="28"/>
                <w:szCs w:val="22"/>
                <w:u w:val="single"/>
              </w:rPr>
            </w:pPr>
          </w:p>
        </w:tc>
      </w:tr>
      <w:tr w:rsidTr="00164A7E">
        <w:tblPrEx>
          <w:tblW w:w="9738" w:type="dxa"/>
          <w:tblLook w:val="01E0"/>
        </w:tblPrEx>
        <w:tc>
          <w:tcPr>
            <w:tcW w:w="2880" w:type="dxa"/>
          </w:tcPr>
          <w:p w:rsidR="008C77CA" w:rsidRPr="008C77CA" w:rsidP="008C77CA">
            <w:pPr>
              <w:widowControl w:val="0"/>
              <w:rPr>
                <w:snapToGrid w:val="0"/>
                <w:kern w:val="28"/>
                <w:szCs w:val="22"/>
              </w:rPr>
            </w:pPr>
            <w:r w:rsidRPr="002E3F4D">
              <w:rPr>
                <w:snapToGrid w:val="0"/>
                <w:kern w:val="28"/>
                <w:szCs w:val="22"/>
              </w:rPr>
              <w:t>0009368555</w:t>
            </w:r>
            <w:r>
              <w:rPr>
                <w:rStyle w:val="FootnoteReference"/>
                <w:snapToGrid w:val="0"/>
                <w:kern w:val="28"/>
                <w:szCs w:val="22"/>
              </w:rPr>
              <w:footnoteReference w:id="36"/>
            </w:r>
          </w:p>
        </w:tc>
        <w:tc>
          <w:tcPr>
            <w:tcW w:w="3888" w:type="dxa"/>
          </w:tcPr>
          <w:p w:rsidR="008C77CA" w:rsidRPr="008C77CA" w:rsidP="008C77CA">
            <w:pPr>
              <w:widowControl w:val="0"/>
              <w:rPr>
                <w:snapToGrid w:val="0"/>
                <w:kern w:val="28"/>
                <w:szCs w:val="22"/>
              </w:rPr>
            </w:pPr>
            <w:r>
              <w:t>ACS Wireless License Sub</w:t>
            </w:r>
            <w:r w:rsidR="00F22E2B">
              <w:t>, LLC</w:t>
            </w:r>
          </w:p>
        </w:tc>
        <w:tc>
          <w:tcPr>
            <w:tcW w:w="2970" w:type="dxa"/>
          </w:tcPr>
          <w:p w:rsidR="008C77CA" w:rsidRPr="008C77CA" w:rsidP="008C77CA">
            <w:pPr>
              <w:widowControl w:val="0"/>
              <w:rPr>
                <w:snapToGrid w:val="0"/>
                <w:kern w:val="28"/>
                <w:szCs w:val="22"/>
              </w:rPr>
            </w:pPr>
            <w:r>
              <w:rPr>
                <w:snapToGrid w:val="0"/>
                <w:kern w:val="28"/>
                <w:szCs w:val="22"/>
              </w:rPr>
              <w:t>WMN700</w:t>
            </w:r>
          </w:p>
        </w:tc>
      </w:tr>
      <w:tr w:rsidTr="00164A7E">
        <w:tblPrEx>
          <w:tblW w:w="9738" w:type="dxa"/>
          <w:tblLook w:val="01E0"/>
        </w:tblPrEx>
        <w:tc>
          <w:tcPr>
            <w:tcW w:w="2880" w:type="dxa"/>
          </w:tcPr>
          <w:p w:rsidR="008C77CA" w:rsidRPr="008C77CA" w:rsidP="008C77CA">
            <w:pPr>
              <w:widowControl w:val="0"/>
              <w:rPr>
                <w:snapToGrid w:val="0"/>
                <w:kern w:val="28"/>
                <w:szCs w:val="22"/>
              </w:rPr>
            </w:pPr>
          </w:p>
        </w:tc>
        <w:tc>
          <w:tcPr>
            <w:tcW w:w="3888" w:type="dxa"/>
          </w:tcPr>
          <w:p w:rsidR="008C77CA" w:rsidRPr="008C77CA" w:rsidP="008C77CA">
            <w:pPr>
              <w:widowControl w:val="0"/>
              <w:rPr>
                <w:snapToGrid w:val="0"/>
                <w:kern w:val="28"/>
              </w:rPr>
            </w:pPr>
          </w:p>
        </w:tc>
        <w:tc>
          <w:tcPr>
            <w:tcW w:w="2970" w:type="dxa"/>
          </w:tcPr>
          <w:p w:rsidR="008C77CA" w:rsidRPr="008C77CA" w:rsidP="008C77CA">
            <w:pPr>
              <w:widowControl w:val="0"/>
              <w:rPr>
                <w:snapToGrid w:val="0"/>
                <w:kern w:val="28"/>
              </w:rPr>
            </w:pPr>
          </w:p>
        </w:tc>
      </w:tr>
      <w:tr w:rsidTr="00164A7E">
        <w:tblPrEx>
          <w:tblW w:w="9738" w:type="dxa"/>
          <w:tblLook w:val="01E0"/>
        </w:tblPrEx>
        <w:tc>
          <w:tcPr>
            <w:tcW w:w="2880" w:type="dxa"/>
          </w:tcPr>
          <w:p w:rsidR="008C77CA" w:rsidRPr="008C77CA" w:rsidP="008C77CA">
            <w:pPr>
              <w:widowControl w:val="0"/>
              <w:rPr>
                <w:snapToGrid w:val="0"/>
                <w:kern w:val="28"/>
                <w:szCs w:val="22"/>
              </w:rPr>
            </w:pPr>
            <w:r w:rsidRPr="002E3F4D">
              <w:rPr>
                <w:snapToGrid w:val="0"/>
                <w:kern w:val="28"/>
                <w:szCs w:val="22"/>
              </w:rPr>
              <w:t>0009370199</w:t>
            </w:r>
          </w:p>
        </w:tc>
        <w:tc>
          <w:tcPr>
            <w:tcW w:w="3888" w:type="dxa"/>
          </w:tcPr>
          <w:p w:rsidR="008C77CA" w:rsidRPr="008C77CA" w:rsidP="008C77CA">
            <w:pPr>
              <w:widowControl w:val="0"/>
              <w:rPr>
                <w:snapToGrid w:val="0"/>
                <w:kern w:val="28"/>
              </w:rPr>
            </w:pPr>
            <w:r>
              <w:t>ACS of Anchorage License Sub</w:t>
            </w:r>
            <w:r w:rsidR="00F22E2B">
              <w:t>, LLC</w:t>
            </w:r>
          </w:p>
        </w:tc>
        <w:tc>
          <w:tcPr>
            <w:tcW w:w="2970" w:type="dxa"/>
          </w:tcPr>
          <w:p w:rsidR="008C77CA" w:rsidRPr="008C77CA" w:rsidP="008C77CA">
            <w:pPr>
              <w:widowControl w:val="0"/>
              <w:rPr>
                <w:snapToGrid w:val="0"/>
                <w:kern w:val="28"/>
              </w:rPr>
            </w:pPr>
            <w:r>
              <w:rPr>
                <w:snapToGrid w:val="0"/>
                <w:kern w:val="28"/>
              </w:rPr>
              <w:t>WLC603</w:t>
            </w:r>
          </w:p>
        </w:tc>
      </w:tr>
      <w:tr w:rsidTr="00164A7E">
        <w:tblPrEx>
          <w:tblW w:w="9738" w:type="dxa"/>
          <w:tblLook w:val="01E0"/>
        </w:tblPrEx>
        <w:tc>
          <w:tcPr>
            <w:tcW w:w="2880" w:type="dxa"/>
          </w:tcPr>
          <w:p w:rsidR="00094800" w:rsidRPr="008C77CA" w:rsidP="008C77CA">
            <w:pPr>
              <w:widowControl w:val="0"/>
              <w:rPr>
                <w:snapToGrid w:val="0"/>
                <w:kern w:val="28"/>
                <w:szCs w:val="22"/>
              </w:rPr>
            </w:pPr>
          </w:p>
        </w:tc>
        <w:tc>
          <w:tcPr>
            <w:tcW w:w="3888" w:type="dxa"/>
          </w:tcPr>
          <w:p w:rsidR="00094800" w:rsidP="008C77CA">
            <w:pPr>
              <w:widowControl w:val="0"/>
            </w:pPr>
          </w:p>
        </w:tc>
        <w:tc>
          <w:tcPr>
            <w:tcW w:w="2970" w:type="dxa"/>
          </w:tcPr>
          <w:p w:rsidR="00094800" w:rsidP="008C77CA">
            <w:pPr>
              <w:widowControl w:val="0"/>
              <w:rPr>
                <w:snapToGrid w:val="0"/>
                <w:kern w:val="28"/>
              </w:rPr>
            </w:pPr>
          </w:p>
        </w:tc>
      </w:tr>
      <w:tr w:rsidTr="00164A7E">
        <w:tblPrEx>
          <w:tblW w:w="9738" w:type="dxa"/>
          <w:tblLook w:val="01E0"/>
        </w:tblPrEx>
        <w:tc>
          <w:tcPr>
            <w:tcW w:w="2880" w:type="dxa"/>
          </w:tcPr>
          <w:p w:rsidR="008C77CA" w:rsidRPr="008C77CA" w:rsidP="008C77CA">
            <w:pPr>
              <w:widowControl w:val="0"/>
              <w:rPr>
                <w:snapToGrid w:val="0"/>
                <w:kern w:val="28"/>
                <w:szCs w:val="22"/>
              </w:rPr>
            </w:pPr>
            <w:r w:rsidRPr="002E3F4D">
              <w:rPr>
                <w:snapToGrid w:val="0"/>
                <w:kern w:val="28"/>
                <w:szCs w:val="22"/>
              </w:rPr>
              <w:t>0009370202</w:t>
            </w:r>
          </w:p>
        </w:tc>
        <w:tc>
          <w:tcPr>
            <w:tcW w:w="3888" w:type="dxa"/>
          </w:tcPr>
          <w:p w:rsidR="008C77CA" w:rsidRPr="008C77CA" w:rsidP="008C77CA">
            <w:pPr>
              <w:widowControl w:val="0"/>
              <w:rPr>
                <w:snapToGrid w:val="0"/>
                <w:kern w:val="28"/>
              </w:rPr>
            </w:pPr>
            <w:r>
              <w:t>ACS of Fairbanks License Sub</w:t>
            </w:r>
            <w:r w:rsidR="00F22E2B">
              <w:t>, LLC</w:t>
            </w:r>
          </w:p>
        </w:tc>
        <w:tc>
          <w:tcPr>
            <w:tcW w:w="2970" w:type="dxa"/>
          </w:tcPr>
          <w:p w:rsidR="008C77CA" w:rsidRPr="008C77CA" w:rsidP="008C77CA">
            <w:pPr>
              <w:widowControl w:val="0"/>
              <w:rPr>
                <w:snapToGrid w:val="0"/>
                <w:kern w:val="28"/>
              </w:rPr>
            </w:pPr>
            <w:r>
              <w:rPr>
                <w:snapToGrid w:val="0"/>
                <w:kern w:val="28"/>
              </w:rPr>
              <w:t>WMS</w:t>
            </w:r>
            <w:r w:rsidR="00A54B95">
              <w:rPr>
                <w:snapToGrid w:val="0"/>
                <w:kern w:val="28"/>
              </w:rPr>
              <w:t>885</w:t>
            </w:r>
          </w:p>
        </w:tc>
      </w:tr>
      <w:tr w:rsidTr="00164A7E">
        <w:tblPrEx>
          <w:tblW w:w="9738" w:type="dxa"/>
          <w:tblLook w:val="01E0"/>
        </w:tblPrEx>
        <w:tc>
          <w:tcPr>
            <w:tcW w:w="2880" w:type="dxa"/>
          </w:tcPr>
          <w:p w:rsidR="004340B7" w:rsidRPr="008C77CA" w:rsidP="008C77CA">
            <w:pPr>
              <w:widowControl w:val="0"/>
              <w:rPr>
                <w:snapToGrid w:val="0"/>
                <w:kern w:val="28"/>
                <w:szCs w:val="22"/>
              </w:rPr>
            </w:pPr>
          </w:p>
        </w:tc>
        <w:tc>
          <w:tcPr>
            <w:tcW w:w="3888" w:type="dxa"/>
          </w:tcPr>
          <w:p w:rsidR="00991FBC" w:rsidP="008C77CA">
            <w:pPr>
              <w:widowControl w:val="0"/>
            </w:pPr>
          </w:p>
        </w:tc>
        <w:tc>
          <w:tcPr>
            <w:tcW w:w="2970" w:type="dxa"/>
          </w:tcPr>
          <w:p w:rsidR="004340B7" w:rsidP="008C77CA">
            <w:pPr>
              <w:widowControl w:val="0"/>
              <w:rPr>
                <w:snapToGrid w:val="0"/>
                <w:kern w:val="28"/>
              </w:rPr>
            </w:pPr>
          </w:p>
        </w:tc>
      </w:tr>
      <w:tr w:rsidTr="00164A7E">
        <w:tblPrEx>
          <w:tblW w:w="9738" w:type="dxa"/>
          <w:tblLook w:val="01E0"/>
        </w:tblPrEx>
        <w:tc>
          <w:tcPr>
            <w:tcW w:w="2880" w:type="dxa"/>
          </w:tcPr>
          <w:p w:rsidR="00F7645B" w:rsidRPr="008C77CA" w:rsidP="00F7645B">
            <w:pPr>
              <w:widowControl w:val="0"/>
              <w:rPr>
                <w:snapToGrid w:val="0"/>
                <w:kern w:val="28"/>
                <w:szCs w:val="22"/>
              </w:rPr>
            </w:pPr>
            <w:r w:rsidRPr="002E3F4D">
              <w:rPr>
                <w:snapToGrid w:val="0"/>
                <w:kern w:val="28"/>
                <w:szCs w:val="22"/>
              </w:rPr>
              <w:t>0009370204</w:t>
            </w:r>
          </w:p>
        </w:tc>
        <w:tc>
          <w:tcPr>
            <w:tcW w:w="3888" w:type="dxa"/>
          </w:tcPr>
          <w:p w:rsidR="00F7645B" w:rsidP="00F7645B">
            <w:pPr>
              <w:widowControl w:val="0"/>
            </w:pPr>
            <w:r>
              <w:t>ACS of the Northland License Sub, LLC</w:t>
            </w:r>
          </w:p>
          <w:p w:rsidR="00F7645B" w:rsidP="00F7645B">
            <w:pPr>
              <w:widowControl w:val="0"/>
            </w:pPr>
          </w:p>
        </w:tc>
        <w:tc>
          <w:tcPr>
            <w:tcW w:w="2970" w:type="dxa"/>
          </w:tcPr>
          <w:p w:rsidR="00F7645B" w:rsidP="00F7645B">
            <w:pPr>
              <w:widowControl w:val="0"/>
              <w:rPr>
                <w:snapToGrid w:val="0"/>
                <w:kern w:val="28"/>
              </w:rPr>
            </w:pPr>
            <w:r>
              <w:rPr>
                <w:snapToGrid w:val="0"/>
                <w:kern w:val="28"/>
              </w:rPr>
              <w:t>KNKH871</w:t>
            </w:r>
          </w:p>
        </w:tc>
      </w:tr>
      <w:tr w:rsidTr="00164A7E">
        <w:tblPrEx>
          <w:tblW w:w="9738" w:type="dxa"/>
          <w:tblLook w:val="01E0"/>
        </w:tblPrEx>
        <w:tc>
          <w:tcPr>
            <w:tcW w:w="2880" w:type="dxa"/>
          </w:tcPr>
          <w:p w:rsidR="00DA2C2E" w:rsidRPr="008C77CA" w:rsidP="00F7645B">
            <w:pPr>
              <w:widowControl w:val="0"/>
              <w:rPr>
                <w:snapToGrid w:val="0"/>
                <w:kern w:val="28"/>
                <w:szCs w:val="22"/>
              </w:rPr>
            </w:pPr>
            <w:r w:rsidRPr="002E3F4D">
              <w:rPr>
                <w:snapToGrid w:val="0"/>
                <w:kern w:val="28"/>
                <w:szCs w:val="22"/>
              </w:rPr>
              <w:t>0009370207</w:t>
            </w:r>
          </w:p>
        </w:tc>
        <w:tc>
          <w:tcPr>
            <w:tcW w:w="3888" w:type="dxa"/>
          </w:tcPr>
          <w:p w:rsidR="00DA2C2E" w:rsidP="00F7645B">
            <w:pPr>
              <w:widowControl w:val="0"/>
            </w:pPr>
            <w:r>
              <w:t xml:space="preserve">ACS Long Distance License Sub, </w:t>
            </w:r>
            <w:r w:rsidR="0088479A">
              <w:t>LLC</w:t>
            </w:r>
          </w:p>
        </w:tc>
        <w:tc>
          <w:tcPr>
            <w:tcW w:w="2970" w:type="dxa"/>
          </w:tcPr>
          <w:p w:rsidR="00DA2C2E" w:rsidP="00F7645B">
            <w:pPr>
              <w:widowControl w:val="0"/>
              <w:rPr>
                <w:snapToGrid w:val="0"/>
                <w:kern w:val="28"/>
              </w:rPr>
            </w:pPr>
            <w:r>
              <w:rPr>
                <w:snapToGrid w:val="0"/>
                <w:kern w:val="28"/>
              </w:rPr>
              <w:t>WNEH752</w:t>
            </w:r>
          </w:p>
        </w:tc>
      </w:tr>
    </w:tbl>
    <w:p w:rsidR="00A86F9C" w:rsidP="00B73F61">
      <w:pPr>
        <w:autoSpaceDE w:val="0"/>
        <w:autoSpaceDN w:val="0"/>
        <w:adjustRightInd w:val="0"/>
        <w:rPr>
          <w:rFonts w:ascii="TimesNewRoman,Bold" w:hAnsi="TimesNewRoman,Bold" w:cs="TimesNewRoman,Bold"/>
          <w:b/>
          <w:bCs/>
          <w:color w:val="010101"/>
          <w:szCs w:val="22"/>
        </w:rPr>
      </w:pPr>
    </w:p>
    <w:p w:rsidR="00B73F61" w:rsidP="00B73F61">
      <w:pPr>
        <w:autoSpaceDE w:val="0"/>
        <w:autoSpaceDN w:val="0"/>
        <w:adjustRightInd w:val="0"/>
        <w:rPr>
          <w:rFonts w:ascii="TimesNewRoman,Bold" w:hAnsi="TimesNewRoman,Bold" w:cs="TimesNewRoman,Bold"/>
          <w:b/>
          <w:bCs/>
          <w:color w:val="010101"/>
          <w:szCs w:val="22"/>
        </w:rPr>
      </w:pPr>
    </w:p>
    <w:p w:rsidR="00EF113F" w:rsidRPr="00D006BE" w:rsidP="0038750A">
      <w:pPr>
        <w:rPr>
          <w:b/>
          <w:bCs/>
          <w:color w:val="000000"/>
          <w:szCs w:val="22"/>
        </w:rPr>
      </w:pPr>
      <w:r w:rsidRPr="00D006BE">
        <w:rPr>
          <w:b/>
          <w:bCs/>
          <w:color w:val="000000"/>
          <w:szCs w:val="22"/>
        </w:rPr>
        <w:tab/>
      </w:r>
      <w:r w:rsidRPr="00D006BE">
        <w:rPr>
          <w:b/>
          <w:bCs/>
          <w:color w:val="000000"/>
          <w:szCs w:val="22"/>
        </w:rPr>
        <w:tab/>
      </w:r>
      <w:r w:rsidRPr="00D006BE">
        <w:rPr>
          <w:b/>
          <w:bCs/>
          <w:color w:val="000000"/>
          <w:szCs w:val="22"/>
        </w:rPr>
        <w:tab/>
      </w:r>
      <w:r w:rsidRPr="00D006BE">
        <w:rPr>
          <w:b/>
          <w:bCs/>
          <w:color w:val="000000"/>
          <w:szCs w:val="22"/>
        </w:rPr>
        <w:tab/>
      </w:r>
      <w:r w:rsidRPr="00D006BE">
        <w:rPr>
          <w:b/>
          <w:bCs/>
          <w:color w:val="000000"/>
          <w:szCs w:val="22"/>
        </w:rPr>
        <w:tab/>
        <w:t>-FCC-</w:t>
      </w:r>
    </w:p>
    <w:sectPr w:rsidSect="002710BB">
      <w:footerReference w:type="default" r:id="rId16"/>
      <w:headerReference w:type="first" r:id="rId17"/>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2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072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2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072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25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rsidR="007072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0494">
      <w:r>
        <w:separator/>
      </w:r>
    </w:p>
  </w:footnote>
  <w:footnote w:type="continuationSeparator" w:id="1">
    <w:p w:rsidR="00350494">
      <w:r>
        <w:continuationSeparator/>
      </w:r>
    </w:p>
  </w:footnote>
  <w:footnote w:type="continuationNotice" w:id="2">
    <w:p w:rsidR="00350494"/>
  </w:footnote>
  <w:footnote w:id="3">
    <w:p w:rsidR="0070725C" w:rsidP="00A102B9">
      <w:pPr>
        <w:pStyle w:val="FootnoteText"/>
        <w:spacing w:after="120"/>
      </w:pPr>
      <w:r>
        <w:rPr>
          <w:rStyle w:val="FootnoteReference"/>
        </w:rPr>
        <w:footnoteRef/>
      </w:r>
      <w:r>
        <w:t xml:space="preserve"> </w:t>
      </w:r>
      <w:r w:rsidRPr="00021F2D">
        <w:rPr>
          <w:sz w:val="20"/>
        </w:rPr>
        <w:t>47 U.S.C. §§ 214, 310(d)</w:t>
      </w:r>
      <w:r>
        <w:rPr>
          <w:sz w:val="20"/>
        </w:rPr>
        <w:t>.</w:t>
      </w:r>
    </w:p>
  </w:footnote>
  <w:footnote w:id="4">
    <w:p w:rsidR="0070725C" w:rsidP="0086071E">
      <w:pPr>
        <w:pStyle w:val="FootnoteText"/>
        <w:spacing w:after="120"/>
        <w:rPr>
          <w:sz w:val="20"/>
        </w:rPr>
      </w:pPr>
      <w:r>
        <w:rPr>
          <w:rStyle w:val="FootnoteReference"/>
          <w:sz w:val="20"/>
        </w:rPr>
        <w:footnoteRef/>
      </w:r>
      <w:r>
        <w:rPr>
          <w:sz w:val="20"/>
        </w:rPr>
        <w:t xml:space="preserve"> </w:t>
      </w:r>
      <w:hyperlink r:id="rId1" w:history="1">
        <w:r>
          <w:rPr>
            <w:rStyle w:val="Hyperlink"/>
            <w:color w:val="000000"/>
            <w:sz w:val="20"/>
            <w:u w:val="none"/>
          </w:rPr>
          <w:t>47 U.S.C. §§ 34</w:t>
        </w:r>
      </w:hyperlink>
      <w:r>
        <w:rPr>
          <w:color w:val="000000"/>
          <w:sz w:val="20"/>
        </w:rPr>
        <w:t>-</w:t>
      </w:r>
      <w:hyperlink r:id="rId2" w:history="1">
        <w:r>
          <w:rPr>
            <w:rStyle w:val="Hyperlink"/>
            <w:color w:val="000000"/>
            <w:sz w:val="20"/>
            <w:u w:val="none"/>
          </w:rPr>
          <w:t>39</w:t>
        </w:r>
      </w:hyperlink>
      <w:r>
        <w:rPr>
          <w:color w:val="000000"/>
          <w:sz w:val="20"/>
        </w:rPr>
        <w:t xml:space="preserve">; </w:t>
      </w:r>
      <w:r>
        <w:rPr>
          <w:i/>
          <w:color w:val="000000"/>
          <w:sz w:val="20"/>
        </w:rPr>
        <w:t>s</w:t>
      </w:r>
      <w:r>
        <w:rPr>
          <w:i/>
          <w:iCs/>
          <w:color w:val="000000"/>
          <w:sz w:val="20"/>
        </w:rPr>
        <w:t>ee also</w:t>
      </w:r>
      <w:r>
        <w:rPr>
          <w:color w:val="000000"/>
          <w:sz w:val="20"/>
        </w:rPr>
        <w:t xml:space="preserve"> </w:t>
      </w:r>
      <w:hyperlink r:id="rId3" w:history="1">
        <w:r>
          <w:rPr>
            <w:rStyle w:val="Hyperlink"/>
            <w:color w:val="000000"/>
            <w:sz w:val="20"/>
            <w:u w:val="none"/>
          </w:rPr>
          <w:t>Exec. Ord. No. 10530</w:t>
        </w:r>
      </w:hyperlink>
      <w:r>
        <w:rPr>
          <w:color w:val="000000"/>
          <w:sz w:val="20"/>
        </w:rPr>
        <w:t xml:space="preserve">, Sec. 5(a), reprinted as amended at </w:t>
      </w:r>
      <w:hyperlink r:id="rId4" w:history="1">
        <w:r>
          <w:rPr>
            <w:rStyle w:val="Hyperlink"/>
            <w:color w:val="000000"/>
            <w:sz w:val="20"/>
            <w:u w:val="none"/>
          </w:rPr>
          <w:t>3 U.S.C. § 301</w:t>
        </w:r>
      </w:hyperlink>
      <w:r>
        <w:rPr>
          <w:color w:val="000000"/>
          <w:sz w:val="20"/>
        </w:rPr>
        <w:t xml:space="preserve"> (delegating the President’s authority under the Cable Landing License Act to the Commission).</w:t>
      </w:r>
    </w:p>
  </w:footnote>
  <w:footnote w:id="5">
    <w:p w:rsidR="0070725C" w:rsidRPr="00021F2D" w:rsidP="009252EB">
      <w:pPr>
        <w:pStyle w:val="FootnoteText"/>
        <w:spacing w:after="120"/>
        <w:rPr>
          <w:sz w:val="20"/>
        </w:rPr>
      </w:pPr>
      <w:r w:rsidRPr="00021F2D">
        <w:rPr>
          <w:rStyle w:val="FootnoteReference"/>
          <w:sz w:val="20"/>
        </w:rPr>
        <w:footnoteRef/>
      </w:r>
      <w:r w:rsidRPr="00021F2D">
        <w:rPr>
          <w:sz w:val="20"/>
        </w:rPr>
        <w:t xml:space="preserve"> 47 CFR §§ </w:t>
      </w:r>
      <w:r>
        <w:rPr>
          <w:sz w:val="20"/>
        </w:rPr>
        <w:t xml:space="preserve">1.767, 1.948, </w:t>
      </w:r>
      <w:r w:rsidRPr="00DE65B1">
        <w:rPr>
          <w:sz w:val="20"/>
        </w:rPr>
        <w:t>25.119</w:t>
      </w:r>
      <w:r>
        <w:rPr>
          <w:sz w:val="20"/>
        </w:rPr>
        <w:t xml:space="preserve">, </w:t>
      </w:r>
      <w:r w:rsidRPr="00021F2D">
        <w:rPr>
          <w:sz w:val="20"/>
        </w:rPr>
        <w:t>63.03-04, 63.18, 63.24</w:t>
      </w:r>
      <w:r>
        <w:rPr>
          <w:sz w:val="20"/>
        </w:rPr>
        <w:t xml:space="preserve">; Joint Application </w:t>
      </w:r>
      <w:r>
        <w:rPr>
          <w:sz w:val="20"/>
        </w:rPr>
        <w:t>For</w:t>
      </w:r>
      <w:r>
        <w:rPr>
          <w:sz w:val="20"/>
        </w:rPr>
        <w:t xml:space="preserve"> </w:t>
      </w:r>
      <w:r w:rsidRPr="00021F2D">
        <w:rPr>
          <w:sz w:val="20"/>
        </w:rPr>
        <w:t>Consent to Transfer</w:t>
      </w:r>
      <w:r>
        <w:rPr>
          <w:sz w:val="20"/>
        </w:rPr>
        <w:t xml:space="preserve"> </w:t>
      </w:r>
      <w:r w:rsidRPr="00021F2D">
        <w:rPr>
          <w:sz w:val="20"/>
        </w:rPr>
        <w:t>Control of Domestic and International</w:t>
      </w:r>
      <w:r>
        <w:rPr>
          <w:sz w:val="20"/>
        </w:rPr>
        <w:t xml:space="preserve"> Section 214 Authorizations</w:t>
      </w:r>
      <w:r w:rsidRPr="00021F2D">
        <w:rPr>
          <w:sz w:val="20"/>
        </w:rPr>
        <w:t xml:space="preserve">, WC Docket No. </w:t>
      </w:r>
      <w:r>
        <w:rPr>
          <w:sz w:val="20"/>
        </w:rPr>
        <w:t>21</w:t>
      </w:r>
      <w:r w:rsidRPr="00021F2D">
        <w:rPr>
          <w:sz w:val="20"/>
        </w:rPr>
        <w:t>-</w:t>
      </w:r>
      <w:r>
        <w:rPr>
          <w:sz w:val="20"/>
        </w:rPr>
        <w:t>23</w:t>
      </w:r>
      <w:r w:rsidRPr="00021F2D">
        <w:rPr>
          <w:sz w:val="20"/>
        </w:rPr>
        <w:t xml:space="preserve"> (filed </w:t>
      </w:r>
      <w:r>
        <w:rPr>
          <w:sz w:val="20"/>
        </w:rPr>
        <w:t>Jan. 21</w:t>
      </w:r>
      <w:r w:rsidRPr="00021F2D">
        <w:rPr>
          <w:sz w:val="20"/>
        </w:rPr>
        <w:t>, 20</w:t>
      </w:r>
      <w:r>
        <w:rPr>
          <w:sz w:val="20"/>
        </w:rPr>
        <w:t>21</w:t>
      </w:r>
      <w:r w:rsidRPr="00021F2D">
        <w:rPr>
          <w:sz w:val="20"/>
        </w:rPr>
        <w:t xml:space="preserve">) (Lead </w:t>
      </w:r>
      <w:r w:rsidRPr="00FC5E62">
        <w:rPr>
          <w:sz w:val="20"/>
        </w:rPr>
        <w:t>Application)</w:t>
      </w:r>
      <w:r>
        <w:rPr>
          <w:sz w:val="20"/>
        </w:rPr>
        <w:t xml:space="preserve">.  </w:t>
      </w:r>
      <w:r w:rsidRPr="00774699">
        <w:rPr>
          <w:sz w:val="20"/>
        </w:rPr>
        <w:t>The Commission licenses and authorizations subject to the applications are listed in Attachment A</w:t>
      </w:r>
      <w:r>
        <w:rPr>
          <w:sz w:val="20"/>
        </w:rPr>
        <w:t xml:space="preserve"> to this Public Notice and include domestic and international section 214 authorizations, wireless licenses, a non-common carrier earth station license, and submarine cable landing licenses.</w:t>
      </w:r>
      <w:r w:rsidR="00BD1C99">
        <w:rPr>
          <w:sz w:val="20"/>
        </w:rPr>
        <w:t xml:space="preserve">  Applicants filed a supplement to the Lead Application on February 16, 2021.  Letter from Karen Brinkmann, Counsel to Alaska Communications Systems Group, Inc., and Phillip R. Marchesiello, Counsel to Project 8 Buyer, LLC, to Marlene H. Dortch</w:t>
      </w:r>
      <w:r w:rsidR="004B2A33">
        <w:rPr>
          <w:sz w:val="20"/>
        </w:rPr>
        <w:t>, Secretary, FCC</w:t>
      </w:r>
      <w:r w:rsidR="00D57AE0">
        <w:rPr>
          <w:sz w:val="20"/>
        </w:rPr>
        <w:t xml:space="preserve"> </w:t>
      </w:r>
      <w:r w:rsidR="004B2A33">
        <w:rPr>
          <w:sz w:val="20"/>
        </w:rPr>
        <w:t>(filed Feb. 16, 2021) (on file in WC Docket No. 21-23)</w:t>
      </w:r>
      <w:r w:rsidR="00486B9C">
        <w:rPr>
          <w:sz w:val="20"/>
        </w:rPr>
        <w:t xml:space="preserve"> (Supplement Letter)</w:t>
      </w:r>
      <w:r w:rsidR="004B2A33">
        <w:rPr>
          <w:sz w:val="20"/>
        </w:rPr>
        <w:t>.</w:t>
      </w:r>
    </w:p>
  </w:footnote>
  <w:footnote w:id="6">
    <w:p w:rsidR="0070725C" w:rsidRPr="00E62E8C" w:rsidP="00A102B9">
      <w:pPr>
        <w:pStyle w:val="FootnoteText"/>
        <w:spacing w:after="120"/>
        <w:rPr>
          <w:sz w:val="20"/>
        </w:rPr>
      </w:pPr>
      <w:r w:rsidRPr="00E62E8C">
        <w:rPr>
          <w:rStyle w:val="FootnoteReference"/>
          <w:sz w:val="20"/>
        </w:rPr>
        <w:footnoteRef/>
      </w:r>
      <w:r w:rsidRPr="00E62E8C">
        <w:rPr>
          <w:sz w:val="20"/>
        </w:rPr>
        <w:t xml:space="preserve"> </w:t>
      </w:r>
      <w:bookmarkStart w:id="4" w:name="_Hlk62745485"/>
      <w:r w:rsidRPr="00E62E8C">
        <w:rPr>
          <w:sz w:val="20"/>
        </w:rPr>
        <w:t>Lead Application</w:t>
      </w:r>
      <w:r>
        <w:rPr>
          <w:sz w:val="20"/>
        </w:rPr>
        <w:t>,</w:t>
      </w:r>
      <w:r w:rsidRPr="00E62E8C">
        <w:rPr>
          <w:sz w:val="20"/>
        </w:rPr>
        <w:t xml:space="preserve"> </w:t>
      </w:r>
      <w:r w:rsidRPr="00E62E8C">
        <w:rPr>
          <w:sz w:val="20"/>
        </w:rPr>
        <w:t>Exh</w:t>
      </w:r>
      <w:r w:rsidR="0031734D">
        <w:rPr>
          <w:sz w:val="20"/>
        </w:rPr>
        <w:t>.</w:t>
      </w:r>
      <w:r w:rsidRPr="00E62E8C">
        <w:rPr>
          <w:sz w:val="20"/>
        </w:rPr>
        <w:t xml:space="preserve"> 1</w:t>
      </w:r>
      <w:r>
        <w:rPr>
          <w:sz w:val="20"/>
        </w:rPr>
        <w:t xml:space="preserve"> </w:t>
      </w:r>
      <w:r w:rsidRPr="00E62E8C">
        <w:rPr>
          <w:sz w:val="20"/>
        </w:rPr>
        <w:t>(Description of the Parties</w:t>
      </w:r>
      <w:r>
        <w:rPr>
          <w:sz w:val="20"/>
        </w:rPr>
        <w:t>, Description of the Transaction, Public Interest Statement, Administrative Matters</w:t>
      </w:r>
      <w:r w:rsidRPr="00E62E8C">
        <w:rPr>
          <w:sz w:val="20"/>
        </w:rPr>
        <w:t xml:space="preserve">) at </w:t>
      </w:r>
      <w:r>
        <w:rPr>
          <w:sz w:val="20"/>
        </w:rPr>
        <w:t>19</w:t>
      </w:r>
      <w:r w:rsidRPr="00E62E8C">
        <w:rPr>
          <w:sz w:val="20"/>
        </w:rPr>
        <w:t>.</w:t>
      </w:r>
      <w:bookmarkEnd w:id="4"/>
    </w:p>
  </w:footnote>
  <w:footnote w:id="7">
    <w:p w:rsidR="0070725C" w:rsidRPr="00ED1577" w:rsidP="00A102B9">
      <w:pPr>
        <w:pStyle w:val="FootnoteText"/>
        <w:spacing w:after="120"/>
        <w:rPr>
          <w:sz w:val="20"/>
        </w:rPr>
      </w:pPr>
      <w:r w:rsidRPr="00ED1577">
        <w:rPr>
          <w:rStyle w:val="FootnoteReference"/>
          <w:sz w:val="20"/>
        </w:rPr>
        <w:footnoteRef/>
      </w:r>
      <w:r w:rsidRPr="00ED1577">
        <w:rPr>
          <w:sz w:val="20"/>
        </w:rPr>
        <w:t xml:space="preserve"> </w:t>
      </w:r>
      <w:bookmarkStart w:id="5" w:name="_Hlk62578251"/>
      <w:r w:rsidRPr="00ED1577">
        <w:rPr>
          <w:i/>
          <w:iCs/>
          <w:sz w:val="20"/>
        </w:rPr>
        <w:t>Id.</w:t>
      </w:r>
      <w:r>
        <w:rPr>
          <w:sz w:val="20"/>
        </w:rPr>
        <w:t>,</w:t>
      </w:r>
      <w:r w:rsidRPr="00ED1577">
        <w:rPr>
          <w:sz w:val="20"/>
        </w:rPr>
        <w:t xml:space="preserve"> Exh. 1 at </w:t>
      </w:r>
      <w:r>
        <w:rPr>
          <w:sz w:val="20"/>
        </w:rPr>
        <w:t>19</w:t>
      </w:r>
      <w:r w:rsidRPr="00ED1577">
        <w:rPr>
          <w:sz w:val="20"/>
        </w:rPr>
        <w:t>-</w:t>
      </w:r>
      <w:r>
        <w:rPr>
          <w:sz w:val="20"/>
        </w:rPr>
        <w:t>21</w:t>
      </w:r>
      <w:r w:rsidRPr="00ED1577">
        <w:rPr>
          <w:sz w:val="20"/>
        </w:rPr>
        <w:t>.</w:t>
      </w:r>
      <w:bookmarkEnd w:id="5"/>
    </w:p>
  </w:footnote>
  <w:footnote w:id="8">
    <w:p w:rsidR="0070725C" w:rsidRPr="00CE3E63" w:rsidP="00A102B9">
      <w:pPr>
        <w:pStyle w:val="FootnoteText"/>
        <w:spacing w:after="120"/>
      </w:pPr>
      <w:r w:rsidRPr="00404CBF">
        <w:rPr>
          <w:rStyle w:val="FootnoteReference"/>
          <w:sz w:val="20"/>
        </w:rPr>
        <w:footnoteRef/>
      </w:r>
      <w:r w:rsidRPr="00404CBF">
        <w:rPr>
          <w:sz w:val="20"/>
        </w:rPr>
        <w:t xml:space="preserve"> </w:t>
      </w:r>
      <w:bookmarkStart w:id="6" w:name="_Hlk41917768"/>
      <w:r w:rsidRPr="001F15D2">
        <w:rPr>
          <w:i/>
          <w:sz w:val="20"/>
        </w:rPr>
        <w:t>Id</w:t>
      </w:r>
      <w:r>
        <w:rPr>
          <w:sz w:val="20"/>
        </w:rPr>
        <w:t>., Exh. 1 at 20.</w:t>
      </w:r>
      <w:bookmarkEnd w:id="6"/>
    </w:p>
  </w:footnote>
  <w:footnote w:id="9">
    <w:p w:rsidR="0070725C" w:rsidRPr="00C61DDE" w:rsidP="00A102B9">
      <w:pPr>
        <w:pStyle w:val="FootnoteText"/>
        <w:spacing w:after="120"/>
        <w:rPr>
          <w:sz w:val="20"/>
        </w:rPr>
      </w:pPr>
      <w:r w:rsidRPr="00C61DDE">
        <w:rPr>
          <w:rStyle w:val="FootnoteReference"/>
          <w:sz w:val="20"/>
        </w:rPr>
        <w:footnoteRef/>
      </w:r>
      <w:r w:rsidRPr="00C61DDE">
        <w:rPr>
          <w:sz w:val="20"/>
        </w:rPr>
        <w:t xml:space="preserve"> </w:t>
      </w:r>
      <w:r w:rsidRPr="00C61DDE">
        <w:rPr>
          <w:i/>
          <w:iCs/>
          <w:sz w:val="20"/>
        </w:rPr>
        <w:t>Id.</w:t>
      </w:r>
      <w:r>
        <w:rPr>
          <w:sz w:val="20"/>
        </w:rPr>
        <w:t>,</w:t>
      </w:r>
      <w:r w:rsidRPr="00C61DDE">
        <w:rPr>
          <w:sz w:val="20"/>
        </w:rPr>
        <w:t xml:space="preserve"> </w:t>
      </w:r>
      <w:r>
        <w:rPr>
          <w:sz w:val="20"/>
        </w:rPr>
        <w:t>Exh. 1 at 20-21</w:t>
      </w:r>
      <w:r w:rsidRPr="00C61DDE">
        <w:rPr>
          <w:sz w:val="20"/>
        </w:rPr>
        <w:t>.</w:t>
      </w:r>
    </w:p>
  </w:footnote>
  <w:footnote w:id="10">
    <w:p w:rsidR="0070725C" w:rsidRPr="00AF3AE2" w:rsidP="00F32E2C">
      <w:pPr>
        <w:pStyle w:val="FootnoteText"/>
        <w:spacing w:after="120"/>
        <w:rPr>
          <w:sz w:val="20"/>
        </w:rPr>
      </w:pPr>
      <w:r>
        <w:rPr>
          <w:rStyle w:val="FootnoteReference"/>
        </w:rPr>
        <w:footnoteRef/>
      </w:r>
      <w:r>
        <w:t xml:space="preserve"> </w:t>
      </w:r>
      <w:r w:rsidRPr="000C6CB2">
        <w:rPr>
          <w:i/>
          <w:iCs/>
          <w:sz w:val="20"/>
        </w:rPr>
        <w:t>Id.</w:t>
      </w:r>
      <w:r>
        <w:rPr>
          <w:sz w:val="20"/>
        </w:rPr>
        <w:t>,</w:t>
      </w:r>
      <w:r w:rsidRPr="00C61DDE">
        <w:rPr>
          <w:sz w:val="20"/>
        </w:rPr>
        <w:t xml:space="preserve"> </w:t>
      </w:r>
      <w:r>
        <w:rPr>
          <w:sz w:val="20"/>
        </w:rPr>
        <w:t>Exh. 1 at 21</w:t>
      </w:r>
      <w:r w:rsidRPr="00C61DDE">
        <w:rPr>
          <w:sz w:val="20"/>
        </w:rPr>
        <w:t>.</w:t>
      </w:r>
      <w:r>
        <w:t xml:space="preserve"> </w:t>
      </w:r>
      <w:r w:rsidR="0081046F">
        <w:t xml:space="preserve"> </w:t>
      </w:r>
      <w:r w:rsidRPr="00AF3AE2">
        <w:rPr>
          <w:sz w:val="20"/>
        </w:rPr>
        <w:t xml:space="preserve">Alaska Communications does not provide mobile wireless services to the public, and, through its </w:t>
      </w:r>
      <w:r>
        <w:rPr>
          <w:sz w:val="20"/>
        </w:rPr>
        <w:t xml:space="preserve">operating </w:t>
      </w:r>
      <w:r w:rsidRPr="00AF3AE2">
        <w:rPr>
          <w:sz w:val="20"/>
        </w:rPr>
        <w:t xml:space="preserve">subsidiaries, has fixed wireless services licenses used to complete the provision of local exchange, interexchange, and broadband services, particularly in rural and remote areas.  </w:t>
      </w:r>
      <w:r w:rsidRPr="00AF3AE2">
        <w:rPr>
          <w:i/>
          <w:iCs/>
          <w:sz w:val="20"/>
        </w:rPr>
        <w:t>Id</w:t>
      </w:r>
      <w:r w:rsidRPr="00AF3AE2">
        <w:rPr>
          <w:sz w:val="20"/>
        </w:rPr>
        <w:t>.</w:t>
      </w:r>
    </w:p>
  </w:footnote>
  <w:footnote w:id="11">
    <w:p w:rsidR="0070725C" w:rsidRPr="00D1496E" w:rsidP="00D1496E">
      <w:pPr>
        <w:widowControl w:val="0"/>
        <w:spacing w:after="120"/>
        <w:rPr>
          <w:snapToGrid w:val="0"/>
          <w:color w:val="000000"/>
          <w:kern w:val="28"/>
          <w:szCs w:val="22"/>
        </w:rPr>
      </w:pPr>
      <w:r w:rsidRPr="00AF3AE2">
        <w:rPr>
          <w:rStyle w:val="FootnoteReference"/>
          <w:sz w:val="20"/>
        </w:rPr>
        <w:footnoteRef/>
      </w:r>
      <w:r w:rsidRPr="00AF3AE2">
        <w:rPr>
          <w:sz w:val="20"/>
        </w:rPr>
        <w:t xml:space="preserve"> </w:t>
      </w:r>
      <w:r w:rsidRPr="00AF3AE2">
        <w:rPr>
          <w:i/>
          <w:iCs/>
          <w:sz w:val="20"/>
        </w:rPr>
        <w:t>Id</w:t>
      </w:r>
      <w:r w:rsidRPr="0081046F">
        <w:rPr>
          <w:i/>
          <w:iCs/>
          <w:sz w:val="20"/>
        </w:rPr>
        <w:t>.</w:t>
      </w:r>
      <w:r w:rsidR="00C108ED">
        <w:rPr>
          <w:sz w:val="20"/>
        </w:rPr>
        <w:t xml:space="preserve"> </w:t>
      </w:r>
      <w:r w:rsidRPr="00D1496E" w:rsidR="00C108ED">
        <w:rPr>
          <w:sz w:val="20"/>
        </w:rPr>
        <w:t xml:space="preserve">ACS Long Distance, LLC is the licensee for the AKORN system, </w:t>
      </w:r>
      <w:r w:rsidRPr="00D1496E" w:rsidR="00C108ED">
        <w:rPr>
          <w:snapToGrid w:val="0"/>
          <w:color w:val="000000"/>
          <w:kern w:val="28"/>
          <w:sz w:val="20"/>
        </w:rPr>
        <w:t>SCL-LIC-20071025-00018, and NorthStar License Corpora</w:t>
      </w:r>
      <w:r w:rsidR="00C16E7B">
        <w:rPr>
          <w:snapToGrid w:val="0"/>
          <w:color w:val="000000"/>
          <w:kern w:val="28"/>
          <w:sz w:val="20"/>
        </w:rPr>
        <w:t>t</w:t>
      </w:r>
      <w:r w:rsidRPr="00D1496E" w:rsidR="00C108ED">
        <w:rPr>
          <w:snapToGrid w:val="0"/>
          <w:color w:val="000000"/>
          <w:kern w:val="28"/>
          <w:sz w:val="20"/>
        </w:rPr>
        <w:t xml:space="preserve">ion is the licensee for the NorthStar system, </w:t>
      </w:r>
      <w:r w:rsidRPr="00D1496E" w:rsidR="00F32E2C">
        <w:rPr>
          <w:color w:val="000000"/>
          <w:sz w:val="20"/>
        </w:rPr>
        <w:t xml:space="preserve">SCL-LIC-19940617-00002, </w:t>
      </w:r>
      <w:r w:rsidRPr="005225E9" w:rsidR="00565608">
        <w:rPr>
          <w:color w:val="000000"/>
          <w:sz w:val="20"/>
        </w:rPr>
        <w:t xml:space="preserve">SCL-MOD-20020725-00090, </w:t>
      </w:r>
      <w:r w:rsidRPr="00D1496E" w:rsidR="00F32E2C">
        <w:rPr>
          <w:color w:val="000000"/>
          <w:sz w:val="20"/>
        </w:rPr>
        <w:t xml:space="preserve">SCL-LIC-19960308-0000, </w:t>
      </w:r>
      <w:r w:rsidR="00565608">
        <w:rPr>
          <w:color w:val="000000"/>
          <w:sz w:val="20"/>
        </w:rPr>
        <w:t xml:space="preserve">and </w:t>
      </w:r>
      <w:r w:rsidRPr="00D1496E" w:rsidR="00F32E2C">
        <w:rPr>
          <w:sz w:val="20"/>
        </w:rPr>
        <w:t>SCL-MOD-20020725-00091.</w:t>
      </w:r>
    </w:p>
  </w:footnote>
  <w:footnote w:id="12">
    <w:p w:rsidR="0070725C" w:rsidRPr="00AF3AE2" w:rsidP="00F32E2C">
      <w:pPr>
        <w:pStyle w:val="FootnoteText"/>
        <w:spacing w:after="120"/>
        <w:rPr>
          <w:sz w:val="20"/>
        </w:rPr>
      </w:pPr>
      <w:r w:rsidRPr="00AF3AE2">
        <w:rPr>
          <w:rStyle w:val="FootnoteReference"/>
          <w:sz w:val="20"/>
        </w:rPr>
        <w:footnoteRef/>
      </w:r>
      <w:r w:rsidRPr="00AF3AE2">
        <w:rPr>
          <w:sz w:val="20"/>
        </w:rPr>
        <w:t xml:space="preserve"> </w:t>
      </w:r>
      <w:r w:rsidRPr="00A44A76">
        <w:rPr>
          <w:i/>
          <w:iCs/>
          <w:sz w:val="20"/>
        </w:rPr>
        <w:t>Id.</w:t>
      </w:r>
      <w:r>
        <w:rPr>
          <w:sz w:val="20"/>
        </w:rPr>
        <w:t>,</w:t>
      </w:r>
      <w:r w:rsidRPr="00A44A76">
        <w:rPr>
          <w:sz w:val="20"/>
        </w:rPr>
        <w:t xml:space="preserve"> </w:t>
      </w:r>
      <w:r w:rsidRPr="00724D02">
        <w:rPr>
          <w:sz w:val="20"/>
        </w:rPr>
        <w:t>Exh. 1 at 2</w:t>
      </w:r>
      <w:r w:rsidRPr="0055368C">
        <w:rPr>
          <w:sz w:val="20"/>
        </w:rPr>
        <w:t xml:space="preserve">2.  The affiliates of ATN provide wholesale wireless or fixed wireless consumer broadband services in the U.S. Virgin Islands, Arizona, California, Colorado, Montana, Nevada, New Mexico, Texas, Utah, and Wyoming, and incumbent LEC and other telecommunications services in the U.S. Virgin Islands.  </w:t>
      </w:r>
      <w:r w:rsidRPr="0055368C">
        <w:rPr>
          <w:i/>
          <w:iCs/>
          <w:sz w:val="20"/>
        </w:rPr>
        <w:t>Id</w:t>
      </w:r>
      <w:r w:rsidRPr="0055368C">
        <w:rPr>
          <w:sz w:val="20"/>
        </w:rPr>
        <w:t xml:space="preserve">. at 12.  Freedom does not provide telecommunications services.  </w:t>
      </w:r>
      <w:r w:rsidRPr="0055368C">
        <w:rPr>
          <w:i/>
          <w:iCs/>
          <w:sz w:val="20"/>
        </w:rPr>
        <w:t>Id</w:t>
      </w:r>
      <w:r w:rsidRPr="0055368C">
        <w:rPr>
          <w:sz w:val="20"/>
        </w:rPr>
        <w:t>. at 12-13.</w:t>
      </w:r>
    </w:p>
  </w:footnote>
  <w:footnote w:id="13">
    <w:p w:rsidR="0070725C" w:rsidRPr="00AF3AE2" w:rsidP="00F32E2C">
      <w:pPr>
        <w:pStyle w:val="FootnoteText"/>
        <w:spacing w:after="120"/>
        <w:rPr>
          <w:sz w:val="20"/>
        </w:rPr>
      </w:pPr>
      <w:r w:rsidRPr="00AF3AE2">
        <w:rPr>
          <w:rStyle w:val="FootnoteReference"/>
          <w:sz w:val="20"/>
        </w:rPr>
        <w:footnoteRef/>
      </w:r>
      <w:r w:rsidRPr="00AF3AE2">
        <w:rPr>
          <w:sz w:val="20"/>
        </w:rPr>
        <w:t xml:space="preserve"> </w:t>
      </w:r>
      <w:r w:rsidRPr="00A44A76">
        <w:rPr>
          <w:i/>
          <w:iCs/>
          <w:sz w:val="20"/>
        </w:rPr>
        <w:t>Id.</w:t>
      </w:r>
    </w:p>
  </w:footnote>
  <w:footnote w:id="14">
    <w:p w:rsidR="0070725C" w:rsidRPr="000C6CB2" w:rsidP="00C16E7B">
      <w:pPr>
        <w:pStyle w:val="FootnoteText"/>
        <w:spacing w:after="120"/>
        <w:rPr>
          <w:sz w:val="20"/>
        </w:rPr>
      </w:pPr>
      <w:r w:rsidRPr="000C6CB2">
        <w:rPr>
          <w:rStyle w:val="FootnoteReference"/>
          <w:sz w:val="20"/>
        </w:rPr>
        <w:footnoteRef/>
      </w:r>
      <w:r w:rsidRPr="000C6CB2">
        <w:rPr>
          <w:sz w:val="20"/>
        </w:rPr>
        <w:t xml:space="preserve"> </w:t>
      </w:r>
      <w:r w:rsidRPr="000C6CB2">
        <w:rPr>
          <w:i/>
          <w:iCs/>
          <w:sz w:val="20"/>
        </w:rPr>
        <w:t>Id.</w:t>
      </w:r>
      <w:r>
        <w:rPr>
          <w:sz w:val="20"/>
        </w:rPr>
        <w:t>,</w:t>
      </w:r>
      <w:r w:rsidRPr="000C6CB2">
        <w:rPr>
          <w:sz w:val="20"/>
        </w:rPr>
        <w:t xml:space="preserve"> </w:t>
      </w:r>
      <w:r>
        <w:rPr>
          <w:sz w:val="20"/>
        </w:rPr>
        <w:t>Exh. 1 at 22</w:t>
      </w:r>
      <w:r w:rsidRPr="000C6CB2">
        <w:rPr>
          <w:sz w:val="20"/>
        </w:rPr>
        <w:t>.</w:t>
      </w:r>
    </w:p>
  </w:footnote>
  <w:footnote w:id="15">
    <w:p w:rsidR="0070725C" w:rsidRPr="00705358" w:rsidP="00A102B9">
      <w:pPr>
        <w:pStyle w:val="FootnoteText"/>
        <w:spacing w:after="120"/>
        <w:rPr>
          <w:sz w:val="20"/>
        </w:rPr>
      </w:pPr>
      <w:r w:rsidRPr="00DF6624">
        <w:rPr>
          <w:rStyle w:val="FootnoteReference"/>
          <w:sz w:val="20"/>
        </w:rPr>
        <w:footnoteRef/>
      </w:r>
      <w:r w:rsidRPr="00DF6624">
        <w:rPr>
          <w:sz w:val="20"/>
        </w:rPr>
        <w:t xml:space="preserve"> </w:t>
      </w:r>
      <w:r w:rsidRPr="00DF6624">
        <w:rPr>
          <w:i/>
          <w:iCs/>
          <w:sz w:val="20"/>
        </w:rPr>
        <w:t>Id.</w:t>
      </w:r>
      <w:r w:rsidRPr="00DF6624">
        <w:rPr>
          <w:sz w:val="20"/>
        </w:rPr>
        <w:t xml:space="preserve">, Exh. 1 at 23.  </w:t>
      </w:r>
      <w:r w:rsidRPr="00DF6624" w:rsidR="00B549E9">
        <w:rPr>
          <w:sz w:val="20"/>
        </w:rPr>
        <w:t>BlackRock Fund Advisors is a subsidiary</w:t>
      </w:r>
      <w:r w:rsidRPr="00DF6624" w:rsidR="00C87C6C">
        <w:rPr>
          <w:sz w:val="20"/>
        </w:rPr>
        <w:t xml:space="preserve"> of BlackRock, Inc. (BlackRock), a publicly traded Delaware corporation.  BlackRock is an investment entity </w:t>
      </w:r>
      <w:r w:rsidRPr="00DF6624" w:rsidR="00DF6624">
        <w:rPr>
          <w:sz w:val="20"/>
        </w:rPr>
        <w:t xml:space="preserve">and neither it nor its subsidiaries </w:t>
      </w:r>
      <w:r w:rsidRPr="00DF6624" w:rsidR="00C87C6C">
        <w:rPr>
          <w:sz w:val="20"/>
        </w:rPr>
        <w:t xml:space="preserve">have the power to </w:t>
      </w:r>
      <w:r w:rsidRPr="00DF6624" w:rsidR="00DF6624">
        <w:rPr>
          <w:sz w:val="20"/>
        </w:rPr>
        <w:t xml:space="preserve">manage, operate, or control ATN and they do not have the power to </w:t>
      </w:r>
      <w:r w:rsidRPr="00DF6624" w:rsidR="00C87C6C">
        <w:rPr>
          <w:sz w:val="20"/>
        </w:rPr>
        <w:t xml:space="preserve">individually elect members of the Board of </w:t>
      </w:r>
      <w:r w:rsidRPr="00DF6624" w:rsidR="00DF6624">
        <w:rPr>
          <w:sz w:val="20"/>
        </w:rPr>
        <w:t>ATN.</w:t>
      </w:r>
      <w:r w:rsidR="00DF6624">
        <w:rPr>
          <w:sz w:val="20"/>
        </w:rPr>
        <w:t xml:space="preserve">  </w:t>
      </w:r>
      <w:r w:rsidR="00DF6624">
        <w:rPr>
          <w:sz w:val="20"/>
        </w:rPr>
        <w:t>The majority of</w:t>
      </w:r>
      <w:r w:rsidR="00DF6624">
        <w:rPr>
          <w:sz w:val="20"/>
        </w:rPr>
        <w:t xml:space="preserve"> BlackRock’s board members are U.S. citizens.  Supplement Letter at 1-3.</w:t>
      </w:r>
      <w:r w:rsidR="0051796A">
        <w:rPr>
          <w:sz w:val="20"/>
        </w:rPr>
        <w:t xml:space="preserve">  Applicants list telecommunications entities in which they state that BlackRock has reported an ownership </w:t>
      </w:r>
      <w:r w:rsidRPr="0051796A" w:rsidR="0051796A">
        <w:rPr>
          <w:sz w:val="20"/>
        </w:rPr>
        <w:t>interest of less than 17%, including several competitive telecommunications entities serving Alaska.</w:t>
      </w:r>
      <w:r w:rsidRPr="0031734D" w:rsidR="0051796A">
        <w:rPr>
          <w:sz w:val="20"/>
        </w:rPr>
        <w:t xml:space="preserve">  </w:t>
      </w:r>
      <w:r w:rsidRPr="00705358" w:rsidR="0051796A">
        <w:rPr>
          <w:i/>
          <w:iCs/>
          <w:sz w:val="20"/>
        </w:rPr>
        <w:t>Id</w:t>
      </w:r>
      <w:r w:rsidRPr="00705358" w:rsidR="0051796A">
        <w:rPr>
          <w:sz w:val="20"/>
        </w:rPr>
        <w:t>. at Attach A (FCC-Regulated Businesses that List Their Principal Business as Communications or Telecommunications in Which BlackRock Qualifies as a Disclosable Interest Holder).</w:t>
      </w:r>
    </w:p>
  </w:footnote>
  <w:footnote w:id="16">
    <w:p w:rsidR="0070725C" w:rsidRPr="00705358">
      <w:pPr>
        <w:pStyle w:val="FootnoteText"/>
        <w:rPr>
          <w:sz w:val="20"/>
        </w:rPr>
      </w:pPr>
      <w:r w:rsidRPr="00705358">
        <w:rPr>
          <w:rStyle w:val="FootnoteReference"/>
          <w:sz w:val="20"/>
        </w:rPr>
        <w:footnoteRef/>
      </w:r>
      <w:r w:rsidRPr="00705358">
        <w:rPr>
          <w:sz w:val="20"/>
        </w:rPr>
        <w:t xml:space="preserve"> </w:t>
      </w:r>
      <w:bookmarkStart w:id="7" w:name="_Hlk62747506"/>
      <w:r w:rsidRPr="00705358" w:rsidR="0051796A">
        <w:rPr>
          <w:sz w:val="20"/>
        </w:rPr>
        <w:t>Lead Application</w:t>
      </w:r>
      <w:r w:rsidRPr="0051796A">
        <w:rPr>
          <w:i/>
          <w:iCs/>
          <w:sz w:val="20"/>
        </w:rPr>
        <w:t>.</w:t>
      </w:r>
      <w:r w:rsidRPr="0051796A">
        <w:rPr>
          <w:sz w:val="20"/>
        </w:rPr>
        <w:t>,</w:t>
      </w:r>
      <w:bookmarkStart w:id="8" w:name="_Hlk63155887"/>
      <w:r w:rsidRPr="0031734D">
        <w:rPr>
          <w:sz w:val="20"/>
        </w:rPr>
        <w:t xml:space="preserve"> </w:t>
      </w:r>
      <w:r w:rsidRPr="00705358">
        <w:rPr>
          <w:sz w:val="20"/>
        </w:rPr>
        <w:t xml:space="preserve">Exh. 1 at </w:t>
      </w:r>
      <w:r w:rsidRPr="00705358" w:rsidR="007F2628">
        <w:rPr>
          <w:sz w:val="20"/>
        </w:rPr>
        <w:t>22</w:t>
      </w:r>
      <w:r w:rsidRPr="00705358">
        <w:rPr>
          <w:sz w:val="20"/>
        </w:rPr>
        <w:t>.</w:t>
      </w:r>
      <w:bookmarkEnd w:id="7"/>
      <w:bookmarkEnd w:id="8"/>
    </w:p>
  </w:footnote>
  <w:footnote w:id="17">
    <w:p w:rsidR="0070725C" w:rsidRPr="00D639C1" w:rsidP="009D4187">
      <w:pPr>
        <w:pStyle w:val="FootnoteText"/>
        <w:spacing w:after="120"/>
        <w:rPr>
          <w:sz w:val="20"/>
        </w:rPr>
      </w:pPr>
      <w:r w:rsidRPr="0051796A">
        <w:rPr>
          <w:rStyle w:val="FootnoteReference"/>
          <w:sz w:val="20"/>
        </w:rPr>
        <w:footnoteRef/>
      </w:r>
      <w:r w:rsidRPr="0051796A">
        <w:rPr>
          <w:sz w:val="20"/>
        </w:rPr>
        <w:t xml:space="preserve"> </w:t>
      </w:r>
      <w:r w:rsidRPr="0051796A">
        <w:rPr>
          <w:i/>
          <w:iCs/>
          <w:sz w:val="20"/>
        </w:rPr>
        <w:t>Id.</w:t>
      </w:r>
      <w:r w:rsidRPr="0051796A">
        <w:rPr>
          <w:sz w:val="20"/>
        </w:rPr>
        <w:t>,</w:t>
      </w:r>
      <w:r w:rsidRPr="0031734D">
        <w:rPr>
          <w:sz w:val="20"/>
        </w:rPr>
        <w:t xml:space="preserve"> </w:t>
      </w:r>
      <w:r w:rsidRPr="00705358">
        <w:rPr>
          <w:sz w:val="20"/>
        </w:rPr>
        <w:t>Exh. 1 at 4-9, 24 and Attach B (Pre- and Post-Consummation</w:t>
      </w:r>
      <w:r>
        <w:rPr>
          <w:sz w:val="20"/>
        </w:rPr>
        <w:t xml:space="preserve"> Organization Diagrams for Alaska Communications Systems Group, Inc.).  </w:t>
      </w:r>
      <w:r w:rsidRPr="00FD32FC">
        <w:rPr>
          <w:sz w:val="20"/>
        </w:rPr>
        <w:t>Jason Block, Erik Glover, and Daniel Tamkin</w:t>
      </w:r>
      <w:r>
        <w:rPr>
          <w:sz w:val="20"/>
        </w:rPr>
        <w:t xml:space="preserve"> hold their interest in Freedom through Freedom 3 Capital, LLC, a Delaware entity, and Jason Block and Daniel Tamkin also hold their interest in Freedom through Freedom 3 GP IV, LLC (Freedom 3 GP), a Delaware entity.  </w:t>
      </w:r>
      <w:r>
        <w:rPr>
          <w:i/>
          <w:iCs/>
          <w:sz w:val="20"/>
        </w:rPr>
        <w:t>Id</w:t>
      </w:r>
      <w:r>
        <w:rPr>
          <w:sz w:val="20"/>
        </w:rPr>
        <w:t>., Exh. 1 at</w:t>
      </w:r>
      <w:r>
        <w:rPr>
          <w:i/>
          <w:iCs/>
          <w:sz w:val="20"/>
        </w:rPr>
        <w:t xml:space="preserve"> </w:t>
      </w:r>
      <w:r>
        <w:rPr>
          <w:sz w:val="20"/>
        </w:rPr>
        <w:t xml:space="preserve">Attach. </w:t>
      </w:r>
      <w:r>
        <w:rPr>
          <w:sz w:val="20"/>
        </w:rPr>
        <w:t>B(</w:t>
      </w:r>
      <w:r>
        <w:rPr>
          <w:sz w:val="20"/>
        </w:rPr>
        <w:t xml:space="preserve">3) (Post Consummation Ownership Diagram; Freedom) at 47-48.  Applicants state that there are passive investor members of Freedom 3 GP, which are all U.S. citizens or U.S. entities, and are not involved in the management or operation of Freedom 3 GP.  </w:t>
      </w:r>
      <w:r>
        <w:rPr>
          <w:i/>
          <w:iCs/>
          <w:sz w:val="20"/>
        </w:rPr>
        <w:t>Id</w:t>
      </w:r>
      <w:r>
        <w:rPr>
          <w:sz w:val="20"/>
        </w:rPr>
        <w:t xml:space="preserve">., Exh. 1 at n.15 and Attach. </w:t>
      </w:r>
      <w:r>
        <w:rPr>
          <w:sz w:val="20"/>
        </w:rPr>
        <w:t>B(</w:t>
      </w:r>
      <w:r>
        <w:rPr>
          <w:sz w:val="20"/>
        </w:rPr>
        <w:t>3) at 48.</w:t>
      </w:r>
    </w:p>
  </w:footnote>
  <w:footnote w:id="18">
    <w:p w:rsidR="0070725C" w:rsidRPr="001B5AD6" w:rsidP="009D4187">
      <w:pPr>
        <w:pStyle w:val="FootnoteText"/>
        <w:spacing w:after="120"/>
        <w:rPr>
          <w:sz w:val="20"/>
        </w:rPr>
      </w:pPr>
      <w:r w:rsidRPr="001B5AD6">
        <w:rPr>
          <w:rStyle w:val="FootnoteReference"/>
          <w:sz w:val="20"/>
        </w:rPr>
        <w:footnoteRef/>
      </w:r>
      <w:r w:rsidRPr="001B5AD6">
        <w:rPr>
          <w:sz w:val="20"/>
        </w:rPr>
        <w:t xml:space="preserve"> </w:t>
      </w:r>
      <w:r w:rsidRPr="000C6CB2">
        <w:rPr>
          <w:i/>
          <w:iCs/>
          <w:sz w:val="20"/>
        </w:rPr>
        <w:t>Id.</w:t>
      </w:r>
      <w:r>
        <w:rPr>
          <w:sz w:val="20"/>
        </w:rPr>
        <w:t>,</w:t>
      </w:r>
      <w:r w:rsidRPr="000C6CB2">
        <w:rPr>
          <w:sz w:val="20"/>
        </w:rPr>
        <w:t xml:space="preserve"> </w:t>
      </w:r>
      <w:r>
        <w:rPr>
          <w:sz w:val="20"/>
        </w:rPr>
        <w:t xml:space="preserve">Exh. 1 at </w:t>
      </w:r>
      <w:r w:rsidR="008B7CA9">
        <w:rPr>
          <w:sz w:val="20"/>
        </w:rPr>
        <w:t>24-</w:t>
      </w:r>
      <w:r>
        <w:rPr>
          <w:sz w:val="20"/>
        </w:rPr>
        <w:t>25.</w:t>
      </w:r>
    </w:p>
  </w:footnote>
  <w:footnote w:id="19">
    <w:p w:rsidR="0070725C" w:rsidRPr="001B5AD6" w:rsidP="009D4187">
      <w:pPr>
        <w:pStyle w:val="FootnoteText"/>
        <w:spacing w:after="120"/>
        <w:rPr>
          <w:sz w:val="20"/>
        </w:rPr>
      </w:pPr>
      <w:r w:rsidRPr="001B5AD6">
        <w:rPr>
          <w:rStyle w:val="FootnoteReference"/>
          <w:sz w:val="20"/>
        </w:rPr>
        <w:footnoteRef/>
      </w:r>
      <w:r w:rsidRPr="001B5AD6">
        <w:rPr>
          <w:sz w:val="20"/>
        </w:rPr>
        <w:t xml:space="preserve"> </w:t>
      </w:r>
      <w:r w:rsidRPr="001B5AD6">
        <w:rPr>
          <w:i/>
          <w:iCs/>
          <w:sz w:val="20"/>
        </w:rPr>
        <w:t>Id</w:t>
      </w:r>
      <w:r>
        <w:rPr>
          <w:i/>
          <w:iCs/>
          <w:sz w:val="20"/>
        </w:rPr>
        <w:t>.</w:t>
      </w:r>
    </w:p>
  </w:footnote>
  <w:footnote w:id="20">
    <w:p w:rsidR="0070725C" w:rsidRPr="009D4187" w:rsidP="009D4187">
      <w:pPr>
        <w:pStyle w:val="FootnoteText"/>
        <w:spacing w:after="120"/>
        <w:rPr>
          <w:sz w:val="20"/>
        </w:rPr>
      </w:pPr>
      <w:r w:rsidRPr="009D4187">
        <w:rPr>
          <w:rStyle w:val="FootnoteReference"/>
          <w:sz w:val="20"/>
        </w:rPr>
        <w:footnoteRef/>
      </w:r>
      <w:r w:rsidRPr="009D4187">
        <w:rPr>
          <w:sz w:val="20"/>
        </w:rPr>
        <w:t xml:space="preserve"> </w:t>
      </w:r>
      <w:r w:rsidRPr="009D4187">
        <w:rPr>
          <w:i/>
          <w:iCs/>
          <w:sz w:val="20"/>
        </w:rPr>
        <w:t>Id.</w:t>
      </w:r>
      <w:r w:rsidRPr="009D4187">
        <w:rPr>
          <w:sz w:val="20"/>
        </w:rPr>
        <w:t>, Exh. 1 at</w:t>
      </w:r>
      <w:r>
        <w:rPr>
          <w:sz w:val="20"/>
        </w:rPr>
        <w:t xml:space="preserve"> 17.</w:t>
      </w:r>
      <w:r w:rsidR="00A965AE">
        <w:rPr>
          <w:sz w:val="20"/>
        </w:rPr>
        <w:t xml:space="preserve">  </w:t>
      </w:r>
      <w:r w:rsidR="00A965AE">
        <w:rPr>
          <w:i/>
          <w:iCs/>
          <w:sz w:val="20"/>
        </w:rPr>
        <w:t xml:space="preserve">See </w:t>
      </w:r>
      <w:r w:rsidR="00A965AE">
        <w:rPr>
          <w:sz w:val="20"/>
        </w:rPr>
        <w:t xml:space="preserve">Alaska Communications Internet, LLC, Priority Access License Application, File No. </w:t>
      </w:r>
      <w:r w:rsidRPr="006E5592" w:rsidR="00A965AE">
        <w:rPr>
          <w:sz w:val="20"/>
        </w:rPr>
        <w:t>0009226321</w:t>
      </w:r>
      <w:r w:rsidR="00A965AE">
        <w:rPr>
          <w:sz w:val="20"/>
        </w:rPr>
        <w:t xml:space="preserve"> (filed Sept. 17, 2020, and amended Oct. 21, 2020); SAL Spectrum, LLC, Priority Access License Application, File No. </w:t>
      </w:r>
      <w:r w:rsidRPr="006E5592" w:rsidR="00A965AE">
        <w:rPr>
          <w:sz w:val="20"/>
        </w:rPr>
        <w:t>0009223630</w:t>
      </w:r>
      <w:r w:rsidR="00A965AE">
        <w:rPr>
          <w:sz w:val="20"/>
        </w:rPr>
        <w:t xml:space="preserve"> (filed Sept. 17, 2020).</w:t>
      </w:r>
    </w:p>
  </w:footnote>
  <w:footnote w:id="21">
    <w:p w:rsidR="0070725C" w:rsidP="009D4187">
      <w:pPr>
        <w:pStyle w:val="FootnoteText"/>
        <w:spacing w:after="120"/>
      </w:pPr>
      <w:bookmarkStart w:id="10" w:name="_Hlk64369315"/>
      <w:r>
        <w:rPr>
          <w:rStyle w:val="FootnoteReference"/>
        </w:rPr>
        <w:footnoteRef/>
      </w:r>
      <w:r>
        <w:t xml:space="preserve"> </w:t>
      </w:r>
      <w:r w:rsidRPr="00A965AE" w:rsidR="00A965AE">
        <w:rPr>
          <w:sz w:val="20"/>
        </w:rPr>
        <w:t>Lead Application</w:t>
      </w:r>
      <w:r w:rsidRPr="00A965AE">
        <w:rPr>
          <w:sz w:val="20"/>
        </w:rPr>
        <w:t>,</w:t>
      </w:r>
      <w:r w:rsidRPr="00787381">
        <w:rPr>
          <w:sz w:val="20"/>
        </w:rPr>
        <w:t xml:space="preserve"> Exh. 1 at</w:t>
      </w:r>
      <w:r>
        <w:rPr>
          <w:sz w:val="20"/>
        </w:rPr>
        <w:t xml:space="preserve"> 18</w:t>
      </w:r>
      <w:bookmarkEnd w:id="10"/>
      <w:r>
        <w:rPr>
          <w:sz w:val="20"/>
        </w:rPr>
        <w:t>.</w:t>
      </w:r>
    </w:p>
  </w:footnote>
  <w:footnote w:id="22">
    <w:p w:rsidR="0070725C" w:rsidRPr="009D4187" w:rsidP="009D4187">
      <w:pPr>
        <w:pStyle w:val="FootnoteText"/>
        <w:spacing w:after="120"/>
        <w:rPr>
          <w:sz w:val="20"/>
        </w:rPr>
      </w:pPr>
      <w:r w:rsidRPr="009D4187">
        <w:rPr>
          <w:rStyle w:val="FootnoteReference"/>
          <w:sz w:val="20"/>
        </w:rPr>
        <w:footnoteRef/>
      </w:r>
      <w:r w:rsidRPr="009D4187">
        <w:rPr>
          <w:sz w:val="20"/>
        </w:rPr>
        <w:t xml:space="preserve"> 47 CFR § 96.31.</w:t>
      </w:r>
    </w:p>
  </w:footnote>
  <w:footnote w:id="23">
    <w:p w:rsidR="0070725C" w:rsidRPr="009D4187" w:rsidP="009D4187">
      <w:pPr>
        <w:pStyle w:val="FootnoteText"/>
        <w:spacing w:after="120"/>
        <w:rPr>
          <w:i/>
          <w:iCs/>
          <w:sz w:val="20"/>
        </w:rPr>
      </w:pPr>
      <w:r w:rsidRPr="009D4187">
        <w:rPr>
          <w:rStyle w:val="FootnoteReference"/>
          <w:sz w:val="20"/>
        </w:rPr>
        <w:footnoteRef/>
      </w:r>
      <w:r w:rsidRPr="009D4187">
        <w:rPr>
          <w:sz w:val="20"/>
        </w:rPr>
        <w:t xml:space="preserve"> </w:t>
      </w:r>
      <w:r w:rsidRPr="00A965AE" w:rsidR="00C14625">
        <w:rPr>
          <w:sz w:val="20"/>
        </w:rPr>
        <w:t>Lead Application,</w:t>
      </w:r>
      <w:r w:rsidRPr="00787381" w:rsidR="00C14625">
        <w:rPr>
          <w:sz w:val="20"/>
        </w:rPr>
        <w:t xml:space="preserve"> Exh. 1 at</w:t>
      </w:r>
      <w:r w:rsidR="00C14625">
        <w:rPr>
          <w:sz w:val="20"/>
        </w:rPr>
        <w:t xml:space="preserve"> 18.</w:t>
      </w:r>
    </w:p>
  </w:footnote>
  <w:footnote w:id="24">
    <w:p w:rsidR="0070725C" w:rsidRPr="009D4187" w:rsidP="009D4187">
      <w:pPr>
        <w:pStyle w:val="FootnoteText"/>
        <w:spacing w:after="120"/>
        <w:rPr>
          <w:i/>
          <w:iCs/>
          <w:sz w:val="20"/>
        </w:rPr>
      </w:pPr>
      <w:r w:rsidRPr="009D4187">
        <w:rPr>
          <w:rStyle w:val="FootnoteReference"/>
          <w:sz w:val="20"/>
        </w:rPr>
        <w:footnoteRef/>
      </w:r>
      <w:r w:rsidRPr="009D4187">
        <w:rPr>
          <w:sz w:val="20"/>
        </w:rPr>
        <w:t xml:space="preserve"> </w:t>
      </w:r>
      <w:r w:rsidRPr="009D4187">
        <w:rPr>
          <w:i/>
          <w:iCs/>
          <w:sz w:val="20"/>
        </w:rPr>
        <w:t>Id.</w:t>
      </w:r>
    </w:p>
  </w:footnote>
  <w:footnote w:id="25">
    <w:p w:rsidR="0070725C" w:rsidRPr="009D4187" w:rsidP="009D4187">
      <w:pPr>
        <w:pStyle w:val="FootnoteText"/>
        <w:spacing w:after="120"/>
        <w:rPr>
          <w:i/>
          <w:iCs/>
          <w:sz w:val="20"/>
        </w:rPr>
      </w:pPr>
      <w:r w:rsidRPr="009D4187">
        <w:rPr>
          <w:rStyle w:val="FootnoteReference"/>
          <w:sz w:val="20"/>
        </w:rPr>
        <w:footnoteRef/>
      </w:r>
      <w:r w:rsidRPr="009D4187">
        <w:rPr>
          <w:sz w:val="20"/>
        </w:rPr>
        <w:t xml:space="preserve"> </w:t>
      </w:r>
      <w:r w:rsidRPr="009D4187">
        <w:rPr>
          <w:i/>
          <w:iCs/>
          <w:sz w:val="20"/>
        </w:rPr>
        <w:t>Id.</w:t>
      </w:r>
    </w:p>
  </w:footnote>
  <w:footnote w:id="26">
    <w:p w:rsidR="0070725C" w:rsidRPr="009D4187" w:rsidP="009D4187">
      <w:pPr>
        <w:pStyle w:val="FootnoteText"/>
        <w:spacing w:after="120"/>
        <w:rPr>
          <w:sz w:val="20"/>
        </w:rPr>
      </w:pPr>
      <w:r w:rsidRPr="009D4187">
        <w:rPr>
          <w:rStyle w:val="FootnoteReference"/>
          <w:sz w:val="20"/>
        </w:rPr>
        <w:footnoteRef/>
      </w:r>
      <w:r w:rsidRPr="009D4187">
        <w:rPr>
          <w:sz w:val="20"/>
        </w:rPr>
        <w:t xml:space="preserve"> </w:t>
      </w:r>
      <w:r w:rsidRPr="009D4187">
        <w:rPr>
          <w:i/>
          <w:iCs/>
          <w:sz w:val="20"/>
        </w:rPr>
        <w:t>Id</w:t>
      </w:r>
      <w:r w:rsidRPr="009D4187">
        <w:rPr>
          <w:sz w:val="20"/>
        </w:rPr>
        <w:t>.</w:t>
      </w:r>
    </w:p>
  </w:footnote>
  <w:footnote w:id="27">
    <w:p w:rsidR="0070725C" w:rsidRPr="009D4187" w:rsidP="009D4187">
      <w:pPr>
        <w:pStyle w:val="FootnoteText"/>
        <w:spacing w:after="120"/>
        <w:rPr>
          <w:i/>
          <w:iCs/>
          <w:sz w:val="20"/>
        </w:rPr>
      </w:pPr>
      <w:r w:rsidRPr="009D4187">
        <w:rPr>
          <w:rStyle w:val="FootnoteReference"/>
          <w:sz w:val="20"/>
        </w:rPr>
        <w:footnoteRef/>
      </w:r>
      <w:r w:rsidRPr="009D4187">
        <w:rPr>
          <w:sz w:val="20"/>
        </w:rPr>
        <w:t xml:space="preserve"> </w:t>
      </w:r>
      <w:r w:rsidRPr="009D4187">
        <w:rPr>
          <w:i/>
          <w:iCs/>
          <w:sz w:val="20"/>
        </w:rPr>
        <w:t>Id.</w:t>
      </w:r>
    </w:p>
  </w:footnote>
  <w:footnote w:id="28">
    <w:p w:rsidR="0070725C" w:rsidRPr="009D4187" w:rsidP="009D4187">
      <w:pPr>
        <w:pStyle w:val="FootnoteText"/>
        <w:spacing w:after="120"/>
        <w:rPr>
          <w:sz w:val="20"/>
        </w:rPr>
      </w:pPr>
      <w:r w:rsidRPr="009D4187">
        <w:rPr>
          <w:rStyle w:val="FootnoteReference"/>
          <w:sz w:val="20"/>
        </w:rPr>
        <w:footnoteRef/>
      </w:r>
      <w:r w:rsidRPr="009D4187">
        <w:rPr>
          <w:sz w:val="20"/>
        </w:rPr>
        <w:t xml:space="preserve"> </w:t>
      </w:r>
      <w:r w:rsidRPr="009D4187">
        <w:rPr>
          <w:i/>
          <w:iCs/>
          <w:sz w:val="20"/>
        </w:rPr>
        <w:t>Id</w:t>
      </w:r>
      <w:r w:rsidRPr="009D4187">
        <w:rPr>
          <w:sz w:val="20"/>
        </w:rPr>
        <w:t>.</w:t>
      </w:r>
    </w:p>
  </w:footnote>
  <w:footnote w:id="29">
    <w:p w:rsidR="0070725C" w:rsidRPr="003D3B9E" w:rsidP="009D4187">
      <w:pPr>
        <w:pStyle w:val="FootnoteText"/>
        <w:spacing w:after="120"/>
        <w:rPr>
          <w:sz w:val="20"/>
        </w:rPr>
      </w:pPr>
      <w:r w:rsidRPr="003D3B9E">
        <w:rPr>
          <w:rStyle w:val="FootnoteReference"/>
          <w:sz w:val="20"/>
        </w:rPr>
        <w:footnoteRef/>
      </w:r>
      <w:r w:rsidRPr="003D3B9E">
        <w:rPr>
          <w:sz w:val="20"/>
        </w:rPr>
        <w:t xml:space="preserve"> </w:t>
      </w:r>
      <w:bookmarkStart w:id="11" w:name="_Hlk41917104"/>
      <w:r w:rsidRPr="001F15D2">
        <w:rPr>
          <w:i/>
          <w:sz w:val="20"/>
        </w:rPr>
        <w:t>Id</w:t>
      </w:r>
      <w:r>
        <w:rPr>
          <w:sz w:val="20"/>
        </w:rPr>
        <w:t xml:space="preserve">., Exh. 1 at </w:t>
      </w:r>
      <w:bookmarkEnd w:id="11"/>
      <w:r>
        <w:rPr>
          <w:sz w:val="20"/>
        </w:rPr>
        <w:t>25-26.</w:t>
      </w:r>
    </w:p>
  </w:footnote>
  <w:footnote w:id="30">
    <w:p w:rsidR="0070725C" w:rsidP="009D4187">
      <w:pPr>
        <w:pStyle w:val="FootnoteText"/>
        <w:spacing w:after="120"/>
      </w:pPr>
      <w:r>
        <w:rPr>
          <w:rStyle w:val="FootnoteReference"/>
        </w:rPr>
        <w:footnoteRef/>
      </w:r>
      <w:r>
        <w:t xml:space="preserve"> </w:t>
      </w:r>
      <w:r w:rsidRPr="001F15D2">
        <w:rPr>
          <w:i/>
          <w:sz w:val="20"/>
        </w:rPr>
        <w:t>Id</w:t>
      </w:r>
      <w:r>
        <w:rPr>
          <w:sz w:val="20"/>
        </w:rPr>
        <w:t>., Exh. 1 at 27.</w:t>
      </w:r>
    </w:p>
  </w:footnote>
  <w:footnote w:id="31">
    <w:p w:rsidR="0070725C" w:rsidP="009D4187">
      <w:pPr>
        <w:pStyle w:val="FootnoteText"/>
        <w:spacing w:after="120"/>
      </w:pPr>
      <w:r>
        <w:rPr>
          <w:rStyle w:val="FootnoteReference"/>
        </w:rPr>
        <w:footnoteRef/>
      </w:r>
      <w:r>
        <w:t xml:space="preserve"> </w:t>
      </w:r>
      <w:r w:rsidRPr="001F15D2">
        <w:rPr>
          <w:i/>
          <w:sz w:val="20"/>
        </w:rPr>
        <w:t>Id</w:t>
      </w:r>
      <w:r>
        <w:rPr>
          <w:sz w:val="20"/>
        </w:rPr>
        <w:t>., Exh. 1 at 29.</w:t>
      </w:r>
    </w:p>
  </w:footnote>
  <w:footnote w:id="32">
    <w:p w:rsidR="0070725C" w:rsidP="009D4187">
      <w:pPr>
        <w:pStyle w:val="FootnoteText"/>
        <w:spacing w:after="120"/>
      </w:pPr>
      <w:r>
        <w:rPr>
          <w:rStyle w:val="FootnoteReference"/>
        </w:rPr>
        <w:footnoteRef/>
      </w:r>
      <w:r>
        <w:t xml:space="preserve"> </w:t>
      </w:r>
      <w:bookmarkStart w:id="12" w:name="_Hlk41918418"/>
      <w:r w:rsidRPr="001F15D2">
        <w:rPr>
          <w:i/>
          <w:sz w:val="20"/>
        </w:rPr>
        <w:t>Id</w:t>
      </w:r>
      <w:r>
        <w:rPr>
          <w:sz w:val="20"/>
        </w:rPr>
        <w:t>., Exh. 1 at 30-31.</w:t>
      </w:r>
      <w:bookmarkEnd w:id="12"/>
    </w:p>
  </w:footnote>
  <w:footnote w:id="33">
    <w:p w:rsidR="0070725C" w:rsidP="009D4187">
      <w:pPr>
        <w:pStyle w:val="FootnoteText"/>
        <w:spacing w:after="120"/>
      </w:pPr>
      <w:r>
        <w:rPr>
          <w:rStyle w:val="FootnoteReference"/>
        </w:rPr>
        <w:footnoteRef/>
      </w:r>
      <w:r>
        <w:t xml:space="preserve"> </w:t>
      </w:r>
      <w:r w:rsidRPr="001F15D2">
        <w:rPr>
          <w:i/>
          <w:sz w:val="20"/>
        </w:rPr>
        <w:t>Id</w:t>
      </w:r>
      <w:r>
        <w:rPr>
          <w:sz w:val="20"/>
        </w:rPr>
        <w:t>., Exh. 1 at 30.</w:t>
      </w:r>
    </w:p>
  </w:footnote>
  <w:footnote w:id="34">
    <w:p w:rsidR="0070725C" w:rsidRPr="00634060" w:rsidP="0009631D">
      <w:pPr>
        <w:pStyle w:val="FootnoteText"/>
        <w:tabs>
          <w:tab w:val="clear" w:pos="720"/>
        </w:tabs>
        <w:spacing w:after="120"/>
        <w:rPr>
          <w:sz w:val="20"/>
        </w:rPr>
      </w:pPr>
      <w:r w:rsidRPr="00021F2D">
        <w:rPr>
          <w:rStyle w:val="FootnoteReference"/>
          <w:sz w:val="20"/>
        </w:rPr>
        <w:footnoteRef/>
      </w:r>
      <w:r w:rsidRPr="00021F2D">
        <w:rPr>
          <w:sz w:val="20"/>
        </w:rPr>
        <w:t xml:space="preserve"> </w:t>
      </w:r>
      <w:r w:rsidRPr="00634060">
        <w:rPr>
          <w:i/>
          <w:sz w:val="20"/>
        </w:rPr>
        <w:t>See</w:t>
      </w:r>
      <w:r w:rsidRPr="00634060">
        <w:rPr>
          <w:sz w:val="20"/>
        </w:rPr>
        <w:t xml:space="preserve"> 47 CFR § 1.45(c).</w:t>
      </w:r>
    </w:p>
  </w:footnote>
  <w:footnote w:id="35">
    <w:p w:rsidR="0070725C" w:rsidRPr="00021F2D" w:rsidP="0038750A">
      <w:pPr>
        <w:pStyle w:val="FootnoteText"/>
        <w:rPr>
          <w:color w:val="000000"/>
          <w:sz w:val="20"/>
        </w:rPr>
      </w:pPr>
      <w:r w:rsidRPr="00021F2D">
        <w:rPr>
          <w:rStyle w:val="FootnoteReference"/>
          <w:color w:val="000000"/>
          <w:sz w:val="20"/>
        </w:rPr>
        <w:footnoteRef/>
      </w:r>
      <w:r w:rsidRPr="00021F2D">
        <w:rPr>
          <w:color w:val="000000"/>
          <w:sz w:val="20"/>
        </w:rPr>
        <w:t xml:space="preserve"> 47 CFR § 63.03.</w:t>
      </w:r>
    </w:p>
  </w:footnote>
  <w:footnote w:id="36">
    <w:p w:rsidR="0070725C">
      <w:pPr>
        <w:pStyle w:val="FootnoteText"/>
      </w:pPr>
      <w:r>
        <w:rPr>
          <w:rStyle w:val="FootnoteReference"/>
        </w:rPr>
        <w:footnoteRef/>
      </w:r>
      <w:r>
        <w:t xml:space="preserve"> This application is the lead application for the wireless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25C">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70725C">
                <w:pPr>
                  <w:rPr>
                    <w:rFonts w:ascii="Arial" w:hAnsi="Arial"/>
                    <w:b/>
                  </w:rPr>
                </w:pPr>
                <w:r>
                  <w:rPr>
                    <w:rFonts w:ascii="Arial" w:hAnsi="Arial"/>
                    <w:b/>
                  </w:rPr>
                  <w:t>Federal Communications Commission</w:t>
                </w:r>
              </w:p>
              <w:p w:rsidR="0070725C">
                <w:pPr>
                  <w:rPr>
                    <w:rFonts w:ascii="Arial" w:hAnsi="Arial"/>
                    <w:b/>
                  </w:rPr>
                </w:pPr>
                <w:r>
                  <w:rPr>
                    <w:rFonts w:ascii="Arial" w:hAnsi="Arial"/>
                    <w:b/>
                  </w:rPr>
                  <w:t>45 L St., N.E.</w:t>
                </w:r>
              </w:p>
              <w:p w:rsidR="0070725C">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70725C">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70725C">
                <w:pPr>
                  <w:spacing w:before="40"/>
                  <w:jc w:val="right"/>
                  <w:rPr>
                    <w:rFonts w:ascii="Arial" w:hAnsi="Arial"/>
                    <w:b/>
                    <w:sz w:val="16"/>
                  </w:rPr>
                </w:pPr>
                <w:r>
                  <w:rPr>
                    <w:rFonts w:ascii="Arial" w:hAnsi="Arial"/>
                    <w:b/>
                    <w:sz w:val="16"/>
                  </w:rPr>
                  <w:t>News Media Information 202 / 418-0500</w:t>
                </w:r>
              </w:p>
              <w:p w:rsidR="0070725C">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70725C">
                <w:pPr>
                  <w:jc w:val="right"/>
                  <w:rPr>
                    <w:rFonts w:ascii="Arial" w:hAnsi="Arial"/>
                    <w:b/>
                    <w:sz w:val="16"/>
                  </w:rPr>
                </w:pPr>
              </w:p>
              <w:p w:rsidR="0070725C">
                <w:pPr>
                  <w:jc w:val="right"/>
                </w:pPr>
              </w:p>
            </w:txbxContent>
          </v:textbox>
        </v:shape>
      </w:pict>
    </w:r>
  </w:p>
  <w:p w:rsidR="0070725C">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725C">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9EC6B200"/>
    <w:lvl w:ilvl="0">
      <w:start w:val="1"/>
      <w:numFmt w:val="bullet"/>
      <w:lvlText w:val=""/>
      <w:lvlJc w:val="left"/>
      <w:pPr>
        <w:tabs>
          <w:tab w:val="num" w:pos="720"/>
        </w:tabs>
        <w:ind w:left="720" w:hanging="360"/>
      </w:pPr>
      <w:rPr>
        <w:rFonts w:ascii="Wingdings" w:hAnsi="Wingdings" w:hint="default"/>
        <w:sz w:val="20"/>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multi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multi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multilevel"/>
    <w:tmpl w:val="C03E86D2"/>
    <w:lvl w:ilvl="0">
      <w:start w:val="1"/>
      <w:numFmt w:val="bullet"/>
      <w:pStyle w:val="Bullet"/>
      <w:lvlText w:val=""/>
      <w:lvlJc w:val="left"/>
      <w:pPr>
        <w:tabs>
          <w:tab w:val="num" w:pos="2520"/>
        </w:tabs>
        <w:ind w:left="252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hybrid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2"/>
    <w:rsid w:val="00005816"/>
    <w:rsid w:val="00012497"/>
    <w:rsid w:val="00013A06"/>
    <w:rsid w:val="0001669F"/>
    <w:rsid w:val="00020127"/>
    <w:rsid w:val="000209A3"/>
    <w:rsid w:val="00021394"/>
    <w:rsid w:val="00021A67"/>
    <w:rsid w:val="00021B30"/>
    <w:rsid w:val="00021F2D"/>
    <w:rsid w:val="000224EB"/>
    <w:rsid w:val="0002343B"/>
    <w:rsid w:val="00024F0E"/>
    <w:rsid w:val="000264C0"/>
    <w:rsid w:val="00026C02"/>
    <w:rsid w:val="00026C34"/>
    <w:rsid w:val="000275C0"/>
    <w:rsid w:val="000308A3"/>
    <w:rsid w:val="000332A7"/>
    <w:rsid w:val="000333F5"/>
    <w:rsid w:val="00036507"/>
    <w:rsid w:val="00036643"/>
    <w:rsid w:val="00037B27"/>
    <w:rsid w:val="00037BA9"/>
    <w:rsid w:val="00040A35"/>
    <w:rsid w:val="000422D5"/>
    <w:rsid w:val="00051153"/>
    <w:rsid w:val="00051852"/>
    <w:rsid w:val="00053AD6"/>
    <w:rsid w:val="00053C09"/>
    <w:rsid w:val="00056AB1"/>
    <w:rsid w:val="00056FBA"/>
    <w:rsid w:val="00057039"/>
    <w:rsid w:val="0006083A"/>
    <w:rsid w:val="000611A3"/>
    <w:rsid w:val="000622EA"/>
    <w:rsid w:val="000677AC"/>
    <w:rsid w:val="000708B5"/>
    <w:rsid w:val="0007105B"/>
    <w:rsid w:val="000715CE"/>
    <w:rsid w:val="00073655"/>
    <w:rsid w:val="000758DF"/>
    <w:rsid w:val="00076872"/>
    <w:rsid w:val="00081F10"/>
    <w:rsid w:val="00082D70"/>
    <w:rsid w:val="000842DE"/>
    <w:rsid w:val="000843F4"/>
    <w:rsid w:val="00084FD2"/>
    <w:rsid w:val="000861FE"/>
    <w:rsid w:val="00086832"/>
    <w:rsid w:val="00094800"/>
    <w:rsid w:val="00095BE7"/>
    <w:rsid w:val="0009631D"/>
    <w:rsid w:val="00097A4D"/>
    <w:rsid w:val="000A1DF2"/>
    <w:rsid w:val="000A43A4"/>
    <w:rsid w:val="000A4F2D"/>
    <w:rsid w:val="000A6052"/>
    <w:rsid w:val="000B2409"/>
    <w:rsid w:val="000B3477"/>
    <w:rsid w:val="000B6195"/>
    <w:rsid w:val="000B69CA"/>
    <w:rsid w:val="000B7414"/>
    <w:rsid w:val="000C0855"/>
    <w:rsid w:val="000C1734"/>
    <w:rsid w:val="000C29BF"/>
    <w:rsid w:val="000C3D4B"/>
    <w:rsid w:val="000C46BB"/>
    <w:rsid w:val="000C6CB2"/>
    <w:rsid w:val="000D2F53"/>
    <w:rsid w:val="000D3FE6"/>
    <w:rsid w:val="000D557C"/>
    <w:rsid w:val="000D5DA8"/>
    <w:rsid w:val="000D6E61"/>
    <w:rsid w:val="000E1406"/>
    <w:rsid w:val="000E1FC6"/>
    <w:rsid w:val="000E239B"/>
    <w:rsid w:val="000E240A"/>
    <w:rsid w:val="000E2D3F"/>
    <w:rsid w:val="000E30CA"/>
    <w:rsid w:val="000E501F"/>
    <w:rsid w:val="000E759F"/>
    <w:rsid w:val="000F0702"/>
    <w:rsid w:val="000F115A"/>
    <w:rsid w:val="000F23B6"/>
    <w:rsid w:val="000F2AF0"/>
    <w:rsid w:val="000F3C60"/>
    <w:rsid w:val="000F5F9A"/>
    <w:rsid w:val="000F7081"/>
    <w:rsid w:val="0010170C"/>
    <w:rsid w:val="00101E17"/>
    <w:rsid w:val="00102730"/>
    <w:rsid w:val="00102CB4"/>
    <w:rsid w:val="00105690"/>
    <w:rsid w:val="001065C4"/>
    <w:rsid w:val="001068BF"/>
    <w:rsid w:val="00111189"/>
    <w:rsid w:val="0011491B"/>
    <w:rsid w:val="00115112"/>
    <w:rsid w:val="0011579B"/>
    <w:rsid w:val="00115EE2"/>
    <w:rsid w:val="00116230"/>
    <w:rsid w:val="0011660A"/>
    <w:rsid w:val="001212A4"/>
    <w:rsid w:val="00122C77"/>
    <w:rsid w:val="00130651"/>
    <w:rsid w:val="0013287A"/>
    <w:rsid w:val="00133246"/>
    <w:rsid w:val="001335D1"/>
    <w:rsid w:val="00134A22"/>
    <w:rsid w:val="00135256"/>
    <w:rsid w:val="001369D6"/>
    <w:rsid w:val="001404EC"/>
    <w:rsid w:val="001419AD"/>
    <w:rsid w:val="001447C3"/>
    <w:rsid w:val="001449D9"/>
    <w:rsid w:val="00145A03"/>
    <w:rsid w:val="00146426"/>
    <w:rsid w:val="00150DBD"/>
    <w:rsid w:val="00151C8B"/>
    <w:rsid w:val="00154422"/>
    <w:rsid w:val="0015480D"/>
    <w:rsid w:val="00154BAA"/>
    <w:rsid w:val="0015641C"/>
    <w:rsid w:val="001607FA"/>
    <w:rsid w:val="00160A25"/>
    <w:rsid w:val="00161D32"/>
    <w:rsid w:val="00163DCE"/>
    <w:rsid w:val="00163DD7"/>
    <w:rsid w:val="00164A7E"/>
    <w:rsid w:val="00164E4E"/>
    <w:rsid w:val="001654DB"/>
    <w:rsid w:val="00165A52"/>
    <w:rsid w:val="00167162"/>
    <w:rsid w:val="001746B2"/>
    <w:rsid w:val="00174884"/>
    <w:rsid w:val="001758DB"/>
    <w:rsid w:val="00175AF0"/>
    <w:rsid w:val="00176EAA"/>
    <w:rsid w:val="00177E40"/>
    <w:rsid w:val="00182A74"/>
    <w:rsid w:val="00183BC5"/>
    <w:rsid w:val="00183F96"/>
    <w:rsid w:val="0018574B"/>
    <w:rsid w:val="001865D6"/>
    <w:rsid w:val="00190AD1"/>
    <w:rsid w:val="001913A2"/>
    <w:rsid w:val="00192917"/>
    <w:rsid w:val="0019308E"/>
    <w:rsid w:val="0019360E"/>
    <w:rsid w:val="00194FDE"/>
    <w:rsid w:val="0019574C"/>
    <w:rsid w:val="001958E6"/>
    <w:rsid w:val="001960AD"/>
    <w:rsid w:val="00197863"/>
    <w:rsid w:val="00197FA0"/>
    <w:rsid w:val="001A1149"/>
    <w:rsid w:val="001A1EA3"/>
    <w:rsid w:val="001A55D3"/>
    <w:rsid w:val="001A6E16"/>
    <w:rsid w:val="001B01AF"/>
    <w:rsid w:val="001B158F"/>
    <w:rsid w:val="001B25F5"/>
    <w:rsid w:val="001B2861"/>
    <w:rsid w:val="001B2C2C"/>
    <w:rsid w:val="001B2FFE"/>
    <w:rsid w:val="001B49A1"/>
    <w:rsid w:val="001B4E69"/>
    <w:rsid w:val="001B5A65"/>
    <w:rsid w:val="001B5AD6"/>
    <w:rsid w:val="001B5E2E"/>
    <w:rsid w:val="001C0061"/>
    <w:rsid w:val="001C0358"/>
    <w:rsid w:val="001C0940"/>
    <w:rsid w:val="001C1487"/>
    <w:rsid w:val="001C249F"/>
    <w:rsid w:val="001C2BAE"/>
    <w:rsid w:val="001D1752"/>
    <w:rsid w:val="001D2CC4"/>
    <w:rsid w:val="001D3ABA"/>
    <w:rsid w:val="001D3C4A"/>
    <w:rsid w:val="001D5BAB"/>
    <w:rsid w:val="001D69DC"/>
    <w:rsid w:val="001D7171"/>
    <w:rsid w:val="001D7D59"/>
    <w:rsid w:val="001E014C"/>
    <w:rsid w:val="001E0F42"/>
    <w:rsid w:val="001E16DF"/>
    <w:rsid w:val="001E1A49"/>
    <w:rsid w:val="001E215D"/>
    <w:rsid w:val="001E284D"/>
    <w:rsid w:val="001E28FC"/>
    <w:rsid w:val="001E3906"/>
    <w:rsid w:val="001E4A3D"/>
    <w:rsid w:val="001E4A8D"/>
    <w:rsid w:val="001E50F1"/>
    <w:rsid w:val="001E580B"/>
    <w:rsid w:val="001E681F"/>
    <w:rsid w:val="001E744A"/>
    <w:rsid w:val="001F09B5"/>
    <w:rsid w:val="001F15D2"/>
    <w:rsid w:val="001F19CD"/>
    <w:rsid w:val="001F1F96"/>
    <w:rsid w:val="001F51CD"/>
    <w:rsid w:val="001F537A"/>
    <w:rsid w:val="001F5484"/>
    <w:rsid w:val="001F5B20"/>
    <w:rsid w:val="001F5C8B"/>
    <w:rsid w:val="001F5E78"/>
    <w:rsid w:val="001F6CEE"/>
    <w:rsid w:val="002009DB"/>
    <w:rsid w:val="00200A46"/>
    <w:rsid w:val="00200E0F"/>
    <w:rsid w:val="00201ECC"/>
    <w:rsid w:val="00202DA1"/>
    <w:rsid w:val="00203723"/>
    <w:rsid w:val="0020389B"/>
    <w:rsid w:val="00203A5A"/>
    <w:rsid w:val="00203ED1"/>
    <w:rsid w:val="0020514B"/>
    <w:rsid w:val="0020607D"/>
    <w:rsid w:val="00206B3C"/>
    <w:rsid w:val="00206C1E"/>
    <w:rsid w:val="00207A54"/>
    <w:rsid w:val="00210870"/>
    <w:rsid w:val="002169C0"/>
    <w:rsid w:val="00216AE5"/>
    <w:rsid w:val="00217097"/>
    <w:rsid w:val="002172C3"/>
    <w:rsid w:val="00217BC7"/>
    <w:rsid w:val="00221347"/>
    <w:rsid w:val="00222727"/>
    <w:rsid w:val="00223F4B"/>
    <w:rsid w:val="0022419C"/>
    <w:rsid w:val="00224FC0"/>
    <w:rsid w:val="0022541B"/>
    <w:rsid w:val="0022664E"/>
    <w:rsid w:val="00226F1C"/>
    <w:rsid w:val="00227167"/>
    <w:rsid w:val="002273F6"/>
    <w:rsid w:val="002301AE"/>
    <w:rsid w:val="0023198E"/>
    <w:rsid w:val="00232DBA"/>
    <w:rsid w:val="002336DD"/>
    <w:rsid w:val="00234975"/>
    <w:rsid w:val="002356B5"/>
    <w:rsid w:val="00235E4B"/>
    <w:rsid w:val="002360A2"/>
    <w:rsid w:val="00236297"/>
    <w:rsid w:val="00237D89"/>
    <w:rsid w:val="00237D99"/>
    <w:rsid w:val="00241771"/>
    <w:rsid w:val="00241BE5"/>
    <w:rsid w:val="00242548"/>
    <w:rsid w:val="00245051"/>
    <w:rsid w:val="00247487"/>
    <w:rsid w:val="00247EAA"/>
    <w:rsid w:val="00251418"/>
    <w:rsid w:val="00252622"/>
    <w:rsid w:val="00252919"/>
    <w:rsid w:val="002532C5"/>
    <w:rsid w:val="0025377B"/>
    <w:rsid w:val="00253E81"/>
    <w:rsid w:val="00254ECA"/>
    <w:rsid w:val="0025577D"/>
    <w:rsid w:val="00255C77"/>
    <w:rsid w:val="00256B4A"/>
    <w:rsid w:val="00256D3A"/>
    <w:rsid w:val="0025703D"/>
    <w:rsid w:val="002570DE"/>
    <w:rsid w:val="00260145"/>
    <w:rsid w:val="00260BC5"/>
    <w:rsid w:val="0026393B"/>
    <w:rsid w:val="00263DF9"/>
    <w:rsid w:val="00266E23"/>
    <w:rsid w:val="002676E5"/>
    <w:rsid w:val="002700E3"/>
    <w:rsid w:val="002710BB"/>
    <w:rsid w:val="00271386"/>
    <w:rsid w:val="002722C2"/>
    <w:rsid w:val="00272914"/>
    <w:rsid w:val="0027347D"/>
    <w:rsid w:val="0027368D"/>
    <w:rsid w:val="00277EC1"/>
    <w:rsid w:val="00277F1D"/>
    <w:rsid w:val="00280A19"/>
    <w:rsid w:val="00280D2A"/>
    <w:rsid w:val="00281C4B"/>
    <w:rsid w:val="00283F81"/>
    <w:rsid w:val="002846CF"/>
    <w:rsid w:val="002849E8"/>
    <w:rsid w:val="0028593D"/>
    <w:rsid w:val="002912F8"/>
    <w:rsid w:val="0029186A"/>
    <w:rsid w:val="00291EE2"/>
    <w:rsid w:val="00293F50"/>
    <w:rsid w:val="002A013D"/>
    <w:rsid w:val="002A0611"/>
    <w:rsid w:val="002A0F17"/>
    <w:rsid w:val="002A1A50"/>
    <w:rsid w:val="002A1F0F"/>
    <w:rsid w:val="002A379A"/>
    <w:rsid w:val="002A3D28"/>
    <w:rsid w:val="002A54A1"/>
    <w:rsid w:val="002A6027"/>
    <w:rsid w:val="002A7866"/>
    <w:rsid w:val="002B1056"/>
    <w:rsid w:val="002B1162"/>
    <w:rsid w:val="002B211F"/>
    <w:rsid w:val="002B2167"/>
    <w:rsid w:val="002B416D"/>
    <w:rsid w:val="002B452F"/>
    <w:rsid w:val="002C0134"/>
    <w:rsid w:val="002C2632"/>
    <w:rsid w:val="002C54ED"/>
    <w:rsid w:val="002C7CF1"/>
    <w:rsid w:val="002D10D9"/>
    <w:rsid w:val="002D3698"/>
    <w:rsid w:val="002D3C2C"/>
    <w:rsid w:val="002D3ED6"/>
    <w:rsid w:val="002D5526"/>
    <w:rsid w:val="002D58E3"/>
    <w:rsid w:val="002D5FEB"/>
    <w:rsid w:val="002D64AB"/>
    <w:rsid w:val="002D70E5"/>
    <w:rsid w:val="002D7D01"/>
    <w:rsid w:val="002E0A3E"/>
    <w:rsid w:val="002E0AE6"/>
    <w:rsid w:val="002E1181"/>
    <w:rsid w:val="002E148F"/>
    <w:rsid w:val="002E26BC"/>
    <w:rsid w:val="002E2BBB"/>
    <w:rsid w:val="002E3F4D"/>
    <w:rsid w:val="002E4F92"/>
    <w:rsid w:val="002E64F4"/>
    <w:rsid w:val="002E75D7"/>
    <w:rsid w:val="002F000F"/>
    <w:rsid w:val="002F1F0C"/>
    <w:rsid w:val="002F21C4"/>
    <w:rsid w:val="002F5A0D"/>
    <w:rsid w:val="002F68BA"/>
    <w:rsid w:val="002F78B8"/>
    <w:rsid w:val="002F7BC6"/>
    <w:rsid w:val="00300258"/>
    <w:rsid w:val="003033B0"/>
    <w:rsid w:val="00305ACD"/>
    <w:rsid w:val="00305B61"/>
    <w:rsid w:val="0030659D"/>
    <w:rsid w:val="00311D03"/>
    <w:rsid w:val="00312F6E"/>
    <w:rsid w:val="00313AB4"/>
    <w:rsid w:val="0031507C"/>
    <w:rsid w:val="0031625B"/>
    <w:rsid w:val="00316C41"/>
    <w:rsid w:val="0031734D"/>
    <w:rsid w:val="0031751E"/>
    <w:rsid w:val="00321466"/>
    <w:rsid w:val="00321FD3"/>
    <w:rsid w:val="003220C0"/>
    <w:rsid w:val="00323193"/>
    <w:rsid w:val="00326C90"/>
    <w:rsid w:val="00326DAB"/>
    <w:rsid w:val="00330590"/>
    <w:rsid w:val="00330DD0"/>
    <w:rsid w:val="00332E1C"/>
    <w:rsid w:val="00333584"/>
    <w:rsid w:val="003348A2"/>
    <w:rsid w:val="00340078"/>
    <w:rsid w:val="00340A1E"/>
    <w:rsid w:val="00340CBB"/>
    <w:rsid w:val="003415A5"/>
    <w:rsid w:val="0034414A"/>
    <w:rsid w:val="003452E3"/>
    <w:rsid w:val="00350494"/>
    <w:rsid w:val="003517EE"/>
    <w:rsid w:val="003519F3"/>
    <w:rsid w:val="00352202"/>
    <w:rsid w:val="00354BAE"/>
    <w:rsid w:val="00356A33"/>
    <w:rsid w:val="00356A8E"/>
    <w:rsid w:val="003602FC"/>
    <w:rsid w:val="00361CAE"/>
    <w:rsid w:val="00362735"/>
    <w:rsid w:val="00363AB2"/>
    <w:rsid w:val="003713FE"/>
    <w:rsid w:val="00375231"/>
    <w:rsid w:val="0037536F"/>
    <w:rsid w:val="00375720"/>
    <w:rsid w:val="00377A13"/>
    <w:rsid w:val="00377CC1"/>
    <w:rsid w:val="003805A7"/>
    <w:rsid w:val="00381027"/>
    <w:rsid w:val="003814E9"/>
    <w:rsid w:val="0038197E"/>
    <w:rsid w:val="00382418"/>
    <w:rsid w:val="003826DE"/>
    <w:rsid w:val="0038594C"/>
    <w:rsid w:val="00385A21"/>
    <w:rsid w:val="00385D22"/>
    <w:rsid w:val="00386091"/>
    <w:rsid w:val="0038750A"/>
    <w:rsid w:val="00387CB5"/>
    <w:rsid w:val="00391A26"/>
    <w:rsid w:val="00392341"/>
    <w:rsid w:val="00394713"/>
    <w:rsid w:val="003958CC"/>
    <w:rsid w:val="00395FC7"/>
    <w:rsid w:val="003A0623"/>
    <w:rsid w:val="003A0BE5"/>
    <w:rsid w:val="003A15D6"/>
    <w:rsid w:val="003A353D"/>
    <w:rsid w:val="003A3C2F"/>
    <w:rsid w:val="003A3CB8"/>
    <w:rsid w:val="003A46D8"/>
    <w:rsid w:val="003B1C8B"/>
    <w:rsid w:val="003B210D"/>
    <w:rsid w:val="003B2B00"/>
    <w:rsid w:val="003B3940"/>
    <w:rsid w:val="003B6314"/>
    <w:rsid w:val="003C2297"/>
    <w:rsid w:val="003C5921"/>
    <w:rsid w:val="003C6549"/>
    <w:rsid w:val="003C6B09"/>
    <w:rsid w:val="003C6D63"/>
    <w:rsid w:val="003C6F1A"/>
    <w:rsid w:val="003C7A78"/>
    <w:rsid w:val="003D0F5F"/>
    <w:rsid w:val="003D2CC0"/>
    <w:rsid w:val="003D3B9E"/>
    <w:rsid w:val="003D3C17"/>
    <w:rsid w:val="003D4F8F"/>
    <w:rsid w:val="003D53C3"/>
    <w:rsid w:val="003E01F5"/>
    <w:rsid w:val="003E227E"/>
    <w:rsid w:val="003E2D28"/>
    <w:rsid w:val="003E3315"/>
    <w:rsid w:val="003E47C4"/>
    <w:rsid w:val="003E4FA0"/>
    <w:rsid w:val="003E79E3"/>
    <w:rsid w:val="003E7B36"/>
    <w:rsid w:val="003E7CC1"/>
    <w:rsid w:val="003F2DA0"/>
    <w:rsid w:val="003F2F90"/>
    <w:rsid w:val="003F4124"/>
    <w:rsid w:val="003F5DCE"/>
    <w:rsid w:val="003F61C4"/>
    <w:rsid w:val="003F6A60"/>
    <w:rsid w:val="004021E8"/>
    <w:rsid w:val="004025A0"/>
    <w:rsid w:val="004037B1"/>
    <w:rsid w:val="00404CBF"/>
    <w:rsid w:val="00405233"/>
    <w:rsid w:val="0040595A"/>
    <w:rsid w:val="00406AF2"/>
    <w:rsid w:val="004119ED"/>
    <w:rsid w:val="00414987"/>
    <w:rsid w:val="004159C4"/>
    <w:rsid w:val="004168DC"/>
    <w:rsid w:val="00420703"/>
    <w:rsid w:val="004220A8"/>
    <w:rsid w:val="00422753"/>
    <w:rsid w:val="004241B2"/>
    <w:rsid w:val="00424253"/>
    <w:rsid w:val="0042427B"/>
    <w:rsid w:val="00424CB4"/>
    <w:rsid w:val="00425372"/>
    <w:rsid w:val="004304D6"/>
    <w:rsid w:val="00430743"/>
    <w:rsid w:val="004330F2"/>
    <w:rsid w:val="004340B7"/>
    <w:rsid w:val="00434E94"/>
    <w:rsid w:val="0043641F"/>
    <w:rsid w:val="004368B8"/>
    <w:rsid w:val="00440A8E"/>
    <w:rsid w:val="0044173B"/>
    <w:rsid w:val="00441BD3"/>
    <w:rsid w:val="004423CD"/>
    <w:rsid w:val="00443169"/>
    <w:rsid w:val="00443B06"/>
    <w:rsid w:val="0044545B"/>
    <w:rsid w:val="0044565F"/>
    <w:rsid w:val="004473B9"/>
    <w:rsid w:val="00447D27"/>
    <w:rsid w:val="0045056B"/>
    <w:rsid w:val="00450B2A"/>
    <w:rsid w:val="00450CD3"/>
    <w:rsid w:val="0045340B"/>
    <w:rsid w:val="00453AC3"/>
    <w:rsid w:val="004558C2"/>
    <w:rsid w:val="00455C6E"/>
    <w:rsid w:val="00456665"/>
    <w:rsid w:val="00457DA2"/>
    <w:rsid w:val="004603BC"/>
    <w:rsid w:val="00461586"/>
    <w:rsid w:val="00461B7F"/>
    <w:rsid w:val="00462A65"/>
    <w:rsid w:val="00464E15"/>
    <w:rsid w:val="0046789B"/>
    <w:rsid w:val="004712EA"/>
    <w:rsid w:val="00471B9E"/>
    <w:rsid w:val="00472B94"/>
    <w:rsid w:val="00473B72"/>
    <w:rsid w:val="0047434F"/>
    <w:rsid w:val="004767C7"/>
    <w:rsid w:val="004775F2"/>
    <w:rsid w:val="004778DF"/>
    <w:rsid w:val="00482EFB"/>
    <w:rsid w:val="00482FAA"/>
    <w:rsid w:val="00483A42"/>
    <w:rsid w:val="004846D4"/>
    <w:rsid w:val="00485B96"/>
    <w:rsid w:val="00486B9C"/>
    <w:rsid w:val="00486DC0"/>
    <w:rsid w:val="00487146"/>
    <w:rsid w:val="00493B38"/>
    <w:rsid w:val="0049507C"/>
    <w:rsid w:val="0049525D"/>
    <w:rsid w:val="00495966"/>
    <w:rsid w:val="00497857"/>
    <w:rsid w:val="00497B29"/>
    <w:rsid w:val="00497C2F"/>
    <w:rsid w:val="004A230E"/>
    <w:rsid w:val="004A348A"/>
    <w:rsid w:val="004A421B"/>
    <w:rsid w:val="004A46C9"/>
    <w:rsid w:val="004A60DC"/>
    <w:rsid w:val="004A6FFC"/>
    <w:rsid w:val="004A71CD"/>
    <w:rsid w:val="004A7791"/>
    <w:rsid w:val="004B04FC"/>
    <w:rsid w:val="004B18DF"/>
    <w:rsid w:val="004B2A33"/>
    <w:rsid w:val="004B3411"/>
    <w:rsid w:val="004B495B"/>
    <w:rsid w:val="004B6805"/>
    <w:rsid w:val="004B6973"/>
    <w:rsid w:val="004B7234"/>
    <w:rsid w:val="004C0405"/>
    <w:rsid w:val="004C2281"/>
    <w:rsid w:val="004C23C5"/>
    <w:rsid w:val="004C27EA"/>
    <w:rsid w:val="004C2EFB"/>
    <w:rsid w:val="004C324C"/>
    <w:rsid w:val="004C4740"/>
    <w:rsid w:val="004C49EF"/>
    <w:rsid w:val="004C58D8"/>
    <w:rsid w:val="004C5B2A"/>
    <w:rsid w:val="004C6285"/>
    <w:rsid w:val="004D082B"/>
    <w:rsid w:val="004D15D9"/>
    <w:rsid w:val="004D24DB"/>
    <w:rsid w:val="004D2F8C"/>
    <w:rsid w:val="004D31A3"/>
    <w:rsid w:val="004D36B9"/>
    <w:rsid w:val="004D54D0"/>
    <w:rsid w:val="004D6FE2"/>
    <w:rsid w:val="004D72CB"/>
    <w:rsid w:val="004E077E"/>
    <w:rsid w:val="004E0968"/>
    <w:rsid w:val="004E18FD"/>
    <w:rsid w:val="004E1A72"/>
    <w:rsid w:val="004E1CCD"/>
    <w:rsid w:val="004E26B5"/>
    <w:rsid w:val="004E31B7"/>
    <w:rsid w:val="004E408D"/>
    <w:rsid w:val="004E4528"/>
    <w:rsid w:val="004E6121"/>
    <w:rsid w:val="004E75F5"/>
    <w:rsid w:val="004F0FDB"/>
    <w:rsid w:val="004F1086"/>
    <w:rsid w:val="004F3282"/>
    <w:rsid w:val="004F3A08"/>
    <w:rsid w:val="004F58C2"/>
    <w:rsid w:val="004F5B57"/>
    <w:rsid w:val="004F6517"/>
    <w:rsid w:val="004F7AE5"/>
    <w:rsid w:val="00502046"/>
    <w:rsid w:val="005048D7"/>
    <w:rsid w:val="005074E3"/>
    <w:rsid w:val="005100C2"/>
    <w:rsid w:val="005113EA"/>
    <w:rsid w:val="005129CA"/>
    <w:rsid w:val="005133AF"/>
    <w:rsid w:val="005136DE"/>
    <w:rsid w:val="0051796A"/>
    <w:rsid w:val="00517BB2"/>
    <w:rsid w:val="00520052"/>
    <w:rsid w:val="005200CE"/>
    <w:rsid w:val="00520C5B"/>
    <w:rsid w:val="00520CFE"/>
    <w:rsid w:val="00522012"/>
    <w:rsid w:val="00522391"/>
    <w:rsid w:val="00522514"/>
    <w:rsid w:val="005225E9"/>
    <w:rsid w:val="00524684"/>
    <w:rsid w:val="00525318"/>
    <w:rsid w:val="005259AC"/>
    <w:rsid w:val="0052659D"/>
    <w:rsid w:val="00526992"/>
    <w:rsid w:val="0053003F"/>
    <w:rsid w:val="0053077B"/>
    <w:rsid w:val="00534BFE"/>
    <w:rsid w:val="00535182"/>
    <w:rsid w:val="00537623"/>
    <w:rsid w:val="00540FCC"/>
    <w:rsid w:val="00541B00"/>
    <w:rsid w:val="00542823"/>
    <w:rsid w:val="0054376A"/>
    <w:rsid w:val="00543C7E"/>
    <w:rsid w:val="005454BA"/>
    <w:rsid w:val="00546673"/>
    <w:rsid w:val="00547226"/>
    <w:rsid w:val="005508E4"/>
    <w:rsid w:val="00552C0F"/>
    <w:rsid w:val="005532DB"/>
    <w:rsid w:val="0055368C"/>
    <w:rsid w:val="00557A85"/>
    <w:rsid w:val="00560A35"/>
    <w:rsid w:val="00560DCA"/>
    <w:rsid w:val="00561463"/>
    <w:rsid w:val="00562113"/>
    <w:rsid w:val="005625D0"/>
    <w:rsid w:val="00565608"/>
    <w:rsid w:val="0056572F"/>
    <w:rsid w:val="0056613C"/>
    <w:rsid w:val="0056629C"/>
    <w:rsid w:val="00572EC5"/>
    <w:rsid w:val="005746C3"/>
    <w:rsid w:val="00575833"/>
    <w:rsid w:val="005758EC"/>
    <w:rsid w:val="00575E6B"/>
    <w:rsid w:val="005766C0"/>
    <w:rsid w:val="00577930"/>
    <w:rsid w:val="00577D34"/>
    <w:rsid w:val="00577D75"/>
    <w:rsid w:val="00580295"/>
    <w:rsid w:val="005829A6"/>
    <w:rsid w:val="00583816"/>
    <w:rsid w:val="00583917"/>
    <w:rsid w:val="00584903"/>
    <w:rsid w:val="00585942"/>
    <w:rsid w:val="00586578"/>
    <w:rsid w:val="00590D65"/>
    <w:rsid w:val="0059120F"/>
    <w:rsid w:val="005912AC"/>
    <w:rsid w:val="00591578"/>
    <w:rsid w:val="005917A5"/>
    <w:rsid w:val="005937B2"/>
    <w:rsid w:val="005939BE"/>
    <w:rsid w:val="00593AB4"/>
    <w:rsid w:val="00595EBD"/>
    <w:rsid w:val="00596619"/>
    <w:rsid w:val="00597364"/>
    <w:rsid w:val="005A033D"/>
    <w:rsid w:val="005A24FE"/>
    <w:rsid w:val="005A2709"/>
    <w:rsid w:val="005A31E8"/>
    <w:rsid w:val="005A4408"/>
    <w:rsid w:val="005A4409"/>
    <w:rsid w:val="005A472F"/>
    <w:rsid w:val="005A4B31"/>
    <w:rsid w:val="005A5CBB"/>
    <w:rsid w:val="005B0C6D"/>
    <w:rsid w:val="005B1A37"/>
    <w:rsid w:val="005B25B5"/>
    <w:rsid w:val="005B4DEE"/>
    <w:rsid w:val="005B4EFF"/>
    <w:rsid w:val="005B54DE"/>
    <w:rsid w:val="005B643A"/>
    <w:rsid w:val="005C063C"/>
    <w:rsid w:val="005C0F12"/>
    <w:rsid w:val="005C1C87"/>
    <w:rsid w:val="005C34C3"/>
    <w:rsid w:val="005C788B"/>
    <w:rsid w:val="005C7EDA"/>
    <w:rsid w:val="005D2008"/>
    <w:rsid w:val="005D252C"/>
    <w:rsid w:val="005D2C95"/>
    <w:rsid w:val="005D30C1"/>
    <w:rsid w:val="005D7414"/>
    <w:rsid w:val="005D7703"/>
    <w:rsid w:val="005D7F45"/>
    <w:rsid w:val="005E303E"/>
    <w:rsid w:val="005E7171"/>
    <w:rsid w:val="005F0E8E"/>
    <w:rsid w:val="005F24AE"/>
    <w:rsid w:val="005F4D6E"/>
    <w:rsid w:val="005F7B41"/>
    <w:rsid w:val="0060122A"/>
    <w:rsid w:val="00601632"/>
    <w:rsid w:val="00601FA1"/>
    <w:rsid w:val="0060549D"/>
    <w:rsid w:val="00607377"/>
    <w:rsid w:val="00607817"/>
    <w:rsid w:val="00610717"/>
    <w:rsid w:val="00610CD9"/>
    <w:rsid w:val="00612FE9"/>
    <w:rsid w:val="006152CF"/>
    <w:rsid w:val="006162C5"/>
    <w:rsid w:val="0061693A"/>
    <w:rsid w:val="00616BD0"/>
    <w:rsid w:val="00617C86"/>
    <w:rsid w:val="00617F02"/>
    <w:rsid w:val="00620E39"/>
    <w:rsid w:val="006234DC"/>
    <w:rsid w:val="00623BD0"/>
    <w:rsid w:val="006253CB"/>
    <w:rsid w:val="00630BE2"/>
    <w:rsid w:val="00630CA6"/>
    <w:rsid w:val="006324B2"/>
    <w:rsid w:val="006326A3"/>
    <w:rsid w:val="0063296E"/>
    <w:rsid w:val="00633A19"/>
    <w:rsid w:val="00634060"/>
    <w:rsid w:val="00634B5B"/>
    <w:rsid w:val="00634E5D"/>
    <w:rsid w:val="006350EA"/>
    <w:rsid w:val="00635535"/>
    <w:rsid w:val="0063615D"/>
    <w:rsid w:val="0063708B"/>
    <w:rsid w:val="0064131D"/>
    <w:rsid w:val="0064145C"/>
    <w:rsid w:val="00641810"/>
    <w:rsid w:val="00641EEB"/>
    <w:rsid w:val="00645068"/>
    <w:rsid w:val="00645266"/>
    <w:rsid w:val="00645953"/>
    <w:rsid w:val="006461DD"/>
    <w:rsid w:val="00646C42"/>
    <w:rsid w:val="00650851"/>
    <w:rsid w:val="00650C27"/>
    <w:rsid w:val="00651297"/>
    <w:rsid w:val="006519AD"/>
    <w:rsid w:val="00652D35"/>
    <w:rsid w:val="00652F94"/>
    <w:rsid w:val="006538F7"/>
    <w:rsid w:val="00654BEB"/>
    <w:rsid w:val="006553B1"/>
    <w:rsid w:val="00655738"/>
    <w:rsid w:val="00655921"/>
    <w:rsid w:val="0065645C"/>
    <w:rsid w:val="00661062"/>
    <w:rsid w:val="006611D8"/>
    <w:rsid w:val="00663E39"/>
    <w:rsid w:val="00664968"/>
    <w:rsid w:val="00665665"/>
    <w:rsid w:val="00666103"/>
    <w:rsid w:val="00670401"/>
    <w:rsid w:val="00673C29"/>
    <w:rsid w:val="00675C9D"/>
    <w:rsid w:val="00676538"/>
    <w:rsid w:val="00680A52"/>
    <w:rsid w:val="006819A7"/>
    <w:rsid w:val="00681E42"/>
    <w:rsid w:val="00681F18"/>
    <w:rsid w:val="006825E9"/>
    <w:rsid w:val="0068351B"/>
    <w:rsid w:val="006846C1"/>
    <w:rsid w:val="00685022"/>
    <w:rsid w:val="00685356"/>
    <w:rsid w:val="00687ED6"/>
    <w:rsid w:val="006917C9"/>
    <w:rsid w:val="00691FC2"/>
    <w:rsid w:val="0069262A"/>
    <w:rsid w:val="00692851"/>
    <w:rsid w:val="006933D5"/>
    <w:rsid w:val="006938BC"/>
    <w:rsid w:val="006950EB"/>
    <w:rsid w:val="006956A7"/>
    <w:rsid w:val="00695882"/>
    <w:rsid w:val="006973F1"/>
    <w:rsid w:val="006A09B4"/>
    <w:rsid w:val="006A0E18"/>
    <w:rsid w:val="006A145A"/>
    <w:rsid w:val="006A1CCC"/>
    <w:rsid w:val="006A29F2"/>
    <w:rsid w:val="006A3841"/>
    <w:rsid w:val="006A53C9"/>
    <w:rsid w:val="006A733C"/>
    <w:rsid w:val="006B0162"/>
    <w:rsid w:val="006B188E"/>
    <w:rsid w:val="006B29E2"/>
    <w:rsid w:val="006B3AA7"/>
    <w:rsid w:val="006B3B24"/>
    <w:rsid w:val="006B4201"/>
    <w:rsid w:val="006B6D13"/>
    <w:rsid w:val="006B7F06"/>
    <w:rsid w:val="006C0744"/>
    <w:rsid w:val="006C1429"/>
    <w:rsid w:val="006C6048"/>
    <w:rsid w:val="006C6B0C"/>
    <w:rsid w:val="006D0715"/>
    <w:rsid w:val="006D1338"/>
    <w:rsid w:val="006D5004"/>
    <w:rsid w:val="006D71A2"/>
    <w:rsid w:val="006D76F7"/>
    <w:rsid w:val="006E00BC"/>
    <w:rsid w:val="006E356E"/>
    <w:rsid w:val="006E5592"/>
    <w:rsid w:val="006E619A"/>
    <w:rsid w:val="006F0BE7"/>
    <w:rsid w:val="006F2A61"/>
    <w:rsid w:val="006F3BD7"/>
    <w:rsid w:val="006F47F0"/>
    <w:rsid w:val="006F768C"/>
    <w:rsid w:val="006F772E"/>
    <w:rsid w:val="007004CE"/>
    <w:rsid w:val="00702A0D"/>
    <w:rsid w:val="00703003"/>
    <w:rsid w:val="007040DC"/>
    <w:rsid w:val="0070469B"/>
    <w:rsid w:val="00704B2F"/>
    <w:rsid w:val="00704B72"/>
    <w:rsid w:val="00705358"/>
    <w:rsid w:val="007057D1"/>
    <w:rsid w:val="00705FEC"/>
    <w:rsid w:val="00706509"/>
    <w:rsid w:val="0070725C"/>
    <w:rsid w:val="00707813"/>
    <w:rsid w:val="00710CF3"/>
    <w:rsid w:val="007117CE"/>
    <w:rsid w:val="00715142"/>
    <w:rsid w:val="0071571A"/>
    <w:rsid w:val="00720946"/>
    <w:rsid w:val="00720CBA"/>
    <w:rsid w:val="00721304"/>
    <w:rsid w:val="007214CD"/>
    <w:rsid w:val="007218EB"/>
    <w:rsid w:val="00723050"/>
    <w:rsid w:val="00724D02"/>
    <w:rsid w:val="00726940"/>
    <w:rsid w:val="00726A77"/>
    <w:rsid w:val="00726CCB"/>
    <w:rsid w:val="00730608"/>
    <w:rsid w:val="00731F2F"/>
    <w:rsid w:val="00731FA9"/>
    <w:rsid w:val="00732C04"/>
    <w:rsid w:val="00734092"/>
    <w:rsid w:val="00735492"/>
    <w:rsid w:val="00737632"/>
    <w:rsid w:val="007379F6"/>
    <w:rsid w:val="00737F35"/>
    <w:rsid w:val="00740EE1"/>
    <w:rsid w:val="007418EB"/>
    <w:rsid w:val="007427E8"/>
    <w:rsid w:val="00742B19"/>
    <w:rsid w:val="00742E26"/>
    <w:rsid w:val="00743073"/>
    <w:rsid w:val="00743456"/>
    <w:rsid w:val="00747341"/>
    <w:rsid w:val="00750F08"/>
    <w:rsid w:val="007558D7"/>
    <w:rsid w:val="00755EF1"/>
    <w:rsid w:val="00760761"/>
    <w:rsid w:val="007644F1"/>
    <w:rsid w:val="00764D78"/>
    <w:rsid w:val="007656E1"/>
    <w:rsid w:val="00766018"/>
    <w:rsid w:val="007678CC"/>
    <w:rsid w:val="00767EC4"/>
    <w:rsid w:val="007700DB"/>
    <w:rsid w:val="00771CF0"/>
    <w:rsid w:val="00774699"/>
    <w:rsid w:val="0077609C"/>
    <w:rsid w:val="00777358"/>
    <w:rsid w:val="007800B2"/>
    <w:rsid w:val="00782554"/>
    <w:rsid w:val="00782EB7"/>
    <w:rsid w:val="007834A3"/>
    <w:rsid w:val="00784137"/>
    <w:rsid w:val="00784D63"/>
    <w:rsid w:val="0078725E"/>
    <w:rsid w:val="00787381"/>
    <w:rsid w:val="00790945"/>
    <w:rsid w:val="00790991"/>
    <w:rsid w:val="00791C6D"/>
    <w:rsid w:val="00792642"/>
    <w:rsid w:val="00794A8B"/>
    <w:rsid w:val="00797C32"/>
    <w:rsid w:val="00797EF4"/>
    <w:rsid w:val="007A53C8"/>
    <w:rsid w:val="007A6B8F"/>
    <w:rsid w:val="007A6DA2"/>
    <w:rsid w:val="007A70E4"/>
    <w:rsid w:val="007A7240"/>
    <w:rsid w:val="007A73AE"/>
    <w:rsid w:val="007A7806"/>
    <w:rsid w:val="007B07E8"/>
    <w:rsid w:val="007B1B03"/>
    <w:rsid w:val="007B32EB"/>
    <w:rsid w:val="007B4A37"/>
    <w:rsid w:val="007B6F44"/>
    <w:rsid w:val="007B72DB"/>
    <w:rsid w:val="007C1BBF"/>
    <w:rsid w:val="007C3463"/>
    <w:rsid w:val="007C4E39"/>
    <w:rsid w:val="007C50D7"/>
    <w:rsid w:val="007C5EDA"/>
    <w:rsid w:val="007C78A2"/>
    <w:rsid w:val="007C7DB9"/>
    <w:rsid w:val="007D352B"/>
    <w:rsid w:val="007D3E3E"/>
    <w:rsid w:val="007D5384"/>
    <w:rsid w:val="007D6CFA"/>
    <w:rsid w:val="007D7495"/>
    <w:rsid w:val="007D75A7"/>
    <w:rsid w:val="007E1866"/>
    <w:rsid w:val="007E6405"/>
    <w:rsid w:val="007E67FE"/>
    <w:rsid w:val="007E79F3"/>
    <w:rsid w:val="007F2628"/>
    <w:rsid w:val="007F43F2"/>
    <w:rsid w:val="007F47DD"/>
    <w:rsid w:val="007F5383"/>
    <w:rsid w:val="007F69B5"/>
    <w:rsid w:val="007F74E3"/>
    <w:rsid w:val="00801485"/>
    <w:rsid w:val="00802B98"/>
    <w:rsid w:val="00803F8F"/>
    <w:rsid w:val="008045DD"/>
    <w:rsid w:val="00806A59"/>
    <w:rsid w:val="00806D43"/>
    <w:rsid w:val="00806D64"/>
    <w:rsid w:val="008074D3"/>
    <w:rsid w:val="00810359"/>
    <w:rsid w:val="0081046F"/>
    <w:rsid w:val="008138F2"/>
    <w:rsid w:val="0081425C"/>
    <w:rsid w:val="0081705A"/>
    <w:rsid w:val="00817881"/>
    <w:rsid w:val="00820BAE"/>
    <w:rsid w:val="00827549"/>
    <w:rsid w:val="00830116"/>
    <w:rsid w:val="00830D81"/>
    <w:rsid w:val="00831A74"/>
    <w:rsid w:val="00831C83"/>
    <w:rsid w:val="008356D9"/>
    <w:rsid w:val="0083593B"/>
    <w:rsid w:val="00837255"/>
    <w:rsid w:val="00840107"/>
    <w:rsid w:val="00840583"/>
    <w:rsid w:val="00840AD0"/>
    <w:rsid w:val="00840E97"/>
    <w:rsid w:val="00841587"/>
    <w:rsid w:val="00841CEB"/>
    <w:rsid w:val="00844BF2"/>
    <w:rsid w:val="00844C0C"/>
    <w:rsid w:val="0084513E"/>
    <w:rsid w:val="00845964"/>
    <w:rsid w:val="008473F0"/>
    <w:rsid w:val="008500ED"/>
    <w:rsid w:val="0085065C"/>
    <w:rsid w:val="008546EB"/>
    <w:rsid w:val="008549EB"/>
    <w:rsid w:val="008557B2"/>
    <w:rsid w:val="00855945"/>
    <w:rsid w:val="008602F7"/>
    <w:rsid w:val="0086071E"/>
    <w:rsid w:val="00861CA2"/>
    <w:rsid w:val="00863B9D"/>
    <w:rsid w:val="0086589F"/>
    <w:rsid w:val="00865A61"/>
    <w:rsid w:val="00866DA2"/>
    <w:rsid w:val="008700D8"/>
    <w:rsid w:val="00870D0F"/>
    <w:rsid w:val="008763BF"/>
    <w:rsid w:val="00880367"/>
    <w:rsid w:val="00880448"/>
    <w:rsid w:val="00881112"/>
    <w:rsid w:val="00882276"/>
    <w:rsid w:val="0088479A"/>
    <w:rsid w:val="00885EF8"/>
    <w:rsid w:val="00885F4A"/>
    <w:rsid w:val="00890122"/>
    <w:rsid w:val="00890681"/>
    <w:rsid w:val="008939D9"/>
    <w:rsid w:val="00894D37"/>
    <w:rsid w:val="0089522B"/>
    <w:rsid w:val="00895444"/>
    <w:rsid w:val="00897029"/>
    <w:rsid w:val="00897587"/>
    <w:rsid w:val="008A00B3"/>
    <w:rsid w:val="008A1D00"/>
    <w:rsid w:val="008A1E75"/>
    <w:rsid w:val="008A2F9F"/>
    <w:rsid w:val="008A53FB"/>
    <w:rsid w:val="008A70DD"/>
    <w:rsid w:val="008A753C"/>
    <w:rsid w:val="008B16AA"/>
    <w:rsid w:val="008B3949"/>
    <w:rsid w:val="008B7CA9"/>
    <w:rsid w:val="008C3DEE"/>
    <w:rsid w:val="008C49B6"/>
    <w:rsid w:val="008C6A48"/>
    <w:rsid w:val="008C77CA"/>
    <w:rsid w:val="008D0A8D"/>
    <w:rsid w:val="008D0ACA"/>
    <w:rsid w:val="008D3514"/>
    <w:rsid w:val="008D584B"/>
    <w:rsid w:val="008D5AD8"/>
    <w:rsid w:val="008D7191"/>
    <w:rsid w:val="008D7345"/>
    <w:rsid w:val="008D7E11"/>
    <w:rsid w:val="008E012F"/>
    <w:rsid w:val="008E28E2"/>
    <w:rsid w:val="008E2E4C"/>
    <w:rsid w:val="008E35F7"/>
    <w:rsid w:val="008E4710"/>
    <w:rsid w:val="008E546D"/>
    <w:rsid w:val="008E581F"/>
    <w:rsid w:val="008E646C"/>
    <w:rsid w:val="008E6637"/>
    <w:rsid w:val="008F000C"/>
    <w:rsid w:val="008F0A6A"/>
    <w:rsid w:val="008F1FE2"/>
    <w:rsid w:val="008F7528"/>
    <w:rsid w:val="008F7A5F"/>
    <w:rsid w:val="0090082D"/>
    <w:rsid w:val="00904094"/>
    <w:rsid w:val="00905E88"/>
    <w:rsid w:val="009106FA"/>
    <w:rsid w:val="00911EC0"/>
    <w:rsid w:val="00915AE3"/>
    <w:rsid w:val="009160E4"/>
    <w:rsid w:val="00917CD9"/>
    <w:rsid w:val="009226D0"/>
    <w:rsid w:val="00922FDB"/>
    <w:rsid w:val="009252EB"/>
    <w:rsid w:val="0092572F"/>
    <w:rsid w:val="00931101"/>
    <w:rsid w:val="0093176B"/>
    <w:rsid w:val="00932FAF"/>
    <w:rsid w:val="00934F14"/>
    <w:rsid w:val="00936752"/>
    <w:rsid w:val="00936E8E"/>
    <w:rsid w:val="00940695"/>
    <w:rsid w:val="00940AAE"/>
    <w:rsid w:val="00943E51"/>
    <w:rsid w:val="00944B3A"/>
    <w:rsid w:val="00950931"/>
    <w:rsid w:val="009514EC"/>
    <w:rsid w:val="00951C57"/>
    <w:rsid w:val="00951E8A"/>
    <w:rsid w:val="00953744"/>
    <w:rsid w:val="00953B0E"/>
    <w:rsid w:val="0095530B"/>
    <w:rsid w:val="0095557C"/>
    <w:rsid w:val="00956FCF"/>
    <w:rsid w:val="00957A08"/>
    <w:rsid w:val="00960AE0"/>
    <w:rsid w:val="00960CA4"/>
    <w:rsid w:val="009615A4"/>
    <w:rsid w:val="009628CB"/>
    <w:rsid w:val="0096507D"/>
    <w:rsid w:val="00966A46"/>
    <w:rsid w:val="00970500"/>
    <w:rsid w:val="00971F43"/>
    <w:rsid w:val="00976497"/>
    <w:rsid w:val="009800DD"/>
    <w:rsid w:val="0098019A"/>
    <w:rsid w:val="00981FCD"/>
    <w:rsid w:val="00982B20"/>
    <w:rsid w:val="009831F8"/>
    <w:rsid w:val="00983516"/>
    <w:rsid w:val="009838CF"/>
    <w:rsid w:val="0098725D"/>
    <w:rsid w:val="00991DB0"/>
    <w:rsid w:val="00991FBC"/>
    <w:rsid w:val="0099315B"/>
    <w:rsid w:val="00993C29"/>
    <w:rsid w:val="00994130"/>
    <w:rsid w:val="00994158"/>
    <w:rsid w:val="00994B23"/>
    <w:rsid w:val="00994FA7"/>
    <w:rsid w:val="00995BC1"/>
    <w:rsid w:val="00996184"/>
    <w:rsid w:val="00996844"/>
    <w:rsid w:val="00997C2A"/>
    <w:rsid w:val="009A0F79"/>
    <w:rsid w:val="009A1144"/>
    <w:rsid w:val="009A4D61"/>
    <w:rsid w:val="009A524C"/>
    <w:rsid w:val="009A5295"/>
    <w:rsid w:val="009A532C"/>
    <w:rsid w:val="009A654F"/>
    <w:rsid w:val="009A75BB"/>
    <w:rsid w:val="009B0256"/>
    <w:rsid w:val="009B162C"/>
    <w:rsid w:val="009B310E"/>
    <w:rsid w:val="009B31DF"/>
    <w:rsid w:val="009B5143"/>
    <w:rsid w:val="009B56B1"/>
    <w:rsid w:val="009B64FB"/>
    <w:rsid w:val="009B6A22"/>
    <w:rsid w:val="009B705D"/>
    <w:rsid w:val="009C0F9D"/>
    <w:rsid w:val="009C172E"/>
    <w:rsid w:val="009C243B"/>
    <w:rsid w:val="009C2EE7"/>
    <w:rsid w:val="009C3364"/>
    <w:rsid w:val="009C6209"/>
    <w:rsid w:val="009C6AFA"/>
    <w:rsid w:val="009D0445"/>
    <w:rsid w:val="009D0DB9"/>
    <w:rsid w:val="009D229F"/>
    <w:rsid w:val="009D24EA"/>
    <w:rsid w:val="009D4187"/>
    <w:rsid w:val="009D4AAA"/>
    <w:rsid w:val="009E18FC"/>
    <w:rsid w:val="009E3322"/>
    <w:rsid w:val="009E360F"/>
    <w:rsid w:val="009E70A5"/>
    <w:rsid w:val="009F0D74"/>
    <w:rsid w:val="009F1CF9"/>
    <w:rsid w:val="009F1D82"/>
    <w:rsid w:val="009F3EBD"/>
    <w:rsid w:val="00A01EF0"/>
    <w:rsid w:val="00A02F23"/>
    <w:rsid w:val="00A05155"/>
    <w:rsid w:val="00A068C5"/>
    <w:rsid w:val="00A07085"/>
    <w:rsid w:val="00A102B9"/>
    <w:rsid w:val="00A121C3"/>
    <w:rsid w:val="00A136D0"/>
    <w:rsid w:val="00A13FA0"/>
    <w:rsid w:val="00A142DA"/>
    <w:rsid w:val="00A1492F"/>
    <w:rsid w:val="00A17219"/>
    <w:rsid w:val="00A2001F"/>
    <w:rsid w:val="00A22F4E"/>
    <w:rsid w:val="00A233DD"/>
    <w:rsid w:val="00A23947"/>
    <w:rsid w:val="00A25827"/>
    <w:rsid w:val="00A26B04"/>
    <w:rsid w:val="00A27542"/>
    <w:rsid w:val="00A27BF4"/>
    <w:rsid w:val="00A27DE7"/>
    <w:rsid w:val="00A321C5"/>
    <w:rsid w:val="00A33A19"/>
    <w:rsid w:val="00A3606F"/>
    <w:rsid w:val="00A36EAE"/>
    <w:rsid w:val="00A37DBC"/>
    <w:rsid w:val="00A416EE"/>
    <w:rsid w:val="00A41F59"/>
    <w:rsid w:val="00A42459"/>
    <w:rsid w:val="00A43B16"/>
    <w:rsid w:val="00A447BC"/>
    <w:rsid w:val="00A44A76"/>
    <w:rsid w:val="00A45DC0"/>
    <w:rsid w:val="00A47334"/>
    <w:rsid w:val="00A519A7"/>
    <w:rsid w:val="00A54B95"/>
    <w:rsid w:val="00A55737"/>
    <w:rsid w:val="00A56C55"/>
    <w:rsid w:val="00A60588"/>
    <w:rsid w:val="00A6163F"/>
    <w:rsid w:val="00A65835"/>
    <w:rsid w:val="00A66469"/>
    <w:rsid w:val="00A66F66"/>
    <w:rsid w:val="00A67047"/>
    <w:rsid w:val="00A6784F"/>
    <w:rsid w:val="00A67A2C"/>
    <w:rsid w:val="00A71A74"/>
    <w:rsid w:val="00A71EE1"/>
    <w:rsid w:val="00A73527"/>
    <w:rsid w:val="00A736C6"/>
    <w:rsid w:val="00A77513"/>
    <w:rsid w:val="00A80CC8"/>
    <w:rsid w:val="00A81900"/>
    <w:rsid w:val="00A84571"/>
    <w:rsid w:val="00A86F9C"/>
    <w:rsid w:val="00A87DB7"/>
    <w:rsid w:val="00A91022"/>
    <w:rsid w:val="00A91D5A"/>
    <w:rsid w:val="00A943AD"/>
    <w:rsid w:val="00A95AC8"/>
    <w:rsid w:val="00A95CC6"/>
    <w:rsid w:val="00A96247"/>
    <w:rsid w:val="00A96512"/>
    <w:rsid w:val="00A965AE"/>
    <w:rsid w:val="00A972B7"/>
    <w:rsid w:val="00AA0722"/>
    <w:rsid w:val="00AA2B1D"/>
    <w:rsid w:val="00AA5716"/>
    <w:rsid w:val="00AA5C4E"/>
    <w:rsid w:val="00AA7D57"/>
    <w:rsid w:val="00AB1083"/>
    <w:rsid w:val="00AB33F9"/>
    <w:rsid w:val="00AB3EF7"/>
    <w:rsid w:val="00AB530F"/>
    <w:rsid w:val="00AC28AC"/>
    <w:rsid w:val="00AC3097"/>
    <w:rsid w:val="00AC3106"/>
    <w:rsid w:val="00AC34AD"/>
    <w:rsid w:val="00AC6748"/>
    <w:rsid w:val="00AD1D5E"/>
    <w:rsid w:val="00AD2D8A"/>
    <w:rsid w:val="00AD2E80"/>
    <w:rsid w:val="00AD3CAE"/>
    <w:rsid w:val="00AE0645"/>
    <w:rsid w:val="00AE108B"/>
    <w:rsid w:val="00AE20E0"/>
    <w:rsid w:val="00AE4A26"/>
    <w:rsid w:val="00AE5CC6"/>
    <w:rsid w:val="00AE6E86"/>
    <w:rsid w:val="00AF0165"/>
    <w:rsid w:val="00AF09F8"/>
    <w:rsid w:val="00AF1348"/>
    <w:rsid w:val="00AF3014"/>
    <w:rsid w:val="00AF3AE2"/>
    <w:rsid w:val="00AF3CA0"/>
    <w:rsid w:val="00AF7384"/>
    <w:rsid w:val="00AF7E1C"/>
    <w:rsid w:val="00AF7E3A"/>
    <w:rsid w:val="00B021B2"/>
    <w:rsid w:val="00B040DD"/>
    <w:rsid w:val="00B05D82"/>
    <w:rsid w:val="00B07D18"/>
    <w:rsid w:val="00B1249D"/>
    <w:rsid w:val="00B12756"/>
    <w:rsid w:val="00B13303"/>
    <w:rsid w:val="00B1379E"/>
    <w:rsid w:val="00B13C3F"/>
    <w:rsid w:val="00B15470"/>
    <w:rsid w:val="00B20FAD"/>
    <w:rsid w:val="00B21EC8"/>
    <w:rsid w:val="00B2279C"/>
    <w:rsid w:val="00B25760"/>
    <w:rsid w:val="00B25BBF"/>
    <w:rsid w:val="00B32535"/>
    <w:rsid w:val="00B32D4F"/>
    <w:rsid w:val="00B33B65"/>
    <w:rsid w:val="00B34C39"/>
    <w:rsid w:val="00B36718"/>
    <w:rsid w:val="00B36F96"/>
    <w:rsid w:val="00B41621"/>
    <w:rsid w:val="00B43B4F"/>
    <w:rsid w:val="00B4425B"/>
    <w:rsid w:val="00B444DB"/>
    <w:rsid w:val="00B44D3E"/>
    <w:rsid w:val="00B4521B"/>
    <w:rsid w:val="00B45C1E"/>
    <w:rsid w:val="00B47F9F"/>
    <w:rsid w:val="00B50071"/>
    <w:rsid w:val="00B509D6"/>
    <w:rsid w:val="00B50B40"/>
    <w:rsid w:val="00B549E9"/>
    <w:rsid w:val="00B575BF"/>
    <w:rsid w:val="00B60358"/>
    <w:rsid w:val="00B60DB5"/>
    <w:rsid w:val="00B624C7"/>
    <w:rsid w:val="00B62EDB"/>
    <w:rsid w:val="00B65A6B"/>
    <w:rsid w:val="00B66683"/>
    <w:rsid w:val="00B66F80"/>
    <w:rsid w:val="00B7011A"/>
    <w:rsid w:val="00B702A7"/>
    <w:rsid w:val="00B71D8A"/>
    <w:rsid w:val="00B73F61"/>
    <w:rsid w:val="00B75B3E"/>
    <w:rsid w:val="00B75F31"/>
    <w:rsid w:val="00B77496"/>
    <w:rsid w:val="00B77B57"/>
    <w:rsid w:val="00B84416"/>
    <w:rsid w:val="00B85838"/>
    <w:rsid w:val="00B8723A"/>
    <w:rsid w:val="00B873C2"/>
    <w:rsid w:val="00B874EC"/>
    <w:rsid w:val="00B8763F"/>
    <w:rsid w:val="00B87B12"/>
    <w:rsid w:val="00B87B24"/>
    <w:rsid w:val="00B87B96"/>
    <w:rsid w:val="00B90846"/>
    <w:rsid w:val="00B92614"/>
    <w:rsid w:val="00B93990"/>
    <w:rsid w:val="00BA06A9"/>
    <w:rsid w:val="00BA0BB1"/>
    <w:rsid w:val="00BA2B1A"/>
    <w:rsid w:val="00BA4F2C"/>
    <w:rsid w:val="00BB0FE6"/>
    <w:rsid w:val="00BB2151"/>
    <w:rsid w:val="00BB25F7"/>
    <w:rsid w:val="00BB5C18"/>
    <w:rsid w:val="00BB71D6"/>
    <w:rsid w:val="00BB788A"/>
    <w:rsid w:val="00BC1A8F"/>
    <w:rsid w:val="00BC2054"/>
    <w:rsid w:val="00BC34FB"/>
    <w:rsid w:val="00BC5A76"/>
    <w:rsid w:val="00BC5E54"/>
    <w:rsid w:val="00BC77B9"/>
    <w:rsid w:val="00BD01D3"/>
    <w:rsid w:val="00BD1557"/>
    <w:rsid w:val="00BD19F7"/>
    <w:rsid w:val="00BD1C99"/>
    <w:rsid w:val="00BD1E3C"/>
    <w:rsid w:val="00BD366E"/>
    <w:rsid w:val="00BD683F"/>
    <w:rsid w:val="00BE0C87"/>
    <w:rsid w:val="00BE1003"/>
    <w:rsid w:val="00BE11F6"/>
    <w:rsid w:val="00BE1693"/>
    <w:rsid w:val="00BE5548"/>
    <w:rsid w:val="00BE66B7"/>
    <w:rsid w:val="00BF01BA"/>
    <w:rsid w:val="00BF123E"/>
    <w:rsid w:val="00BF176B"/>
    <w:rsid w:val="00BF1FF9"/>
    <w:rsid w:val="00BF38EB"/>
    <w:rsid w:val="00BF533B"/>
    <w:rsid w:val="00BF5C4F"/>
    <w:rsid w:val="00BF5D06"/>
    <w:rsid w:val="00C00EF3"/>
    <w:rsid w:val="00C01164"/>
    <w:rsid w:val="00C029AB"/>
    <w:rsid w:val="00C04314"/>
    <w:rsid w:val="00C04DC2"/>
    <w:rsid w:val="00C05032"/>
    <w:rsid w:val="00C052FB"/>
    <w:rsid w:val="00C062BB"/>
    <w:rsid w:val="00C06CF8"/>
    <w:rsid w:val="00C101C9"/>
    <w:rsid w:val="00C108ED"/>
    <w:rsid w:val="00C10C58"/>
    <w:rsid w:val="00C10EA2"/>
    <w:rsid w:val="00C11A2B"/>
    <w:rsid w:val="00C12571"/>
    <w:rsid w:val="00C12DD7"/>
    <w:rsid w:val="00C1330B"/>
    <w:rsid w:val="00C13AEC"/>
    <w:rsid w:val="00C14625"/>
    <w:rsid w:val="00C16E7B"/>
    <w:rsid w:val="00C17514"/>
    <w:rsid w:val="00C22389"/>
    <w:rsid w:val="00C243BF"/>
    <w:rsid w:val="00C244AC"/>
    <w:rsid w:val="00C25C13"/>
    <w:rsid w:val="00C279E5"/>
    <w:rsid w:val="00C30886"/>
    <w:rsid w:val="00C30C53"/>
    <w:rsid w:val="00C32A79"/>
    <w:rsid w:val="00C33568"/>
    <w:rsid w:val="00C34A2D"/>
    <w:rsid w:val="00C34FB1"/>
    <w:rsid w:val="00C350D5"/>
    <w:rsid w:val="00C370A7"/>
    <w:rsid w:val="00C404E9"/>
    <w:rsid w:val="00C47839"/>
    <w:rsid w:val="00C502B9"/>
    <w:rsid w:val="00C5081A"/>
    <w:rsid w:val="00C5186F"/>
    <w:rsid w:val="00C5268E"/>
    <w:rsid w:val="00C52A1D"/>
    <w:rsid w:val="00C52B80"/>
    <w:rsid w:val="00C54E73"/>
    <w:rsid w:val="00C55130"/>
    <w:rsid w:val="00C5569D"/>
    <w:rsid w:val="00C55AC6"/>
    <w:rsid w:val="00C5659F"/>
    <w:rsid w:val="00C57718"/>
    <w:rsid w:val="00C60C16"/>
    <w:rsid w:val="00C61DDE"/>
    <w:rsid w:val="00C62F11"/>
    <w:rsid w:val="00C65277"/>
    <w:rsid w:val="00C66C9A"/>
    <w:rsid w:val="00C70090"/>
    <w:rsid w:val="00C70279"/>
    <w:rsid w:val="00C7118D"/>
    <w:rsid w:val="00C74A34"/>
    <w:rsid w:val="00C757C6"/>
    <w:rsid w:val="00C76572"/>
    <w:rsid w:val="00C765BC"/>
    <w:rsid w:val="00C86B1E"/>
    <w:rsid w:val="00C87027"/>
    <w:rsid w:val="00C87A92"/>
    <w:rsid w:val="00C87C6C"/>
    <w:rsid w:val="00C90741"/>
    <w:rsid w:val="00C920D5"/>
    <w:rsid w:val="00C929F8"/>
    <w:rsid w:val="00C92CA8"/>
    <w:rsid w:val="00C940C6"/>
    <w:rsid w:val="00C96682"/>
    <w:rsid w:val="00CA09A3"/>
    <w:rsid w:val="00CA0D2C"/>
    <w:rsid w:val="00CA29F2"/>
    <w:rsid w:val="00CA353D"/>
    <w:rsid w:val="00CA3C71"/>
    <w:rsid w:val="00CA4566"/>
    <w:rsid w:val="00CA536F"/>
    <w:rsid w:val="00CA675B"/>
    <w:rsid w:val="00CA78D0"/>
    <w:rsid w:val="00CB14FF"/>
    <w:rsid w:val="00CB2D67"/>
    <w:rsid w:val="00CB4813"/>
    <w:rsid w:val="00CB7798"/>
    <w:rsid w:val="00CB79EF"/>
    <w:rsid w:val="00CC1EDE"/>
    <w:rsid w:val="00CC317A"/>
    <w:rsid w:val="00CC3F33"/>
    <w:rsid w:val="00CC45F8"/>
    <w:rsid w:val="00CC4A75"/>
    <w:rsid w:val="00CC5510"/>
    <w:rsid w:val="00CC57AD"/>
    <w:rsid w:val="00CC5F32"/>
    <w:rsid w:val="00CC6891"/>
    <w:rsid w:val="00CC7532"/>
    <w:rsid w:val="00CD0CC1"/>
    <w:rsid w:val="00CD125D"/>
    <w:rsid w:val="00CD1B34"/>
    <w:rsid w:val="00CD5D18"/>
    <w:rsid w:val="00CD7D4C"/>
    <w:rsid w:val="00CE3E5D"/>
    <w:rsid w:val="00CE3E63"/>
    <w:rsid w:val="00CE5525"/>
    <w:rsid w:val="00CE6605"/>
    <w:rsid w:val="00CF16D1"/>
    <w:rsid w:val="00CF2859"/>
    <w:rsid w:val="00CF3755"/>
    <w:rsid w:val="00CF5B5F"/>
    <w:rsid w:val="00CF6AC5"/>
    <w:rsid w:val="00CF72F6"/>
    <w:rsid w:val="00CF77E2"/>
    <w:rsid w:val="00CF7B0C"/>
    <w:rsid w:val="00D006BE"/>
    <w:rsid w:val="00D0078B"/>
    <w:rsid w:val="00D018B5"/>
    <w:rsid w:val="00D01D2C"/>
    <w:rsid w:val="00D02977"/>
    <w:rsid w:val="00D04654"/>
    <w:rsid w:val="00D05431"/>
    <w:rsid w:val="00D058EE"/>
    <w:rsid w:val="00D05F64"/>
    <w:rsid w:val="00D06F9C"/>
    <w:rsid w:val="00D076BF"/>
    <w:rsid w:val="00D07E66"/>
    <w:rsid w:val="00D10B77"/>
    <w:rsid w:val="00D10D32"/>
    <w:rsid w:val="00D13053"/>
    <w:rsid w:val="00D1496E"/>
    <w:rsid w:val="00D151BC"/>
    <w:rsid w:val="00D15817"/>
    <w:rsid w:val="00D160FC"/>
    <w:rsid w:val="00D165AD"/>
    <w:rsid w:val="00D16CA0"/>
    <w:rsid w:val="00D17F76"/>
    <w:rsid w:val="00D208CD"/>
    <w:rsid w:val="00D20E28"/>
    <w:rsid w:val="00D20E80"/>
    <w:rsid w:val="00D233E8"/>
    <w:rsid w:val="00D238CC"/>
    <w:rsid w:val="00D24A77"/>
    <w:rsid w:val="00D24BFB"/>
    <w:rsid w:val="00D24EA9"/>
    <w:rsid w:val="00D25AD5"/>
    <w:rsid w:val="00D30E1D"/>
    <w:rsid w:val="00D338CF"/>
    <w:rsid w:val="00D36758"/>
    <w:rsid w:val="00D43780"/>
    <w:rsid w:val="00D43D8B"/>
    <w:rsid w:val="00D453DB"/>
    <w:rsid w:val="00D46051"/>
    <w:rsid w:val="00D463D2"/>
    <w:rsid w:val="00D46E24"/>
    <w:rsid w:val="00D50981"/>
    <w:rsid w:val="00D52F09"/>
    <w:rsid w:val="00D54B38"/>
    <w:rsid w:val="00D54F44"/>
    <w:rsid w:val="00D55044"/>
    <w:rsid w:val="00D55894"/>
    <w:rsid w:val="00D57AE0"/>
    <w:rsid w:val="00D57C6D"/>
    <w:rsid w:val="00D603A9"/>
    <w:rsid w:val="00D639C1"/>
    <w:rsid w:val="00D639F9"/>
    <w:rsid w:val="00D64860"/>
    <w:rsid w:val="00D70FFB"/>
    <w:rsid w:val="00D720B1"/>
    <w:rsid w:val="00D7212F"/>
    <w:rsid w:val="00D74AFE"/>
    <w:rsid w:val="00D74D23"/>
    <w:rsid w:val="00D8180D"/>
    <w:rsid w:val="00D81DE9"/>
    <w:rsid w:val="00D824CC"/>
    <w:rsid w:val="00D86BB8"/>
    <w:rsid w:val="00D86E33"/>
    <w:rsid w:val="00D900F4"/>
    <w:rsid w:val="00D92395"/>
    <w:rsid w:val="00D92BE8"/>
    <w:rsid w:val="00D93363"/>
    <w:rsid w:val="00D9432D"/>
    <w:rsid w:val="00D9473B"/>
    <w:rsid w:val="00D95E5B"/>
    <w:rsid w:val="00DA1975"/>
    <w:rsid w:val="00DA2B23"/>
    <w:rsid w:val="00DA2C2E"/>
    <w:rsid w:val="00DA2CC2"/>
    <w:rsid w:val="00DA39CC"/>
    <w:rsid w:val="00DA7865"/>
    <w:rsid w:val="00DA7CB7"/>
    <w:rsid w:val="00DB0D77"/>
    <w:rsid w:val="00DB18B4"/>
    <w:rsid w:val="00DB22EE"/>
    <w:rsid w:val="00DB2792"/>
    <w:rsid w:val="00DB4A56"/>
    <w:rsid w:val="00DC7474"/>
    <w:rsid w:val="00DC7CE9"/>
    <w:rsid w:val="00DD1807"/>
    <w:rsid w:val="00DD4C2C"/>
    <w:rsid w:val="00DD53A3"/>
    <w:rsid w:val="00DD56BF"/>
    <w:rsid w:val="00DD6FA8"/>
    <w:rsid w:val="00DD71CC"/>
    <w:rsid w:val="00DE0494"/>
    <w:rsid w:val="00DE163F"/>
    <w:rsid w:val="00DE2829"/>
    <w:rsid w:val="00DE3CDD"/>
    <w:rsid w:val="00DE3D45"/>
    <w:rsid w:val="00DE3DEA"/>
    <w:rsid w:val="00DE5CD2"/>
    <w:rsid w:val="00DE65B1"/>
    <w:rsid w:val="00DE77F4"/>
    <w:rsid w:val="00DF1C7A"/>
    <w:rsid w:val="00DF240A"/>
    <w:rsid w:val="00DF3B52"/>
    <w:rsid w:val="00DF6624"/>
    <w:rsid w:val="00DF671B"/>
    <w:rsid w:val="00DF6B35"/>
    <w:rsid w:val="00DF6E5E"/>
    <w:rsid w:val="00E052D4"/>
    <w:rsid w:val="00E0552C"/>
    <w:rsid w:val="00E055EC"/>
    <w:rsid w:val="00E101B3"/>
    <w:rsid w:val="00E103DA"/>
    <w:rsid w:val="00E10C91"/>
    <w:rsid w:val="00E11DD7"/>
    <w:rsid w:val="00E1217B"/>
    <w:rsid w:val="00E14145"/>
    <w:rsid w:val="00E14DA7"/>
    <w:rsid w:val="00E1712B"/>
    <w:rsid w:val="00E17818"/>
    <w:rsid w:val="00E2037B"/>
    <w:rsid w:val="00E20623"/>
    <w:rsid w:val="00E20A06"/>
    <w:rsid w:val="00E2221B"/>
    <w:rsid w:val="00E23C72"/>
    <w:rsid w:val="00E261C6"/>
    <w:rsid w:val="00E30201"/>
    <w:rsid w:val="00E308A4"/>
    <w:rsid w:val="00E317EE"/>
    <w:rsid w:val="00E330DB"/>
    <w:rsid w:val="00E33739"/>
    <w:rsid w:val="00E337DA"/>
    <w:rsid w:val="00E341E1"/>
    <w:rsid w:val="00E36283"/>
    <w:rsid w:val="00E40AFA"/>
    <w:rsid w:val="00E40B8D"/>
    <w:rsid w:val="00E42CE8"/>
    <w:rsid w:val="00E42CF5"/>
    <w:rsid w:val="00E44656"/>
    <w:rsid w:val="00E44776"/>
    <w:rsid w:val="00E4619A"/>
    <w:rsid w:val="00E465EF"/>
    <w:rsid w:val="00E477C8"/>
    <w:rsid w:val="00E510D2"/>
    <w:rsid w:val="00E51245"/>
    <w:rsid w:val="00E52982"/>
    <w:rsid w:val="00E53381"/>
    <w:rsid w:val="00E53CB9"/>
    <w:rsid w:val="00E53F51"/>
    <w:rsid w:val="00E562B2"/>
    <w:rsid w:val="00E56DE7"/>
    <w:rsid w:val="00E62E8C"/>
    <w:rsid w:val="00E634E1"/>
    <w:rsid w:val="00E651B7"/>
    <w:rsid w:val="00E651E5"/>
    <w:rsid w:val="00E66559"/>
    <w:rsid w:val="00E70C97"/>
    <w:rsid w:val="00E725F0"/>
    <w:rsid w:val="00E7288D"/>
    <w:rsid w:val="00E736BA"/>
    <w:rsid w:val="00E745AD"/>
    <w:rsid w:val="00E777A6"/>
    <w:rsid w:val="00E83D4A"/>
    <w:rsid w:val="00E84397"/>
    <w:rsid w:val="00E847FE"/>
    <w:rsid w:val="00E8515F"/>
    <w:rsid w:val="00E85877"/>
    <w:rsid w:val="00E85E4C"/>
    <w:rsid w:val="00E90AA2"/>
    <w:rsid w:val="00E94E2A"/>
    <w:rsid w:val="00E9648F"/>
    <w:rsid w:val="00EA1B7E"/>
    <w:rsid w:val="00EA3499"/>
    <w:rsid w:val="00EA65D6"/>
    <w:rsid w:val="00EB0007"/>
    <w:rsid w:val="00EB005C"/>
    <w:rsid w:val="00EB0C6F"/>
    <w:rsid w:val="00EB733B"/>
    <w:rsid w:val="00EC0E5B"/>
    <w:rsid w:val="00EC2C2B"/>
    <w:rsid w:val="00EC3E9E"/>
    <w:rsid w:val="00EC4182"/>
    <w:rsid w:val="00EC452C"/>
    <w:rsid w:val="00EC5E4D"/>
    <w:rsid w:val="00EC6A48"/>
    <w:rsid w:val="00ED1577"/>
    <w:rsid w:val="00ED5460"/>
    <w:rsid w:val="00ED5A5B"/>
    <w:rsid w:val="00EE3222"/>
    <w:rsid w:val="00EE6669"/>
    <w:rsid w:val="00EE708C"/>
    <w:rsid w:val="00EE75DA"/>
    <w:rsid w:val="00EF024C"/>
    <w:rsid w:val="00EF0CA0"/>
    <w:rsid w:val="00EF113F"/>
    <w:rsid w:val="00EF18E6"/>
    <w:rsid w:val="00EF41AB"/>
    <w:rsid w:val="00EF6BD4"/>
    <w:rsid w:val="00EF6D04"/>
    <w:rsid w:val="00EF7985"/>
    <w:rsid w:val="00F01D0B"/>
    <w:rsid w:val="00F026EC"/>
    <w:rsid w:val="00F04C2C"/>
    <w:rsid w:val="00F10081"/>
    <w:rsid w:val="00F11F5E"/>
    <w:rsid w:val="00F13875"/>
    <w:rsid w:val="00F162A3"/>
    <w:rsid w:val="00F1649D"/>
    <w:rsid w:val="00F165A6"/>
    <w:rsid w:val="00F2011C"/>
    <w:rsid w:val="00F20D8E"/>
    <w:rsid w:val="00F2190A"/>
    <w:rsid w:val="00F22BC1"/>
    <w:rsid w:val="00F22E2B"/>
    <w:rsid w:val="00F24916"/>
    <w:rsid w:val="00F24C03"/>
    <w:rsid w:val="00F25481"/>
    <w:rsid w:val="00F274F3"/>
    <w:rsid w:val="00F27619"/>
    <w:rsid w:val="00F277DF"/>
    <w:rsid w:val="00F300FB"/>
    <w:rsid w:val="00F32E2C"/>
    <w:rsid w:val="00F33002"/>
    <w:rsid w:val="00F352D6"/>
    <w:rsid w:val="00F36BBE"/>
    <w:rsid w:val="00F40FFC"/>
    <w:rsid w:val="00F4126D"/>
    <w:rsid w:val="00F41833"/>
    <w:rsid w:val="00F43706"/>
    <w:rsid w:val="00F43B12"/>
    <w:rsid w:val="00F4539D"/>
    <w:rsid w:val="00F46063"/>
    <w:rsid w:val="00F476D1"/>
    <w:rsid w:val="00F50085"/>
    <w:rsid w:val="00F51098"/>
    <w:rsid w:val="00F51458"/>
    <w:rsid w:val="00F51715"/>
    <w:rsid w:val="00F52F66"/>
    <w:rsid w:val="00F5442F"/>
    <w:rsid w:val="00F54506"/>
    <w:rsid w:val="00F55292"/>
    <w:rsid w:val="00F55FA7"/>
    <w:rsid w:val="00F57C5C"/>
    <w:rsid w:val="00F57D5C"/>
    <w:rsid w:val="00F607F4"/>
    <w:rsid w:val="00F61A0A"/>
    <w:rsid w:val="00F6230C"/>
    <w:rsid w:val="00F625D8"/>
    <w:rsid w:val="00F63A08"/>
    <w:rsid w:val="00F63A43"/>
    <w:rsid w:val="00F64938"/>
    <w:rsid w:val="00F67A48"/>
    <w:rsid w:val="00F7611F"/>
    <w:rsid w:val="00F7645B"/>
    <w:rsid w:val="00F76E33"/>
    <w:rsid w:val="00F7738F"/>
    <w:rsid w:val="00F80039"/>
    <w:rsid w:val="00F81920"/>
    <w:rsid w:val="00F85573"/>
    <w:rsid w:val="00F913FC"/>
    <w:rsid w:val="00F93A7E"/>
    <w:rsid w:val="00F943DF"/>
    <w:rsid w:val="00F94C14"/>
    <w:rsid w:val="00FA2129"/>
    <w:rsid w:val="00FA22DF"/>
    <w:rsid w:val="00FA27FB"/>
    <w:rsid w:val="00FA2B12"/>
    <w:rsid w:val="00FA2F0C"/>
    <w:rsid w:val="00FA5C02"/>
    <w:rsid w:val="00FA5EA9"/>
    <w:rsid w:val="00FA6093"/>
    <w:rsid w:val="00FB2556"/>
    <w:rsid w:val="00FB3702"/>
    <w:rsid w:val="00FB381A"/>
    <w:rsid w:val="00FB3EDD"/>
    <w:rsid w:val="00FB51FC"/>
    <w:rsid w:val="00FB5C45"/>
    <w:rsid w:val="00FB61D8"/>
    <w:rsid w:val="00FB734E"/>
    <w:rsid w:val="00FC1D9F"/>
    <w:rsid w:val="00FC272C"/>
    <w:rsid w:val="00FC3E64"/>
    <w:rsid w:val="00FC5E62"/>
    <w:rsid w:val="00FC6449"/>
    <w:rsid w:val="00FC6731"/>
    <w:rsid w:val="00FD1AC5"/>
    <w:rsid w:val="00FD1D1F"/>
    <w:rsid w:val="00FD2017"/>
    <w:rsid w:val="00FD32FC"/>
    <w:rsid w:val="00FD3EDA"/>
    <w:rsid w:val="00FD4B37"/>
    <w:rsid w:val="00FD7BB0"/>
    <w:rsid w:val="00FD7F34"/>
    <w:rsid w:val="00FE2A23"/>
    <w:rsid w:val="00FE3F67"/>
    <w:rsid w:val="00FE5724"/>
    <w:rsid w:val="00FE61D5"/>
    <w:rsid w:val="00FE66C9"/>
    <w:rsid w:val="00FE76E1"/>
    <w:rsid w:val="00FF0286"/>
    <w:rsid w:val="00FF192A"/>
    <w:rsid w:val="00FF1E77"/>
    <w:rsid w:val="00FF4927"/>
    <w:rsid w:val="00FF66F1"/>
    <w:rsid w:val="00FF69A6"/>
    <w:rsid w:val="00FF6D05"/>
    <w:rsid w:val="5210E2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15:docId w15:val="{D891B5F4-4A9F-4532-924F-B3593674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C052FB"/>
    <w:rPr>
      <w:color w:val="605E5C"/>
      <w:shd w:val="clear" w:color="auto" w:fill="E1DFDD"/>
    </w:rPr>
  </w:style>
  <w:style w:type="paragraph" w:styleId="Revision">
    <w:name w:val="Revision"/>
    <w:hidden/>
    <w:uiPriority w:val="99"/>
    <w:semiHidden/>
    <w:rsid w:val="00524684"/>
    <w:rPr>
      <w:sz w:val="22"/>
    </w:rPr>
  </w:style>
  <w:style w:type="character" w:customStyle="1" w:styleId="UnresolvedMention">
    <w:name w:val="Unresolved Mention"/>
    <w:rsid w:val="00782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fcc504@fcc.gov" TargetMode="External" /><Relationship Id="rId11" Type="http://schemas.openxmlformats.org/officeDocument/2006/relationships/hyperlink" Target="mailto:dennis.johnson@fcc.gov" TargetMode="External" /><Relationship Id="rId12" Type="http://schemas.openxmlformats.org/officeDocument/2006/relationships/hyperlink" Target="mailto:clay.decell@fcc.gov" TargetMode="External" /><Relationship Id="rId13" Type="http://schemas.openxmlformats.org/officeDocument/2006/relationships/hyperlink" Target="mailto:david.krech@fcc.gov" TargetMode="External" /><Relationship Id="rId14" Type="http://schemas.openxmlformats.org/officeDocument/2006/relationships/hyperlink" Target="mailto:linda.ray@fcc.gov" TargetMode="External" /><Relationship Id="rId15" Type="http://schemas.openxmlformats.org/officeDocument/2006/relationships/hyperlink" Target="mailto:jim.bird@fcc.gov" TargetMode="External" /><Relationship Id="rId16" Type="http://schemas.openxmlformats.org/officeDocument/2006/relationships/footer" Target="footer3.xml" /><Relationship Id="rId17" Type="http://schemas.openxmlformats.org/officeDocument/2006/relationships/header" Target="head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https://www.fcc.gov/document/fcc-closes-headquarters-open-window-and-changes-hand-delivery-policy"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westlaw.com/Link/Document/FullText?findType=L&amp;pubNum=1000546&amp;cite=47USCAS34&amp;originatingDoc=I2978955ac90b11e6bfb79a463a4b3bc7&amp;refType=LQ&amp;originationContext=document&amp;vr=3.0&amp;rs=cblt1.0&amp;transitionType=DocumentItem&amp;contextData=(sc.Search)" TargetMode="External" /><Relationship Id="rId2" Type="http://schemas.openxmlformats.org/officeDocument/2006/relationships/hyperlink" Target="http://www.westlaw.com/Link/Document/FullText?findType=L&amp;pubNum=1000546&amp;cite=47USCAS39&amp;originatingDoc=I2978955ac90b11e6bfb79a463a4b3bc7&amp;refType=LQ&amp;originationContext=document&amp;vr=3.0&amp;rs=cblt1.0&amp;transitionType=DocumentItem&amp;contextData=(sc.Search)" TargetMode="External" /><Relationship Id="rId3" Type="http://schemas.openxmlformats.org/officeDocument/2006/relationships/hyperlink" Target="http://www.westlaw.com/Link/Document/FullText?findType=Y&amp;serNum=1954047056&amp;pubNum=0001043&amp;originatingDoc=I2978955ac90b11e6bfb79a463a4b3bc7&amp;refType=CA&amp;originationContext=document&amp;vr=3.0&amp;rs=cblt1.0&amp;transitionType=DocumentItem&amp;contextData=(sc.Search)" TargetMode="External" /><Relationship Id="rId4" Type="http://schemas.openxmlformats.org/officeDocument/2006/relationships/hyperlink" Target="http://www.westlaw.com/Link/Document/FullText?findType=L&amp;pubNum=1000546&amp;cite=3USCAS301&amp;originatingDoc=I2978955ac90b11e6bfb79a463a4b3bc7&amp;refType=LQ&amp;originationContext=document&amp;vr=3.0&amp;rs=cblt1.0&amp;transitionType=DocumentItem&amp;contextData=(sc.Search)"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DJcam\Downloads\AlaskaComm214AFFPN.%202.2.21.1%20(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AlaskaComm214AFFPN. 2.2.21.1 (1)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