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79A3A0CE">
            <w:pPr>
              <w:tabs>
                <w:tab w:val="center" w:pos="4680"/>
              </w:tabs>
              <w:suppressAutoHyphens/>
              <w:rPr>
                <w:b/>
                <w:bCs/>
                <w:spacing w:val="-2"/>
              </w:rPr>
            </w:pPr>
            <w:r>
              <w:rPr>
                <w:b/>
                <w:bCs/>
                <w:spacing w:val="-2"/>
              </w:rPr>
              <w:t>Voice of Eupora</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62F6F20A">
            <w:pPr>
              <w:tabs>
                <w:tab w:val="center" w:pos="4680"/>
              </w:tabs>
              <w:suppressAutoHyphens/>
              <w:rPr>
                <w:spacing w:val="-2"/>
              </w:rPr>
            </w:pPr>
            <w:r w:rsidRPr="00140750">
              <w:rPr>
                <w:spacing w:val="-2"/>
              </w:rPr>
              <w:t xml:space="preserve">FM Translator Station </w:t>
            </w:r>
            <w:r w:rsidR="00C92A9A">
              <w:rPr>
                <w:spacing w:val="-2"/>
              </w:rPr>
              <w:t>W</w:t>
            </w:r>
            <w:r w:rsidR="00485570">
              <w:rPr>
                <w:spacing w:val="-2"/>
              </w:rPr>
              <w:t>EHS</w:t>
            </w:r>
            <w:r w:rsidR="00C92A9A">
              <w:rPr>
                <w:spacing w:val="-2"/>
              </w:rPr>
              <w:t>-LP</w:t>
            </w:r>
          </w:p>
          <w:p w:rsidR="004C2EE3" w:rsidRPr="007115F7" w:rsidP="00140750" w14:paraId="310B4D25" w14:textId="7B5B6EDB">
            <w:pPr>
              <w:tabs>
                <w:tab w:val="center" w:pos="4680"/>
              </w:tabs>
              <w:suppressAutoHyphens/>
              <w:rPr>
                <w:spacing w:val="-2"/>
              </w:rPr>
            </w:pPr>
            <w:r>
              <w:rPr>
                <w:spacing w:val="-2"/>
              </w:rPr>
              <w:t>Eupora, Mississippi</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2E74A3B4">
            <w:pPr>
              <w:pStyle w:val="TOAHeading"/>
              <w:tabs>
                <w:tab w:val="center" w:pos="4680"/>
              </w:tabs>
              <w:rPr>
                <w:spacing w:val="-2"/>
              </w:rPr>
            </w:pPr>
            <w:r w:rsidRPr="00140750">
              <w:rPr>
                <w:spacing w:val="-2"/>
              </w:rPr>
              <w:t xml:space="preserve">Facility ID No. </w:t>
            </w:r>
            <w:r w:rsidR="00485570">
              <w:rPr>
                <w:spacing w:val="-2"/>
              </w:rPr>
              <w:t>196663</w:t>
            </w:r>
          </w:p>
          <w:p w:rsidR="00140750" w:rsidRPr="00140750" w:rsidP="00140750" w14:paraId="31F6B7E1" w14:textId="7B7AB13D">
            <w:pPr>
              <w:pStyle w:val="TOAHeading"/>
              <w:tabs>
                <w:tab w:val="center" w:pos="4680"/>
              </w:tabs>
              <w:rPr>
                <w:spacing w:val="-2"/>
              </w:rPr>
            </w:pPr>
            <w:r w:rsidRPr="00140750">
              <w:rPr>
                <w:spacing w:val="-2"/>
              </w:rPr>
              <w:t>NAL/Acct. No. MB-202</w:t>
            </w:r>
            <w:r w:rsidR="00D8006B">
              <w:rPr>
                <w:spacing w:val="-2"/>
              </w:rPr>
              <w:t>1</w:t>
            </w:r>
            <w:r w:rsidRPr="00140750">
              <w:rPr>
                <w:spacing w:val="-2"/>
              </w:rPr>
              <w:t>414100</w:t>
            </w:r>
            <w:r w:rsidR="00DC4BD5">
              <w:rPr>
                <w:spacing w:val="-2"/>
              </w:rPr>
              <w:t>11</w:t>
            </w:r>
          </w:p>
          <w:p w:rsidR="00140750" w:rsidRPr="00140750" w:rsidP="00140750" w14:paraId="60F8F9FE" w14:textId="24D602D1">
            <w:pPr>
              <w:pStyle w:val="TOAHeading"/>
              <w:tabs>
                <w:tab w:val="center" w:pos="4680"/>
              </w:tabs>
              <w:rPr>
                <w:spacing w:val="-2"/>
              </w:rPr>
            </w:pPr>
            <w:r w:rsidRPr="00140750">
              <w:rPr>
                <w:spacing w:val="-2"/>
              </w:rPr>
              <w:t xml:space="preserve">FRN:  </w:t>
            </w:r>
            <w:r w:rsidR="001027C6">
              <w:rPr>
                <w:spacing w:val="-2"/>
              </w:rPr>
              <w:t>002306995</w:t>
            </w:r>
          </w:p>
          <w:p w:rsidR="004C2EE3" w:rsidP="00140750" w14:paraId="0C593CF4" w14:textId="32BB4820">
            <w:pPr>
              <w:tabs>
                <w:tab w:val="center" w:pos="4680"/>
              </w:tabs>
              <w:suppressAutoHyphens/>
              <w:rPr>
                <w:spacing w:val="-2"/>
              </w:rPr>
            </w:pPr>
            <w:r w:rsidRPr="00140750">
              <w:rPr>
                <w:spacing w:val="-2"/>
              </w:rPr>
              <w:t>File No. 000</w:t>
            </w:r>
            <w:r w:rsidR="0000318B">
              <w:rPr>
                <w:spacing w:val="-2"/>
              </w:rPr>
              <w:t>0</w:t>
            </w:r>
            <w:r w:rsidR="00485570">
              <w:rPr>
                <w:spacing w:val="-2"/>
              </w:rPr>
              <w:t>112309</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04CB03C3">
      <w:pPr>
        <w:tabs>
          <w:tab w:val="left" w:pos="720"/>
          <w:tab w:val="right" w:pos="9360"/>
        </w:tabs>
        <w:suppressAutoHyphens/>
        <w:spacing w:line="227" w:lineRule="auto"/>
        <w:rPr>
          <w:spacing w:val="-2"/>
        </w:rPr>
      </w:pPr>
      <w:r w:rsidRPr="003F17E2">
        <w:rPr>
          <w:b/>
          <w:spacing w:val="-2"/>
        </w:rPr>
        <w:t xml:space="preserve">Adopted:  </w:t>
      </w:r>
      <w:r w:rsidR="00DC4BD5">
        <w:rPr>
          <w:b/>
          <w:spacing w:val="-2"/>
        </w:rPr>
        <w:t>February 22,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DC4BD5">
        <w:rPr>
          <w:b/>
          <w:spacing w:val="-2"/>
        </w:rPr>
        <w:t>February 22,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644DC1E8">
      <w:pPr>
        <w:pStyle w:val="ParaNum"/>
        <w:rPr>
          <w:szCs w:val="22"/>
        </w:rPr>
      </w:pPr>
      <w:r>
        <w:t>The Media Bureau (Bureau) has before it the application (Application)</w:t>
      </w:r>
      <w:r>
        <w:rPr>
          <w:rStyle w:val="FootnoteReference"/>
        </w:rPr>
        <w:footnoteReference w:id="3"/>
      </w:r>
      <w:r>
        <w:t xml:space="preserve"> of </w:t>
      </w:r>
      <w:r w:rsidR="00485570">
        <w:t xml:space="preserve">Voice of Eupora </w:t>
      </w:r>
      <w:r>
        <w:t xml:space="preserve">(Licensee) for renewal of license for </w:t>
      </w:r>
      <w:r w:rsidR="00160EC8">
        <w:t xml:space="preserve">low power FM (LPFM) </w:t>
      </w:r>
      <w:r w:rsidR="00C70CA0">
        <w:t>Station W</w:t>
      </w:r>
      <w:r w:rsidR="00485570">
        <w:t>EHS</w:t>
      </w:r>
      <w:r w:rsidR="00C70CA0">
        <w:t xml:space="preserve">-LP, </w:t>
      </w:r>
      <w:r w:rsidR="00485570">
        <w:t>Eupora, Mississippi</w:t>
      </w:r>
      <w:r w:rsidR="0000318B">
        <w:t xml:space="preserve">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628A1B69">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485570" w:rsidR="00485570">
        <w:t>An application for renewal of the Station’s license should have been filed by February 3, 2020, the first business day of the fourth full calendar month prior to the Station’s June 1, 2020 license expiration date.</w:t>
      </w:r>
      <w:r>
        <w:rPr>
          <w:vertAlign w:val="superscript"/>
        </w:rPr>
        <w:footnoteReference w:id="7"/>
      </w:r>
      <w:r w:rsidRPr="00485570" w:rsidR="00485570">
        <w:t xml:space="preserve"> </w:t>
      </w:r>
      <w:r>
        <w:t xml:space="preserve"> The Application was not filed until </w:t>
      </w:r>
      <w:r w:rsidR="00485570">
        <w:t>April 16</w:t>
      </w:r>
      <w:r>
        <w:t xml:space="preserve">, 2020.  </w:t>
      </w:r>
      <w:r w:rsidR="007949FD">
        <w:t xml:space="preserve">The Licensee’s President explains that the failure to timely file the Application was attributed to the illness and subsequent death of his mother, </w:t>
      </w:r>
      <w:r w:rsidR="001027C6">
        <w:t>which resulted in his</w:t>
      </w:r>
      <w:r w:rsidR="007949FD">
        <w:t xml:space="preserve"> absence from the state for several months during her illness and </w:t>
      </w:r>
      <w:r w:rsidR="001027C6">
        <w:t xml:space="preserve">while </w:t>
      </w:r>
      <w:r w:rsidR="007949FD">
        <w:t>subsequently manag</w:t>
      </w:r>
      <w:r w:rsidR="001027C6">
        <w:t>ing</w:t>
      </w:r>
      <w:r w:rsidR="007949FD">
        <w:t xml:space="preserve"> her estate.</w:t>
      </w:r>
      <w:r>
        <w:rPr>
          <w:rStyle w:val="FootnoteReference"/>
        </w:rPr>
        <w:footnoteReference w:id="8"/>
      </w:r>
    </w:p>
    <w:p w:rsidR="00140750" w:rsidRPr="00146D8A" w:rsidP="00140750" w14:paraId="663EEE6D" w14:textId="77777777">
      <w:pPr>
        <w:pStyle w:val="Heading1"/>
        <w:rPr>
          <w:szCs w:val="22"/>
        </w:rPr>
      </w:pPr>
      <w:r w:rsidRPr="00753410">
        <w:t>DISCUSSION</w:t>
      </w:r>
    </w:p>
    <w:p w:rsidR="00140750" w:rsidRPr="00146D8A" w:rsidP="00140750" w14:paraId="174DC642" w14:textId="0089D148">
      <w:pPr>
        <w:pStyle w:val="ParaNum"/>
        <w:widowControl/>
      </w:pPr>
      <w:r>
        <w:rPr>
          <w:i/>
          <w:color w:val="000000"/>
        </w:rPr>
        <w:t>Proposed Forfeiture</w:t>
      </w:r>
      <w:r>
        <w:rPr>
          <w:color w:val="000000"/>
        </w:rPr>
        <w:t xml:space="preserve">.  </w:t>
      </w:r>
      <w:r>
        <w:t xml:space="preserve">In this case, the Licensee failed to file the Application on or before </w:t>
      </w:r>
      <w:r w:rsidR="007949FD">
        <w:t>February 3</w:t>
      </w:r>
      <w:r>
        <w:t xml:space="preserve">, 2020, as required by section 73.3539(a) of the Rules.  The Application was not received until </w:t>
      </w:r>
      <w:r w:rsidR="007949FD">
        <w:t>April 16</w:t>
      </w:r>
      <w:r>
        <w:t xml:space="preserve">, 2020.  </w:t>
      </w:r>
      <w:r w:rsidR="007949FD">
        <w:t>As noted above, t</w:t>
      </w:r>
      <w:r w:rsidRPr="007949FD" w:rsidR="007949FD">
        <w:t>he Licensee</w:t>
      </w:r>
      <w:r w:rsidR="007949FD">
        <w:t>’s President</w:t>
      </w:r>
      <w:r w:rsidRPr="007949FD" w:rsidR="007949FD">
        <w:t xml:space="preserve"> explains that </w:t>
      </w:r>
      <w:r w:rsidR="007949FD">
        <w:t>this failure to timely file was attributable to his absence from the state during and after the illness and death of his mother,</w:t>
      </w:r>
      <w:r w:rsidRPr="007949FD" w:rsidR="007949FD">
        <w:t xml:space="preserve">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p>
    <w:p w:rsidR="00140750" w:rsidRPr="007949FD" w:rsidP="00140750" w14:paraId="3FF84DEC" w14:textId="6BBCEB5F">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3"/>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4"/>
      </w:r>
    </w:p>
    <w:p w:rsidR="007949FD" w:rsidRPr="007949FD" w:rsidP="007949FD" w14:paraId="499E9652" w14:textId="3CE26FF1">
      <w:pPr>
        <w:pStyle w:val="ParaNum"/>
        <w:widowControl/>
      </w:pPr>
      <w:r>
        <w:t>Although we are sympathetic to the Licensee’s President’s loss, we find that issuing a notice of apparent liability is still appropriate here. The Commission has long held that “licensees are responsible for the acts and omissions of their employees and independent contractors,”</w:t>
      </w:r>
      <w:bookmarkStart w:id="0" w:name="co_tablefootnote_12_1"/>
      <w:bookmarkEnd w:id="0"/>
      <w:r>
        <w:rPr>
          <w:rStyle w:val="FootnoteReference"/>
        </w:rPr>
        <w:footnoteReference w:id="15"/>
      </w:r>
      <w:r>
        <w:t xml:space="preserve"> and has consistently “refused to excuse licensees from forfeiture </w:t>
      </w:r>
      <w:r w:rsidRPr="007C377D">
        <w:t>penalties</w:t>
      </w:r>
      <w:r>
        <w:t xml:space="preserve"> where the actions of employees or independent contractors have resulted in violations.”</w:t>
      </w:r>
      <w:bookmarkStart w:id="1" w:name="co_tablefootnote_13_1"/>
      <w:bookmarkEnd w:id="1"/>
      <w:r>
        <w:rPr>
          <w:rStyle w:val="FootnoteReference"/>
        </w:rPr>
        <w:footnoteReference w:id="16"/>
      </w:r>
      <w:r>
        <w:t xml:space="preserve">  </w:t>
      </w:r>
      <w:r w:rsidR="001027C6">
        <w:t xml:space="preserve">The </w:t>
      </w:r>
      <w:r>
        <w:t xml:space="preserve">Licensee </w:t>
      </w:r>
      <w:r w:rsidR="001027C6">
        <w:t xml:space="preserve">itself </w:t>
      </w:r>
      <w:r>
        <w:t>was ultimately responsible for ensuring it complied with the Rules by filing a timely renewal application.</w:t>
      </w:r>
      <w:bookmarkStart w:id="2" w:name="co_tablefootnote_14_1"/>
      <w:bookmarkEnd w:id="2"/>
      <w:r>
        <w:t xml:space="preserve"> It did not do so. </w:t>
      </w:r>
    </w:p>
    <w:p w:rsidR="00140750" w:rsidRPr="005B1997" w:rsidP="005B1997" w14:paraId="33D22F9A" w14:textId="674A78FD">
      <w:pPr>
        <w:pStyle w:val="ParaNum"/>
        <w:rPr>
          <w:snapToGrid/>
          <w:kern w:val="0"/>
          <w:sz w:val="24"/>
          <w:szCs w:val="24"/>
        </w:rPr>
      </w:pPr>
      <w:r w:rsidRPr="007949FD">
        <w:t>In this case, the Licensee failed to file a timely renewal application for the Station. Further, Licensee’s explanation</w:t>
      </w:r>
      <w:r>
        <w:t xml:space="preserve"> </w:t>
      </w:r>
      <w:r w:rsidRPr="007949FD">
        <w:t xml:space="preserve">does not excuse its inaction.  </w:t>
      </w:r>
      <w:r>
        <w:t xml:space="preserve">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7"/>
      </w:r>
      <w:r w:rsidR="00D8006B">
        <w:t xml:space="preserve"> </w:t>
      </w:r>
    </w:p>
    <w:p w:rsidR="00140750" w:rsidP="001027C6" w14:paraId="2178EAC2" w14:textId="77777777">
      <w:pPr>
        <w:pStyle w:val="ParaNum"/>
        <w:widowControl/>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8"/>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9"/>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20"/>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21"/>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166B78DA">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22"/>
      </w:r>
      <w:r w:rsidRPr="005B1997">
        <w:t xml:space="preserve"> that </w:t>
      </w:r>
      <w:r w:rsidR="007949FD">
        <w:t>Voice of Eupora</w:t>
      </w:r>
      <w:r w:rsidR="00E20626">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4D2C3CAC">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7949FD">
        <w:t>Voice of Eupora</w:t>
      </w:r>
      <w:r w:rsidR="00E20626">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3"/>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4"/>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5"/>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6"/>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7"/>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8"/>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1027C6" w14:paraId="6B32640F" w14:textId="2357DA20">
      <w:pPr>
        <w:pStyle w:val="ParaNum"/>
        <w:widowControl/>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9"/>
      </w:r>
      <w:r w:rsidRPr="005B1997">
        <w:t xml:space="preserve">  </w:t>
      </w:r>
    </w:p>
    <w:p w:rsidR="005B1997" w:rsidRPr="005B1997" w:rsidP="009B7CBA" w14:paraId="2A15A5F5" w14:textId="4B064027">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007949FD">
        <w:t>Jonathan Holmes, Voice of Eupora, 443 Whitt Road, Eupora, MS 39744.</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62C51415">
      <w:pPr>
        <w:pStyle w:val="FootnoteText"/>
        <w:widowControl w:val="0"/>
      </w:pPr>
      <w:r w:rsidRPr="000725CB">
        <w:rPr>
          <w:rStyle w:val="FootnoteReference"/>
        </w:rPr>
        <w:footnoteRef/>
      </w:r>
      <w:r w:rsidRPr="000725CB">
        <w:t xml:space="preserve"> File No.</w:t>
      </w:r>
      <w:r>
        <w:t xml:space="preserve"> </w:t>
      </w:r>
      <w:r>
        <w:rPr>
          <w:szCs w:val="22"/>
        </w:rPr>
        <w:t>0000</w:t>
      </w:r>
      <w:r w:rsidR="001027C6">
        <w:rPr>
          <w:szCs w:val="22"/>
        </w:rPr>
        <w:t>112309</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485570" w:rsidRPr="00FF7A3C" w:rsidP="00485570" w14:paraId="4291D023"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February 1, 2020, was a Saturday, and February 2, 2020, was a Sunday—holiday as defined by the Rules—the filing deadline was February 3, 2020, the first business day after February 1, 2020.  </w:t>
      </w:r>
      <w:r w:rsidRPr="00FF7A3C">
        <w:rPr>
          <w:i/>
          <w:iCs/>
        </w:rPr>
        <w:t>See</w:t>
      </w:r>
      <w:r>
        <w:t xml:space="preserve"> 47 CFR §§ 1.4(e), (j).</w:t>
      </w:r>
    </w:p>
  </w:footnote>
  <w:footnote w:id="8">
    <w:p w:rsidR="007949FD" w14:paraId="34EA6244" w14:textId="4A294A70">
      <w:pPr>
        <w:pStyle w:val="FootnoteText"/>
      </w:pPr>
      <w:r>
        <w:rPr>
          <w:rStyle w:val="FootnoteReference"/>
        </w:rPr>
        <w:footnoteRef/>
      </w:r>
      <w:r>
        <w:t xml:space="preserve"> Application, Attachment.</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3">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9C37C6">
        <w:rPr>
          <w:sz w:val="20"/>
        </w:rPr>
        <w:t>9</w:t>
      </w:r>
      <w:r>
        <w:rPr>
          <w:sz w:val="20"/>
        </w:rPr>
        <w:t>), note to paragraph (b)(</w:t>
      </w:r>
      <w:r w:rsidR="009C37C6">
        <w:rPr>
          <w:sz w:val="20"/>
        </w:rPr>
        <w:t>9</w:t>
      </w:r>
      <w:r>
        <w:rPr>
          <w:sz w:val="20"/>
        </w:rPr>
        <w:t>), Section I.</w:t>
      </w:r>
    </w:p>
  </w:footnote>
  <w:footnote w:id="14">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5">
    <w:p w:rsidR="007949FD" w:rsidRPr="00D27175" w:rsidP="007949FD" w14:paraId="367DFA2B" w14:textId="515549FE">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 xml:space="preserve">Whidbey Island Forfeiture Order, </w:t>
      </w:r>
      <w:r w:rsidRPr="00774CF0">
        <w:rPr>
          <w:rStyle w:val="Emphasis"/>
          <w:i w:val="0"/>
          <w:iCs w:val="0"/>
          <w:bdr w:val="none" w:sz="0" w:space="0" w:color="auto" w:frame="1"/>
          <w:shd w:val="clear" w:color="auto" w:fill="FFFFFF"/>
        </w:rPr>
        <w:t>25 FCC Rcd</w:t>
      </w:r>
      <w:r w:rsidR="00774CF0">
        <w:rPr>
          <w:rStyle w:val="Emphasis"/>
          <w:i w:val="0"/>
          <w:iCs w:val="0"/>
          <w:bdr w:val="none" w:sz="0" w:space="0" w:color="auto" w:frame="1"/>
          <w:shd w:val="clear" w:color="auto" w:fill="FFFFFF"/>
        </w:rPr>
        <w:t xml:space="preserve"> 8204,</w:t>
      </w:r>
      <w:r w:rsidRPr="00774CF0">
        <w:rPr>
          <w:rStyle w:val="Emphasis"/>
          <w:i w:val="0"/>
          <w:iCs w:val="0"/>
          <w:bdr w:val="none" w:sz="0" w:space="0" w:color="auto" w:frame="1"/>
          <w:shd w:val="clear" w:color="auto" w:fill="FFFFFF"/>
        </w:rPr>
        <w:t xml:space="preserve"> 8205, para 6</w:t>
      </w:r>
      <w:r w:rsidR="00774CF0">
        <w:rPr>
          <w:rStyle w:val="Emphasis"/>
          <w:i w:val="0"/>
          <w:iCs w:val="0"/>
          <w:bdr w:val="none" w:sz="0" w:space="0" w:color="auto" w:frame="1"/>
          <w:shd w:val="clear" w:color="auto" w:fill="FFFFFF"/>
        </w:rPr>
        <w:t xml:space="preserve"> (MB 2010)</w:t>
      </w:r>
      <w:r w:rsidRPr="00774CF0">
        <w:rPr>
          <w:rStyle w:val="Emphasis"/>
          <w:i w:val="0"/>
          <w:iCs w:val="0"/>
          <w:bdr w:val="none" w:sz="0" w:space="0" w:color="auto" w:frame="1"/>
          <w:shd w:val="clear" w:color="auto" w:fill="FFFFFF"/>
        </w:rPr>
        <w:t xml:space="preserve"> (rejecting argument that proposed forfeiture for untimely filing of renewal application should be reduced or cancelled based on the health issues and departure of the party responsible for Commission filings).</w:t>
      </w:r>
      <w:r w:rsidR="00774CF0">
        <w:rPr>
          <w:rStyle w:val="Emphasis"/>
          <w:i w:val="0"/>
          <w:iCs w:val="0"/>
          <w:bdr w:val="none" w:sz="0" w:space="0" w:color="auto" w:frame="1"/>
          <w:shd w:val="clear" w:color="auto" w:fill="FFFFFF"/>
        </w:rPr>
        <w:t xml:space="preserve"> </w:t>
      </w:r>
    </w:p>
  </w:footnote>
  <w:footnote w:id="16">
    <w:p w:rsidR="007949FD" w:rsidRPr="00D27175" w:rsidP="007949FD" w14:paraId="19F31479" w14:textId="77777777">
      <w:pPr>
        <w:pStyle w:val="FootnoteText"/>
      </w:pPr>
      <w:r w:rsidRPr="00D27175">
        <w:rPr>
          <w:rStyle w:val="FootnoteReference"/>
        </w:rPr>
        <w:footnoteRef/>
      </w:r>
      <w:r w:rsidRPr="00D27175">
        <w:t xml:space="preserve"> </w:t>
      </w:r>
      <w:r w:rsidRPr="00D27175">
        <w:rPr>
          <w:i/>
          <w:iCs/>
        </w:rPr>
        <w:t>I</w:t>
      </w:r>
      <w:r w:rsidRPr="00D27175">
        <w:rPr>
          <w:rStyle w:val="Emphasis"/>
          <w:bdr w:val="none" w:sz="0" w:space="0" w:color="auto" w:frame="1"/>
          <w:shd w:val="clear" w:color="auto" w:fill="FFFFFF"/>
        </w:rPr>
        <w:t xml:space="preserve">d. </w:t>
      </w:r>
    </w:p>
  </w:footnote>
  <w:footnote w:id="17">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8">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9">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0">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21">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2">
    <w:p w:rsidR="005B1997" w:rsidP="005B1997" w14:paraId="1B8C6273" w14:textId="77777777">
      <w:pPr>
        <w:pStyle w:val="FootnoteText"/>
      </w:pPr>
      <w:r>
        <w:rPr>
          <w:rStyle w:val="FootnoteReference"/>
        </w:rPr>
        <w:footnoteRef/>
      </w:r>
      <w:r>
        <w:t xml:space="preserve"> </w:t>
      </w:r>
      <w:bookmarkStart w:id="3" w:name="_Hlk63415835"/>
      <w:r w:rsidRPr="005F7F74">
        <w:t>47 U.S.C. § 503(b)</w:t>
      </w:r>
      <w:r>
        <w:t>; 4</w:t>
      </w:r>
      <w:r w:rsidRPr="005F7F74">
        <w:t>7 CFR § 1.80.</w:t>
      </w:r>
      <w:bookmarkEnd w:id="3"/>
    </w:p>
  </w:footnote>
  <w:footnote w:id="23">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4">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5">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6">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7">
    <w:p w:rsidR="005B1997" w:rsidP="005B1997" w14:paraId="03C81BF6" w14:textId="77777777">
      <w:pPr>
        <w:pStyle w:val="FootnoteText"/>
        <w:widowControl w:val="0"/>
      </w:pPr>
      <w:r>
        <w:rPr>
          <w:rStyle w:val="FootnoteReference"/>
        </w:rPr>
        <w:footnoteRef/>
      </w:r>
      <w:r>
        <w:t xml:space="preserve"> 47 CFR §§ 1.16 and 1.80(f)(3).</w:t>
      </w:r>
    </w:p>
  </w:footnote>
  <w:footnote w:id="28">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9">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6F060135">
    <w:pPr>
      <w:pStyle w:val="Header"/>
      <w:rPr>
        <w:b w:val="0"/>
      </w:rPr>
    </w:pPr>
    <w:r>
      <w:tab/>
      <w:t>Federal Communications Commission</w:t>
    </w:r>
    <w:r>
      <w:tab/>
    </w:r>
    <w:r w:rsidR="00140750">
      <w:t>DA 2</w:t>
    </w:r>
    <w:r w:rsidR="00F02727">
      <w:t>1</w:t>
    </w:r>
    <w:r w:rsidR="00140750">
      <w:t>-</w:t>
    </w:r>
    <w:r w:rsidR="00DC4BD5">
      <w:t>194</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B3A205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DC4BD5">
      <w:rPr>
        <w:spacing w:val="-2"/>
      </w:rPr>
      <w:t>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27C6"/>
    <w:rsid w:val="0010399E"/>
    <w:rsid w:val="00122BD5"/>
    <w:rsid w:val="00124FB3"/>
    <w:rsid w:val="00132193"/>
    <w:rsid w:val="00133F79"/>
    <w:rsid w:val="00140750"/>
    <w:rsid w:val="00146D8A"/>
    <w:rsid w:val="00152E4C"/>
    <w:rsid w:val="00152F4B"/>
    <w:rsid w:val="00160EC8"/>
    <w:rsid w:val="00194A66"/>
    <w:rsid w:val="001D6BCF"/>
    <w:rsid w:val="001E01CA"/>
    <w:rsid w:val="00234AF4"/>
    <w:rsid w:val="002546D1"/>
    <w:rsid w:val="00264220"/>
    <w:rsid w:val="00275CF5"/>
    <w:rsid w:val="0028301F"/>
    <w:rsid w:val="00285017"/>
    <w:rsid w:val="002A2D2E"/>
    <w:rsid w:val="002C00E8"/>
    <w:rsid w:val="002F1762"/>
    <w:rsid w:val="00343749"/>
    <w:rsid w:val="003660ED"/>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85570"/>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5F7"/>
    <w:rsid w:val="00753410"/>
    <w:rsid w:val="00774CF0"/>
    <w:rsid w:val="007853B8"/>
    <w:rsid w:val="00785689"/>
    <w:rsid w:val="007949FD"/>
    <w:rsid w:val="0079754B"/>
    <w:rsid w:val="007A1E6D"/>
    <w:rsid w:val="007A2495"/>
    <w:rsid w:val="007A502A"/>
    <w:rsid w:val="007B0EB2"/>
    <w:rsid w:val="007B767F"/>
    <w:rsid w:val="007C377D"/>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82BF9"/>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0428"/>
    <w:rsid w:val="00BA5DC6"/>
    <w:rsid w:val="00BA6196"/>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72B6"/>
    <w:rsid w:val="00D0218D"/>
    <w:rsid w:val="00D16857"/>
    <w:rsid w:val="00D25FB5"/>
    <w:rsid w:val="00D27175"/>
    <w:rsid w:val="00D423B0"/>
    <w:rsid w:val="00D44223"/>
    <w:rsid w:val="00D64E57"/>
    <w:rsid w:val="00D8006B"/>
    <w:rsid w:val="00D975B7"/>
    <w:rsid w:val="00DA2529"/>
    <w:rsid w:val="00DB130A"/>
    <w:rsid w:val="00DB2EBB"/>
    <w:rsid w:val="00DC10A1"/>
    <w:rsid w:val="00DC4BD5"/>
    <w:rsid w:val="00DC655F"/>
    <w:rsid w:val="00DD0B5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D5"/>
    <w:pPr>
      <w:widowControl w:val="0"/>
    </w:pPr>
    <w:rPr>
      <w:snapToGrid w:val="0"/>
      <w:kern w:val="28"/>
      <w:sz w:val="22"/>
    </w:rPr>
  </w:style>
  <w:style w:type="paragraph" w:styleId="Heading1">
    <w:name w:val="heading 1"/>
    <w:basedOn w:val="Normal"/>
    <w:next w:val="ParaNum"/>
    <w:link w:val="Heading1Char"/>
    <w:qFormat/>
    <w:rsid w:val="00DC4B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4BD5"/>
    <w:pPr>
      <w:keepNext/>
      <w:numPr>
        <w:ilvl w:val="1"/>
        <w:numId w:val="3"/>
      </w:numPr>
      <w:spacing w:after="120"/>
      <w:outlineLvl w:val="1"/>
    </w:pPr>
    <w:rPr>
      <w:b/>
    </w:rPr>
  </w:style>
  <w:style w:type="paragraph" w:styleId="Heading3">
    <w:name w:val="heading 3"/>
    <w:basedOn w:val="Normal"/>
    <w:next w:val="ParaNum"/>
    <w:qFormat/>
    <w:rsid w:val="00DC4BD5"/>
    <w:pPr>
      <w:keepNext/>
      <w:numPr>
        <w:ilvl w:val="2"/>
        <w:numId w:val="3"/>
      </w:numPr>
      <w:tabs>
        <w:tab w:val="left" w:pos="2160"/>
      </w:tabs>
      <w:spacing w:after="120"/>
      <w:outlineLvl w:val="2"/>
    </w:pPr>
    <w:rPr>
      <w:b/>
    </w:rPr>
  </w:style>
  <w:style w:type="paragraph" w:styleId="Heading4">
    <w:name w:val="heading 4"/>
    <w:basedOn w:val="Normal"/>
    <w:next w:val="ParaNum"/>
    <w:qFormat/>
    <w:rsid w:val="00DC4BD5"/>
    <w:pPr>
      <w:keepNext/>
      <w:numPr>
        <w:ilvl w:val="3"/>
        <w:numId w:val="3"/>
      </w:numPr>
      <w:tabs>
        <w:tab w:val="left" w:pos="2880"/>
      </w:tabs>
      <w:spacing w:after="120"/>
      <w:outlineLvl w:val="3"/>
    </w:pPr>
    <w:rPr>
      <w:b/>
    </w:rPr>
  </w:style>
  <w:style w:type="paragraph" w:styleId="Heading5">
    <w:name w:val="heading 5"/>
    <w:basedOn w:val="Normal"/>
    <w:next w:val="ParaNum"/>
    <w:qFormat/>
    <w:rsid w:val="00DC4B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C4BD5"/>
    <w:pPr>
      <w:numPr>
        <w:ilvl w:val="5"/>
        <w:numId w:val="3"/>
      </w:numPr>
      <w:tabs>
        <w:tab w:val="left" w:pos="4320"/>
      </w:tabs>
      <w:spacing w:after="120"/>
      <w:outlineLvl w:val="5"/>
    </w:pPr>
    <w:rPr>
      <w:b/>
    </w:rPr>
  </w:style>
  <w:style w:type="paragraph" w:styleId="Heading7">
    <w:name w:val="heading 7"/>
    <w:basedOn w:val="Normal"/>
    <w:next w:val="ParaNum"/>
    <w:qFormat/>
    <w:rsid w:val="00DC4B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C4B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C4B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B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BD5"/>
  </w:style>
  <w:style w:type="paragraph" w:customStyle="1" w:styleId="ParaNum">
    <w:name w:val="ParaNum"/>
    <w:basedOn w:val="Normal"/>
    <w:link w:val="ParaNumChar"/>
    <w:rsid w:val="00DC4BD5"/>
    <w:pPr>
      <w:numPr>
        <w:numId w:val="2"/>
      </w:numPr>
      <w:tabs>
        <w:tab w:val="clear" w:pos="1080"/>
        <w:tab w:val="num" w:pos="1440"/>
      </w:tabs>
      <w:spacing w:after="120"/>
    </w:pPr>
  </w:style>
  <w:style w:type="paragraph" w:styleId="EndnoteText">
    <w:name w:val="endnote text"/>
    <w:basedOn w:val="Normal"/>
    <w:semiHidden/>
    <w:rsid w:val="00DC4BD5"/>
    <w:rPr>
      <w:sz w:val="20"/>
    </w:rPr>
  </w:style>
  <w:style w:type="character" w:styleId="EndnoteReference">
    <w:name w:val="endnote reference"/>
    <w:semiHidden/>
    <w:rsid w:val="00DC4BD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DC4BD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C4BD5"/>
    <w:rPr>
      <w:rFonts w:ascii="Times New Roman" w:hAnsi="Times New Roman"/>
      <w:dstrike w:val="0"/>
      <w:color w:val="auto"/>
      <w:sz w:val="20"/>
      <w:vertAlign w:val="superscript"/>
    </w:rPr>
  </w:style>
  <w:style w:type="paragraph" w:styleId="TOC1">
    <w:name w:val="toc 1"/>
    <w:basedOn w:val="Normal"/>
    <w:next w:val="Normal"/>
    <w:semiHidden/>
    <w:rsid w:val="00DC4B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4BD5"/>
    <w:pPr>
      <w:tabs>
        <w:tab w:val="left" w:pos="720"/>
        <w:tab w:val="right" w:leader="dot" w:pos="9360"/>
      </w:tabs>
      <w:suppressAutoHyphens/>
      <w:ind w:left="720" w:right="720" w:hanging="360"/>
    </w:pPr>
    <w:rPr>
      <w:noProof/>
    </w:rPr>
  </w:style>
  <w:style w:type="paragraph" w:styleId="TOC3">
    <w:name w:val="toc 3"/>
    <w:basedOn w:val="Normal"/>
    <w:next w:val="Normal"/>
    <w:semiHidden/>
    <w:rsid w:val="00DC4B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4B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4B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4B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4B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4B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4B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4BD5"/>
    <w:pPr>
      <w:tabs>
        <w:tab w:val="right" w:pos="9360"/>
      </w:tabs>
      <w:suppressAutoHyphens/>
    </w:pPr>
  </w:style>
  <w:style w:type="character" w:customStyle="1" w:styleId="EquationCaption">
    <w:name w:val="_Equation Caption"/>
    <w:rsid w:val="00DC4BD5"/>
  </w:style>
  <w:style w:type="paragraph" w:styleId="Header">
    <w:name w:val="header"/>
    <w:basedOn w:val="Normal"/>
    <w:autoRedefine/>
    <w:rsid w:val="00DC4BD5"/>
    <w:pPr>
      <w:tabs>
        <w:tab w:val="center" w:pos="4680"/>
        <w:tab w:val="right" w:pos="9360"/>
      </w:tabs>
    </w:pPr>
    <w:rPr>
      <w:b/>
    </w:rPr>
  </w:style>
  <w:style w:type="paragraph" w:styleId="Footer">
    <w:name w:val="footer"/>
    <w:basedOn w:val="Normal"/>
    <w:link w:val="FooterChar"/>
    <w:uiPriority w:val="99"/>
    <w:rsid w:val="00DC4BD5"/>
    <w:pPr>
      <w:tabs>
        <w:tab w:val="center" w:pos="4320"/>
        <w:tab w:val="right" w:pos="8640"/>
      </w:tabs>
    </w:pPr>
  </w:style>
  <w:style w:type="character" w:styleId="PageNumber">
    <w:name w:val="page number"/>
    <w:basedOn w:val="DefaultParagraphFont"/>
    <w:rsid w:val="00DC4BD5"/>
  </w:style>
  <w:style w:type="paragraph" w:styleId="BlockText">
    <w:name w:val="Block Text"/>
    <w:basedOn w:val="Normal"/>
    <w:rsid w:val="00DC4BD5"/>
    <w:pPr>
      <w:spacing w:after="240"/>
      <w:ind w:left="1440" w:right="1440"/>
    </w:pPr>
  </w:style>
  <w:style w:type="paragraph" w:customStyle="1" w:styleId="Paratitle">
    <w:name w:val="Para title"/>
    <w:basedOn w:val="Normal"/>
    <w:rsid w:val="00DC4BD5"/>
    <w:pPr>
      <w:tabs>
        <w:tab w:val="center" w:pos="9270"/>
      </w:tabs>
      <w:spacing w:after="240"/>
    </w:pPr>
    <w:rPr>
      <w:spacing w:val="-2"/>
    </w:rPr>
  </w:style>
  <w:style w:type="paragraph" w:customStyle="1" w:styleId="Bullet">
    <w:name w:val="Bullet"/>
    <w:basedOn w:val="Normal"/>
    <w:rsid w:val="00DC4BD5"/>
    <w:pPr>
      <w:tabs>
        <w:tab w:val="left" w:pos="2160"/>
      </w:tabs>
      <w:spacing w:after="220"/>
      <w:ind w:left="2160" w:hanging="720"/>
    </w:pPr>
  </w:style>
  <w:style w:type="paragraph" w:customStyle="1" w:styleId="TableFormat">
    <w:name w:val="TableFormat"/>
    <w:basedOn w:val="Bullet"/>
    <w:rsid w:val="00DC4BD5"/>
    <w:pPr>
      <w:tabs>
        <w:tab w:val="clear" w:pos="2160"/>
        <w:tab w:val="left" w:pos="5040"/>
      </w:tabs>
      <w:ind w:left="5040" w:hanging="3600"/>
    </w:pPr>
  </w:style>
  <w:style w:type="paragraph" w:customStyle="1" w:styleId="TOCTitle">
    <w:name w:val="TOC Title"/>
    <w:basedOn w:val="Normal"/>
    <w:rsid w:val="00DC4B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BD5"/>
    <w:pPr>
      <w:jc w:val="center"/>
    </w:pPr>
    <w:rPr>
      <w:rFonts w:ascii="Times New Roman Bold" w:hAnsi="Times New Roman Bold"/>
      <w:b/>
      <w:bCs/>
      <w:caps/>
      <w:szCs w:val="22"/>
    </w:rPr>
  </w:style>
  <w:style w:type="character" w:styleId="Hyperlink">
    <w:name w:val="Hyperlink"/>
    <w:rsid w:val="00DC4BD5"/>
    <w:rPr>
      <w:color w:val="0000FF"/>
      <w:u w:val="single"/>
    </w:rPr>
  </w:style>
  <w:style w:type="character" w:customStyle="1" w:styleId="FooterChar">
    <w:name w:val="Footer Char"/>
    <w:link w:val="Footer"/>
    <w:uiPriority w:val="99"/>
    <w:rsid w:val="00DC4BD5"/>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 w:type="character" w:styleId="Emphasis">
    <w:name w:val="Emphasis"/>
    <w:basedOn w:val="DefaultParagraphFont"/>
    <w:uiPriority w:val="20"/>
    <w:qFormat/>
    <w:rsid w:val="00794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