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226252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C6B910D" w14:textId="77777777">
      <w:pPr>
        <w:pStyle w:val="StyleBoldCentered"/>
      </w:pPr>
      <w:r>
        <w:t>F</w:t>
      </w:r>
      <w:r>
        <w:rPr>
          <w:caps w:val="0"/>
        </w:rPr>
        <w:t>ederal Communications Commission</w:t>
      </w:r>
    </w:p>
    <w:p w:rsidR="004C2EE3" w:rsidP="00096D8C" w14:paraId="65A85153" w14:textId="77777777">
      <w:pPr>
        <w:pStyle w:val="StyleBoldCentered"/>
      </w:pPr>
      <w:r>
        <w:rPr>
          <w:caps w:val="0"/>
        </w:rPr>
        <w:t>Washington, D.C. 20554</w:t>
      </w:r>
    </w:p>
    <w:p w:rsidR="004C2EE3" w:rsidP="0070224F" w14:paraId="39972FA7" w14:textId="77777777"/>
    <w:tbl>
      <w:tblPr>
        <w:tblW w:w="0" w:type="auto"/>
        <w:tblLayout w:type="fixed"/>
        <w:tblLook w:val="0000"/>
      </w:tblPr>
      <w:tblGrid>
        <w:gridCol w:w="4698"/>
        <w:gridCol w:w="630"/>
        <w:gridCol w:w="4248"/>
      </w:tblGrid>
      <w:tr w14:paraId="30442BD9" w14:textId="77777777">
        <w:tblPrEx>
          <w:tblW w:w="0" w:type="auto"/>
          <w:tblLayout w:type="fixed"/>
          <w:tblLook w:val="0000"/>
        </w:tblPrEx>
        <w:tc>
          <w:tcPr>
            <w:tcW w:w="4698" w:type="dxa"/>
          </w:tcPr>
          <w:p w:rsidR="004C2EE3" w14:paraId="780BDE86" w14:textId="77777777">
            <w:pPr>
              <w:tabs>
                <w:tab w:val="center" w:pos="4680"/>
              </w:tabs>
              <w:suppressAutoHyphens/>
              <w:rPr>
                <w:spacing w:val="-2"/>
              </w:rPr>
            </w:pPr>
            <w:r>
              <w:rPr>
                <w:spacing w:val="-2"/>
              </w:rPr>
              <w:t>In the Matter of</w:t>
            </w:r>
          </w:p>
          <w:p w:rsidR="004C2EE3" w14:paraId="7A64B81B" w14:textId="77777777">
            <w:pPr>
              <w:tabs>
                <w:tab w:val="center" w:pos="4680"/>
              </w:tabs>
              <w:suppressAutoHyphens/>
              <w:rPr>
                <w:spacing w:val="-2"/>
              </w:rPr>
            </w:pPr>
          </w:p>
          <w:p w:rsidR="00FA71B4" w:rsidRPr="00FA71B4" w:rsidP="00FA71B4" w14:paraId="04F7E6B6" w14:textId="77777777">
            <w:pPr>
              <w:tabs>
                <w:tab w:val="center" w:pos="4680"/>
              </w:tabs>
              <w:suppressAutoHyphens/>
              <w:rPr>
                <w:spacing w:val="-2"/>
              </w:rPr>
            </w:pPr>
            <w:r w:rsidRPr="00FA71B4">
              <w:rPr>
                <w:spacing w:val="-2"/>
              </w:rPr>
              <w:t>Amendment of Section 73.3580 of the Commission’s Rules Regarding Public Notice of the Filing of Applications</w:t>
            </w:r>
          </w:p>
          <w:p w:rsidR="00FA71B4" w:rsidRPr="00FA71B4" w:rsidP="00FA71B4" w14:paraId="355A942F" w14:textId="77777777">
            <w:pPr>
              <w:tabs>
                <w:tab w:val="center" w:pos="4680"/>
              </w:tabs>
              <w:suppressAutoHyphens/>
              <w:rPr>
                <w:spacing w:val="-2"/>
              </w:rPr>
            </w:pPr>
          </w:p>
          <w:p w:rsidR="00FA71B4" w:rsidRPr="00FA71B4" w:rsidP="00FA71B4" w14:paraId="6EF38E29" w14:textId="77777777">
            <w:pPr>
              <w:tabs>
                <w:tab w:val="center" w:pos="4680"/>
              </w:tabs>
              <w:suppressAutoHyphens/>
              <w:rPr>
                <w:spacing w:val="-2"/>
              </w:rPr>
            </w:pPr>
            <w:r w:rsidRPr="00FA71B4">
              <w:rPr>
                <w:spacing w:val="-2"/>
              </w:rPr>
              <w:t>Modernization of Media Regulation Initiative</w:t>
            </w:r>
          </w:p>
          <w:p w:rsidR="00FA71B4" w:rsidRPr="00FA71B4" w:rsidP="00FA71B4" w14:paraId="10A1B8DA" w14:textId="77777777">
            <w:pPr>
              <w:tabs>
                <w:tab w:val="center" w:pos="4680"/>
              </w:tabs>
              <w:suppressAutoHyphens/>
              <w:rPr>
                <w:spacing w:val="-2"/>
              </w:rPr>
            </w:pPr>
          </w:p>
          <w:p w:rsidR="004C2EE3" w:rsidRPr="007115F7" w:rsidP="00FA71B4" w14:paraId="273D43B6" w14:textId="77777777">
            <w:pPr>
              <w:tabs>
                <w:tab w:val="center" w:pos="4680"/>
              </w:tabs>
              <w:suppressAutoHyphens/>
              <w:rPr>
                <w:spacing w:val="-2"/>
              </w:rPr>
            </w:pPr>
            <w:r w:rsidRPr="00FA71B4">
              <w:rPr>
                <w:spacing w:val="-2"/>
              </w:rPr>
              <w:t>Revision of the Public Notice Requirements of Section 73.3580</w:t>
            </w:r>
          </w:p>
        </w:tc>
        <w:tc>
          <w:tcPr>
            <w:tcW w:w="630" w:type="dxa"/>
          </w:tcPr>
          <w:p w:rsidR="004C2EE3" w14:paraId="745B5FA7" w14:textId="77777777">
            <w:pPr>
              <w:tabs>
                <w:tab w:val="center" w:pos="4680"/>
              </w:tabs>
              <w:suppressAutoHyphens/>
              <w:rPr>
                <w:b/>
                <w:spacing w:val="-2"/>
              </w:rPr>
            </w:pPr>
            <w:r>
              <w:rPr>
                <w:b/>
                <w:spacing w:val="-2"/>
              </w:rPr>
              <w:t>)</w:t>
            </w:r>
          </w:p>
          <w:p w:rsidR="004C2EE3" w14:paraId="70716EE5" w14:textId="77777777">
            <w:pPr>
              <w:tabs>
                <w:tab w:val="center" w:pos="4680"/>
              </w:tabs>
              <w:suppressAutoHyphens/>
              <w:rPr>
                <w:b/>
                <w:spacing w:val="-2"/>
              </w:rPr>
            </w:pPr>
            <w:r>
              <w:rPr>
                <w:b/>
                <w:spacing w:val="-2"/>
              </w:rPr>
              <w:t>)</w:t>
            </w:r>
          </w:p>
          <w:p w:rsidR="004C2EE3" w14:paraId="4AB83051" w14:textId="77777777">
            <w:pPr>
              <w:tabs>
                <w:tab w:val="center" w:pos="4680"/>
              </w:tabs>
              <w:suppressAutoHyphens/>
              <w:rPr>
                <w:b/>
                <w:spacing w:val="-2"/>
              </w:rPr>
            </w:pPr>
            <w:r>
              <w:rPr>
                <w:b/>
                <w:spacing w:val="-2"/>
              </w:rPr>
              <w:t>)</w:t>
            </w:r>
          </w:p>
          <w:p w:rsidR="004C2EE3" w14:paraId="17226746" w14:textId="77777777">
            <w:pPr>
              <w:tabs>
                <w:tab w:val="center" w:pos="4680"/>
              </w:tabs>
              <w:suppressAutoHyphens/>
              <w:rPr>
                <w:b/>
                <w:spacing w:val="-2"/>
              </w:rPr>
            </w:pPr>
            <w:r>
              <w:rPr>
                <w:b/>
                <w:spacing w:val="-2"/>
              </w:rPr>
              <w:t>)</w:t>
            </w:r>
          </w:p>
          <w:p w:rsidR="004C2EE3" w14:paraId="1DE0A5B9" w14:textId="77777777">
            <w:pPr>
              <w:tabs>
                <w:tab w:val="center" w:pos="4680"/>
              </w:tabs>
              <w:suppressAutoHyphens/>
              <w:rPr>
                <w:b/>
                <w:spacing w:val="-2"/>
              </w:rPr>
            </w:pPr>
            <w:r>
              <w:rPr>
                <w:b/>
                <w:spacing w:val="-2"/>
              </w:rPr>
              <w:t>)</w:t>
            </w:r>
          </w:p>
          <w:p w:rsidR="004C2EE3" w14:paraId="4E427403" w14:textId="77777777">
            <w:pPr>
              <w:tabs>
                <w:tab w:val="center" w:pos="4680"/>
              </w:tabs>
              <w:suppressAutoHyphens/>
              <w:rPr>
                <w:b/>
                <w:spacing w:val="-2"/>
              </w:rPr>
            </w:pPr>
            <w:r>
              <w:rPr>
                <w:b/>
                <w:spacing w:val="-2"/>
              </w:rPr>
              <w:t>)</w:t>
            </w:r>
          </w:p>
          <w:p w:rsidR="004C2EE3" w14:paraId="66696DB4" w14:textId="77777777">
            <w:pPr>
              <w:tabs>
                <w:tab w:val="center" w:pos="4680"/>
              </w:tabs>
              <w:suppressAutoHyphens/>
              <w:rPr>
                <w:b/>
                <w:spacing w:val="-2"/>
              </w:rPr>
            </w:pPr>
            <w:r>
              <w:rPr>
                <w:b/>
                <w:spacing w:val="-2"/>
              </w:rPr>
              <w:t>)</w:t>
            </w:r>
          </w:p>
          <w:p w:rsidR="004C2EE3" w14:paraId="75A291B1" w14:textId="77777777">
            <w:pPr>
              <w:tabs>
                <w:tab w:val="center" w:pos="4680"/>
              </w:tabs>
              <w:suppressAutoHyphens/>
              <w:rPr>
                <w:b/>
                <w:spacing w:val="-2"/>
              </w:rPr>
            </w:pPr>
            <w:r>
              <w:rPr>
                <w:b/>
                <w:spacing w:val="-2"/>
              </w:rPr>
              <w:t>)</w:t>
            </w:r>
          </w:p>
          <w:p w:rsidR="004C2EE3" w14:paraId="78BC2470" w14:textId="77777777">
            <w:pPr>
              <w:tabs>
                <w:tab w:val="center" w:pos="4680"/>
              </w:tabs>
              <w:suppressAutoHyphens/>
              <w:rPr>
                <w:spacing w:val="-2"/>
              </w:rPr>
            </w:pPr>
            <w:r>
              <w:rPr>
                <w:b/>
                <w:spacing w:val="-2"/>
              </w:rPr>
              <w:t>)</w:t>
            </w:r>
          </w:p>
        </w:tc>
        <w:tc>
          <w:tcPr>
            <w:tcW w:w="4248" w:type="dxa"/>
          </w:tcPr>
          <w:p w:rsidR="004C2EE3" w14:paraId="64CEE7AD" w14:textId="77777777">
            <w:pPr>
              <w:tabs>
                <w:tab w:val="center" w:pos="4680"/>
              </w:tabs>
              <w:suppressAutoHyphens/>
              <w:rPr>
                <w:spacing w:val="-2"/>
              </w:rPr>
            </w:pPr>
          </w:p>
          <w:p w:rsidR="004C2EE3" w14:paraId="709AD5F3" w14:textId="77777777">
            <w:pPr>
              <w:pStyle w:val="TOAHeading"/>
              <w:tabs>
                <w:tab w:val="center" w:pos="4680"/>
                <w:tab w:val="clear" w:pos="9360"/>
              </w:tabs>
              <w:rPr>
                <w:spacing w:val="-2"/>
              </w:rPr>
            </w:pPr>
          </w:p>
          <w:p w:rsidR="00FA71B4" w:rsidRPr="00FA71B4" w:rsidP="00FA71B4" w14:paraId="7F0EC003" w14:textId="77777777">
            <w:pPr>
              <w:pStyle w:val="TOAHeading"/>
              <w:tabs>
                <w:tab w:val="center" w:pos="4680"/>
              </w:tabs>
              <w:rPr>
                <w:spacing w:val="-2"/>
              </w:rPr>
            </w:pPr>
            <w:r w:rsidRPr="00FA71B4">
              <w:rPr>
                <w:spacing w:val="-2"/>
              </w:rPr>
              <w:t>MB Docket No. 17-264</w:t>
            </w:r>
          </w:p>
          <w:p w:rsidR="00FA71B4" w:rsidRPr="00FA71B4" w:rsidP="00FA71B4" w14:paraId="73E9334A" w14:textId="77777777">
            <w:pPr>
              <w:pStyle w:val="TOAHeading"/>
              <w:tabs>
                <w:tab w:val="center" w:pos="4680"/>
              </w:tabs>
              <w:rPr>
                <w:spacing w:val="-2"/>
              </w:rPr>
            </w:pPr>
          </w:p>
          <w:p w:rsidR="00FA71B4" w:rsidRPr="00FA71B4" w:rsidP="00FA71B4" w14:paraId="546195FE" w14:textId="77777777">
            <w:pPr>
              <w:pStyle w:val="TOAHeading"/>
              <w:tabs>
                <w:tab w:val="center" w:pos="4680"/>
              </w:tabs>
              <w:rPr>
                <w:spacing w:val="-2"/>
              </w:rPr>
            </w:pPr>
          </w:p>
          <w:p w:rsidR="00FA71B4" w:rsidRPr="00FA71B4" w:rsidP="00FA71B4" w14:paraId="3EC411B5" w14:textId="77777777">
            <w:pPr>
              <w:pStyle w:val="TOAHeading"/>
              <w:tabs>
                <w:tab w:val="center" w:pos="4680"/>
              </w:tabs>
              <w:rPr>
                <w:spacing w:val="-2"/>
              </w:rPr>
            </w:pPr>
          </w:p>
          <w:p w:rsidR="00FA71B4" w:rsidRPr="00FA71B4" w:rsidP="00FA71B4" w14:paraId="02E81DD5" w14:textId="77777777">
            <w:pPr>
              <w:pStyle w:val="TOAHeading"/>
              <w:tabs>
                <w:tab w:val="center" w:pos="4680"/>
              </w:tabs>
              <w:rPr>
                <w:spacing w:val="-2"/>
              </w:rPr>
            </w:pPr>
            <w:r w:rsidRPr="00FA71B4">
              <w:rPr>
                <w:spacing w:val="-2"/>
              </w:rPr>
              <w:t>MB Docket No. 17-105</w:t>
            </w:r>
          </w:p>
          <w:p w:rsidR="00FA71B4" w:rsidRPr="00FA71B4" w:rsidP="00FA71B4" w14:paraId="1DCD1606" w14:textId="77777777">
            <w:pPr>
              <w:pStyle w:val="TOAHeading"/>
              <w:tabs>
                <w:tab w:val="center" w:pos="4680"/>
              </w:tabs>
              <w:rPr>
                <w:spacing w:val="-2"/>
              </w:rPr>
            </w:pPr>
          </w:p>
          <w:p w:rsidR="004C2EE3" w:rsidP="00FA71B4" w14:paraId="5FD2AD03" w14:textId="77777777">
            <w:pPr>
              <w:tabs>
                <w:tab w:val="center" w:pos="4680"/>
              </w:tabs>
              <w:suppressAutoHyphens/>
              <w:rPr>
                <w:spacing w:val="-2"/>
              </w:rPr>
            </w:pPr>
            <w:r w:rsidRPr="00FA71B4">
              <w:rPr>
                <w:spacing w:val="-2"/>
              </w:rPr>
              <w:t>MB Docket No. 05-6</w:t>
            </w:r>
          </w:p>
        </w:tc>
      </w:tr>
    </w:tbl>
    <w:p w:rsidR="004C2EE3" w:rsidP="0070224F" w14:paraId="425302EB" w14:textId="77777777"/>
    <w:p w:rsidR="00841AB1" w:rsidP="00F021FA" w14:paraId="05A3B81B" w14:textId="487248A5">
      <w:pPr>
        <w:pStyle w:val="StyleBoldCentered"/>
      </w:pPr>
      <w:r>
        <w:t>ERRATUM</w:t>
      </w:r>
    </w:p>
    <w:p w:rsidR="004C2EE3" w14:paraId="74DAA944" w14:textId="77777777">
      <w:pPr>
        <w:tabs>
          <w:tab w:val="left" w:pos="-720"/>
        </w:tabs>
        <w:suppressAutoHyphens/>
        <w:spacing w:line="227" w:lineRule="auto"/>
        <w:rPr>
          <w:spacing w:val="-2"/>
        </w:rPr>
      </w:pPr>
    </w:p>
    <w:p w:rsidR="004C2EE3" w:rsidP="00EA3847" w14:paraId="039C7E28" w14:textId="59D2BAD9">
      <w:pPr>
        <w:tabs>
          <w:tab w:val="left" w:pos="720"/>
          <w:tab w:val="right" w:pos="9360"/>
        </w:tabs>
        <w:suppressAutoHyphens/>
        <w:spacing w:line="227" w:lineRule="auto"/>
        <w:jc w:val="right"/>
        <w:rPr>
          <w:spacing w:val="-2"/>
        </w:rPr>
      </w:pPr>
      <w:r>
        <w:rPr>
          <w:b/>
          <w:spacing w:val="-2"/>
        </w:rPr>
        <w:t>Released</w:t>
      </w:r>
      <w:r w:rsidR="00126A5B">
        <w:rPr>
          <w:b/>
          <w:spacing w:val="-2"/>
        </w:rPr>
        <w:t>:</w:t>
      </w:r>
      <w:r>
        <w:rPr>
          <w:b/>
          <w:spacing w:val="-2"/>
        </w:rPr>
        <w:t xml:space="preserve"> </w:t>
      </w:r>
      <w:r w:rsidR="00126A5B">
        <w:rPr>
          <w:b/>
          <w:spacing w:val="-2"/>
        </w:rPr>
        <w:t xml:space="preserve"> </w:t>
      </w:r>
      <w:r w:rsidR="00F71D59">
        <w:rPr>
          <w:b/>
          <w:spacing w:val="-2"/>
        </w:rPr>
        <w:t>March</w:t>
      </w:r>
      <w:r w:rsidR="00207D12">
        <w:rPr>
          <w:b/>
          <w:spacing w:val="-2"/>
        </w:rPr>
        <w:t xml:space="preserve"> 1</w:t>
      </w:r>
      <w:bookmarkStart w:id="0" w:name="_GoBack"/>
      <w:bookmarkEnd w:id="0"/>
      <w:r w:rsidR="00207D12">
        <w:rPr>
          <w:b/>
          <w:spacing w:val="-2"/>
        </w:rPr>
        <w:t>, 2021</w:t>
      </w:r>
    </w:p>
    <w:p w:rsidR="00822CE0" w14:paraId="25A0801A" w14:textId="77777777"/>
    <w:p w:rsidR="00EA3847" w:rsidRPr="00E90AB0" w:rsidP="00EA3847" w14:paraId="532B91AE" w14:textId="6A1BA158">
      <w:pPr>
        <w:ind w:right="-90"/>
        <w:rPr>
          <w:spacing w:val="-2"/>
        </w:rPr>
      </w:pPr>
      <w:r w:rsidRPr="00E90AB0">
        <w:t xml:space="preserve">By the </w:t>
      </w:r>
      <w:bookmarkStart w:id="1" w:name="_Hlk64554537"/>
      <w:r w:rsidR="003C7163">
        <w:t xml:space="preserve">Managing Director and the </w:t>
      </w:r>
      <w:r>
        <w:rPr>
          <w:spacing w:val="-2"/>
        </w:rPr>
        <w:t xml:space="preserve">Chief, Media </w:t>
      </w:r>
      <w:r w:rsidRPr="00E90AB0">
        <w:t>Bureau</w:t>
      </w:r>
      <w:bookmarkEnd w:id="1"/>
      <w:r w:rsidRPr="00E90AB0">
        <w:rPr>
          <w:spacing w:val="-2"/>
        </w:rPr>
        <w:t>:</w:t>
      </w:r>
    </w:p>
    <w:p w:rsidR="00EA3847" w:rsidRPr="00E90AB0" w:rsidP="00EA3847" w14:paraId="4980A8BC" w14:textId="77777777">
      <w:pPr>
        <w:ind w:right="-90"/>
        <w:rPr>
          <w:spacing w:val="-2"/>
        </w:rPr>
      </w:pPr>
    </w:p>
    <w:p w:rsidR="00EA3847" w:rsidRPr="00E90AB0" w:rsidP="009A6CDD" w14:paraId="67D61D0B" w14:textId="220BAC3F">
      <w:pPr>
        <w:pStyle w:val="ParaNum"/>
        <w:numPr>
          <w:ilvl w:val="0"/>
          <w:numId w:val="0"/>
        </w:numPr>
        <w:spacing w:after="220"/>
        <w:ind w:firstLine="720"/>
        <w:rPr>
          <w:i/>
        </w:rPr>
      </w:pPr>
      <w:r>
        <w:t>O</w:t>
      </w:r>
      <w:r w:rsidRPr="00E90AB0">
        <w:t xml:space="preserve">n </w:t>
      </w:r>
      <w:r>
        <w:t xml:space="preserve">May </w:t>
      </w:r>
      <w:r w:rsidR="00363AFB">
        <w:t>13</w:t>
      </w:r>
      <w:r>
        <w:t xml:space="preserve">, 2020, the </w:t>
      </w:r>
      <w:r w:rsidR="00FD332A">
        <w:t>Commission</w:t>
      </w:r>
      <w:r w:rsidR="00CF44D7">
        <w:t xml:space="preserve"> released a</w:t>
      </w:r>
      <w:r w:rsidRPr="00207D12">
        <w:t xml:space="preserve"> </w:t>
      </w:r>
      <w:r w:rsidRPr="00B619E1">
        <w:rPr>
          <w:i/>
          <w:iCs/>
        </w:rPr>
        <w:t>Second</w:t>
      </w:r>
      <w:r>
        <w:t xml:space="preserve"> </w:t>
      </w:r>
      <w:r>
        <w:rPr>
          <w:i/>
        </w:rPr>
        <w:t>Report and Order</w:t>
      </w:r>
      <w:r>
        <w:rPr>
          <w:iCs/>
        </w:rPr>
        <w:t>, FCC 20-65,</w:t>
      </w:r>
      <w:r>
        <w:rPr>
          <w:i/>
        </w:rPr>
        <w:t xml:space="preserve"> </w:t>
      </w:r>
      <w:r w:rsidRPr="00E90AB0">
        <w:t xml:space="preserve">in the </w:t>
      </w:r>
      <w:r>
        <w:t>above-</w:t>
      </w:r>
      <w:r w:rsidRPr="00E90AB0">
        <w:t>captioned proceeding</w:t>
      </w:r>
      <w:r w:rsidR="00CF44D7">
        <w:t>.</w:t>
      </w:r>
      <w:r>
        <w:rPr>
          <w:rStyle w:val="FootnoteReference"/>
        </w:rPr>
        <w:footnoteReference w:id="3"/>
      </w:r>
      <w:r w:rsidRPr="00CF44D7" w:rsidR="00CF44D7">
        <w:t xml:space="preserve"> </w:t>
      </w:r>
      <w:r w:rsidR="00CF44D7">
        <w:t xml:space="preserve"> In Appendix A of the </w:t>
      </w:r>
      <w:r w:rsidRPr="00B619E1" w:rsidR="00CF44D7">
        <w:rPr>
          <w:i/>
          <w:iCs/>
        </w:rPr>
        <w:t>Second</w:t>
      </w:r>
      <w:r w:rsidR="00CF44D7">
        <w:t xml:space="preserve"> </w:t>
      </w:r>
      <w:r w:rsidRPr="00F444DD" w:rsidR="00CF44D7">
        <w:rPr>
          <w:i/>
        </w:rPr>
        <w:t>Report and Order</w:t>
      </w:r>
      <w:r w:rsidR="00CF44D7">
        <w:t xml:space="preserve">, </w:t>
      </w:r>
      <w:r w:rsidR="00D73A4A">
        <w:t xml:space="preserve">section </w:t>
      </w:r>
      <w:r w:rsidR="00CF44D7">
        <w:t xml:space="preserve">73.3580(e)(2) is amended to reference </w:t>
      </w:r>
      <w:r w:rsidR="00FD332A">
        <w:t xml:space="preserve">section </w:t>
      </w:r>
      <w:r w:rsidR="00CF44D7">
        <w:t xml:space="preserve">73.3580(b)(1)(vi) (which was listed incorrectly as </w:t>
      </w:r>
      <w:r w:rsidR="00FD332A">
        <w:t xml:space="preserve">section </w:t>
      </w:r>
      <w:r w:rsidR="00CF44D7">
        <w:t xml:space="preserve">73.3580(b)(1)(v)).  </w:t>
      </w:r>
      <w:r w:rsidRPr="006F26B3" w:rsidR="00CF44D7">
        <w:t xml:space="preserve">Specifically, </w:t>
      </w:r>
      <w:r w:rsidR="00CF44D7">
        <w:t>paragraph</w:t>
      </w:r>
      <w:r w:rsidRPr="006F26B3" w:rsidR="00CF44D7">
        <w:t xml:space="preserve"> (b)(1)(v) refers to the “</w:t>
      </w:r>
      <w:r w:rsidRPr="00F828CB" w:rsidR="00CF44D7">
        <w:t>language of the broadcast</w:t>
      </w:r>
      <w:r w:rsidR="00CF44D7">
        <w:t>,</w:t>
      </w:r>
      <w:r w:rsidRPr="00EB0C86" w:rsidR="00CF44D7">
        <w:t>”</w:t>
      </w:r>
      <w:r>
        <w:rPr>
          <w:rStyle w:val="FootnoteReference"/>
        </w:rPr>
        <w:footnoteReference w:id="4"/>
      </w:r>
      <w:r w:rsidRPr="006F26B3" w:rsidR="00CF44D7">
        <w:t xml:space="preserve"> whereas </w:t>
      </w:r>
      <w:r w:rsidR="00CF44D7">
        <w:t>paragraph</w:t>
      </w:r>
      <w:r w:rsidRPr="006F26B3" w:rsidR="00CF44D7">
        <w:t xml:space="preserve"> (b)(1)(vi) refers</w:t>
      </w:r>
      <w:r w:rsidRPr="00F828CB" w:rsidR="00CF44D7">
        <w:t xml:space="preserve"> to </w:t>
      </w:r>
      <w:r w:rsidRPr="00EB0C86" w:rsidR="00CF44D7">
        <w:t>stations that are not broadcasting during all or a portion of the period during which on-air announcements are required to be broadcast</w:t>
      </w:r>
      <w:r>
        <w:rPr>
          <w:rStyle w:val="FootnoteReference"/>
        </w:rPr>
        <w:footnoteReference w:id="5"/>
      </w:r>
      <w:r w:rsidRPr="006F26B3" w:rsidR="00CF44D7">
        <w:t xml:space="preserve">—the same stations that are expressly referred to in </w:t>
      </w:r>
      <w:r w:rsidR="00FD332A">
        <w:t>s</w:t>
      </w:r>
      <w:r w:rsidRPr="006F26B3" w:rsidR="00FD332A">
        <w:t xml:space="preserve">ection </w:t>
      </w:r>
      <w:r w:rsidRPr="006F26B3" w:rsidR="00CF44D7">
        <w:t>73.3580(e)(2).  Based on th</w:t>
      </w:r>
      <w:r w:rsidRPr="00EB0C86" w:rsidR="00CF44D7">
        <w:t xml:space="preserve">e language of the rule, the Commission clearly intended to reference (b)(1)(vi).  Consistent with the Commission’s intent and to avoid public confusion arising from the typographical error, </w:t>
      </w:r>
      <w:r w:rsidR="00F36D1A">
        <w:t>t</w:t>
      </w:r>
      <w:r w:rsidRPr="00E90AB0">
        <w:t>h</w:t>
      </w:r>
      <w:r>
        <w:t xml:space="preserve">is Erratum </w:t>
      </w:r>
      <w:r w:rsidR="00CF44D7">
        <w:t>amends Appendix A of</w:t>
      </w:r>
      <w:r>
        <w:t xml:space="preserve"> the </w:t>
      </w:r>
      <w:r w:rsidRPr="00B619E1">
        <w:rPr>
          <w:i/>
          <w:iCs/>
        </w:rPr>
        <w:t>Second</w:t>
      </w:r>
      <w:r>
        <w:t xml:space="preserve"> </w:t>
      </w:r>
      <w:r>
        <w:rPr>
          <w:i/>
        </w:rPr>
        <w:t>Report and Order</w:t>
      </w:r>
      <w:r w:rsidR="00CF44D7">
        <w:t xml:space="preserve"> as indicated below:</w:t>
      </w:r>
      <w:r>
        <w:t xml:space="preserve">  </w:t>
      </w:r>
    </w:p>
    <w:p w:rsidR="00E16316" w:rsidP="009A6CDD" w14:paraId="16293FCC" w14:textId="6DCB4618">
      <w:pPr>
        <w:pStyle w:val="ParaNum"/>
        <w:numPr>
          <w:ilvl w:val="0"/>
          <w:numId w:val="11"/>
        </w:numPr>
        <w:tabs>
          <w:tab w:val="left" w:pos="720"/>
          <w:tab w:val="clear" w:pos="1080"/>
        </w:tabs>
        <w:spacing w:after="220"/>
        <w:ind w:firstLine="360"/>
      </w:pPr>
      <w:r>
        <w:t>Paragraph</w:t>
      </w:r>
      <w:r w:rsidRPr="00EB0C86" w:rsidR="00F625BA">
        <w:t xml:space="preserve"> </w:t>
      </w:r>
      <w:r w:rsidRPr="00EB0C86">
        <w:t xml:space="preserve">(e)(2) </w:t>
      </w:r>
      <w:r>
        <w:t xml:space="preserve">of </w:t>
      </w:r>
      <w:r w:rsidR="00D73A4A">
        <w:t>s</w:t>
      </w:r>
      <w:r w:rsidRPr="00EB0C86" w:rsidR="00D73A4A">
        <w:t xml:space="preserve">ection </w:t>
      </w:r>
      <w:r w:rsidRPr="00EB0C86" w:rsidR="00F625BA">
        <w:t>73.3580</w:t>
      </w:r>
      <w:r>
        <w:t xml:space="preserve"> is corrected to read </w:t>
      </w:r>
      <w:r w:rsidRPr="00EB0C86" w:rsidR="00F625BA">
        <w:t>as follows</w:t>
      </w:r>
      <w:r w:rsidRPr="00EB0C86" w:rsidR="00EA3847">
        <w:t>:</w:t>
      </w:r>
      <w:r w:rsidR="00EA3847">
        <w:t xml:space="preserve">  </w:t>
      </w:r>
    </w:p>
    <w:p w:rsidR="0050396C" w:rsidP="009A6CDD" w14:paraId="02C1C5E5" w14:textId="1B56ACF4">
      <w:pPr>
        <w:keepNext/>
        <w:keepLines/>
        <w:spacing w:after="120"/>
        <w:ind w:left="720" w:hanging="86"/>
        <w:rPr>
          <w:b/>
        </w:rPr>
      </w:pPr>
      <w:r w:rsidRPr="009A6CDD">
        <w:rPr>
          <w:bCs/>
        </w:rPr>
        <w:t>“</w:t>
      </w:r>
      <w:r w:rsidRPr="00BA59DC">
        <w:rPr>
          <w:b/>
        </w:rPr>
        <w:t xml:space="preserve">§ 73.3580  </w:t>
      </w:r>
      <w:r w:rsidR="00CF44D7">
        <w:rPr>
          <w:b/>
        </w:rPr>
        <w:t xml:space="preserve"> </w:t>
      </w:r>
      <w:r w:rsidRPr="00BA59DC">
        <w:rPr>
          <w:b/>
        </w:rPr>
        <w:t xml:space="preserve">Local </w:t>
      </w:r>
      <w:r>
        <w:rPr>
          <w:b/>
        </w:rPr>
        <w:t>p</w:t>
      </w:r>
      <w:r w:rsidRPr="00BA59DC">
        <w:rPr>
          <w:b/>
        </w:rPr>
        <w:t xml:space="preserve">ublic </w:t>
      </w:r>
      <w:r>
        <w:rPr>
          <w:b/>
        </w:rPr>
        <w:t>n</w:t>
      </w:r>
      <w:r w:rsidRPr="00BA59DC">
        <w:rPr>
          <w:b/>
        </w:rPr>
        <w:t xml:space="preserve">otice of </w:t>
      </w:r>
      <w:r>
        <w:rPr>
          <w:b/>
        </w:rPr>
        <w:t>f</w:t>
      </w:r>
      <w:r w:rsidRPr="00BA59DC">
        <w:rPr>
          <w:b/>
        </w:rPr>
        <w:t xml:space="preserve">iling of </w:t>
      </w:r>
      <w:r>
        <w:rPr>
          <w:b/>
        </w:rPr>
        <w:t>b</w:t>
      </w:r>
      <w:r w:rsidRPr="00BA59DC">
        <w:rPr>
          <w:b/>
        </w:rPr>
        <w:t xml:space="preserve">roadcast </w:t>
      </w:r>
      <w:r>
        <w:rPr>
          <w:b/>
        </w:rPr>
        <w:t>a</w:t>
      </w:r>
      <w:r w:rsidRPr="00BA59DC">
        <w:rPr>
          <w:b/>
        </w:rPr>
        <w:t>pplications</w:t>
      </w:r>
      <w:r>
        <w:rPr>
          <w:b/>
        </w:rPr>
        <w:t>.</w:t>
      </w:r>
    </w:p>
    <w:p w:rsidR="0050396C" w:rsidRPr="009A6CDD" w:rsidP="009A6CDD" w14:paraId="731D13EA" w14:textId="5B31E6F2">
      <w:pPr>
        <w:keepNext/>
        <w:keepLines/>
        <w:spacing w:after="120"/>
        <w:ind w:left="720"/>
        <w:rPr>
          <w:bCs/>
        </w:rPr>
      </w:pPr>
      <w:r w:rsidRPr="009A6CDD">
        <w:rPr>
          <w:bCs/>
        </w:rPr>
        <w:t>* * * * *</w:t>
      </w:r>
    </w:p>
    <w:p w:rsidR="0050396C" w:rsidP="009A6CDD" w14:paraId="24D87FBE" w14:textId="2E1408BD">
      <w:pPr>
        <w:pStyle w:val="ListParagraph"/>
        <w:spacing w:after="120"/>
        <w:contextualSpacing w:val="0"/>
      </w:pPr>
      <w:r>
        <w:rPr>
          <w:iCs/>
        </w:rPr>
        <w:t xml:space="preserve">(e) </w:t>
      </w:r>
      <w:r w:rsidRPr="00AB2DC3">
        <w:rPr>
          <w:i/>
        </w:rPr>
        <w:t>Certification of Local Public Notice</w:t>
      </w:r>
      <w:r w:rsidRPr="00BA59DC">
        <w:t xml:space="preserve">.  </w:t>
      </w:r>
    </w:p>
    <w:p w:rsidR="0050396C" w:rsidRPr="00BA59DC" w:rsidP="009A6CDD" w14:paraId="4B9D2827" w14:textId="7B502405">
      <w:pPr>
        <w:pStyle w:val="ListParagraph"/>
        <w:spacing w:after="120"/>
        <w:ind w:left="1080"/>
        <w:contextualSpacing w:val="0"/>
      </w:pPr>
      <w:r>
        <w:rPr>
          <w:iCs/>
        </w:rPr>
        <w:t>* * *</w:t>
      </w:r>
    </w:p>
    <w:p w:rsidR="0050396C" w:rsidP="009A6CDD" w14:paraId="1C867A37" w14:textId="0F15C579">
      <w:pPr>
        <w:pStyle w:val="ListParagraph"/>
        <w:spacing w:after="120"/>
        <w:ind w:left="1080"/>
        <w:contextualSpacing w:val="0"/>
      </w:pPr>
      <w:r>
        <w:t xml:space="preserve">(2) </w:t>
      </w:r>
      <w:r w:rsidR="00EA5105">
        <w:t xml:space="preserve">An applicant for renewal of a license that is required to maintain an online public </w:t>
      </w:r>
      <w:r w:rsidR="00EA5105">
        <w:t>inspection file shall, within seven (7) days of the last day of broadcast of the required on-air announcements, place in its online public inspection file a statement certifying compliance with this section, along with the dates and times that the on-air announcements were broadcast. An applicant for renewal of a license that is required to maintain an online public inspection file, and that is not broadcasting during all or a portion of the period during which on-air announcements are required to be broadcast, as set forth in paragraph (b)(1)(vi) of this section, shall, within seven (7) days of the last on-air announcement or last day of posting online notice, whichever occurs last, place in its online public inspection file a statement certifying compliance with this section, along with the dates and times that any on-air announcements were broadcast, along with the dates and times that online notice was posted and the Universal Resource Locator (URL) of the internet website on which online notice was posted. This certification need not be filed with the Commission but shall be retained in the online public inspection file for as long as the application to which it refers.</w:t>
      </w:r>
    </w:p>
    <w:p w:rsidR="0050396C" w:rsidRPr="00402055" w:rsidP="009A6CDD" w14:paraId="0AE1EA4C" w14:textId="496B16E0">
      <w:pPr>
        <w:pStyle w:val="ListParagraph"/>
        <w:spacing w:after="120"/>
        <w:contextualSpacing w:val="0"/>
      </w:pPr>
      <w:r>
        <w:t>* * * * *</w:t>
      </w:r>
      <w:r w:rsidR="0082444F">
        <w:t>”</w:t>
      </w:r>
    </w:p>
    <w:p w:rsidR="00BD22A4" w:rsidP="009A6CDD" w14:paraId="3CF91B0A" w14:textId="79414F2C">
      <w:pPr>
        <w:pStyle w:val="ParaNum"/>
        <w:numPr>
          <w:ilvl w:val="0"/>
          <w:numId w:val="11"/>
        </w:numPr>
        <w:tabs>
          <w:tab w:val="num" w:pos="720"/>
          <w:tab w:val="clear" w:pos="1080"/>
        </w:tabs>
        <w:ind w:firstLine="360"/>
      </w:pPr>
      <w:r>
        <w:t>Because this change is editorial and non-substantive, we find good cause to conclude</w:t>
      </w:r>
      <w:r w:rsidRPr="00BD22A4">
        <w:rPr>
          <w:color w:val="3D3D3D"/>
          <w:shd w:val="clear" w:color="auto" w:fill="FFFFFF"/>
        </w:rPr>
        <w:t xml:space="preserve"> that </w:t>
      </w:r>
      <w:r w:rsidRPr="00BD22A4">
        <w:rPr>
          <w:color w:val="3D3D3D"/>
          <w:bdr w:val="none" w:sz="0" w:space="0" w:color="auto" w:frame="1"/>
        </w:rPr>
        <w:t>notice</w:t>
      </w:r>
      <w:r w:rsidRPr="00BD22A4">
        <w:rPr>
          <w:color w:val="3D3D3D"/>
          <w:shd w:val="clear" w:color="auto" w:fill="FFFFFF"/>
        </w:rPr>
        <w:t> and comment are unnecessary for its adoption.</w:t>
      </w:r>
      <w:r>
        <w:rPr>
          <w:rStyle w:val="FootnoteReference"/>
          <w:shd w:val="clear" w:color="auto" w:fill="FFFFFF"/>
        </w:rPr>
        <w:footnoteReference w:id="6"/>
      </w:r>
      <w:r>
        <w:rPr>
          <w:color w:val="3D3D3D"/>
          <w:shd w:val="clear" w:color="auto" w:fill="FFFFFF"/>
        </w:rPr>
        <w:t xml:space="preserve">  </w:t>
      </w:r>
      <w:r w:rsidRPr="00BD22A4">
        <w:rPr>
          <w:szCs w:val="22"/>
        </w:rPr>
        <w:t>Because</w:t>
      </w:r>
      <w:r>
        <w:t xml:space="preserve"> this rule change does not require notice and comment, the Regulatory Flexibility Act</w:t>
      </w:r>
      <w:r>
        <w:rPr>
          <w:rStyle w:val="FootnoteReference"/>
          <w:sz w:val="22"/>
        </w:rPr>
        <w:footnoteReference w:id="7"/>
      </w:r>
      <w:r>
        <w:t xml:space="preserve"> does not apply.</w:t>
      </w:r>
    </w:p>
    <w:p w:rsidR="00BD22A4" w:rsidP="009A6CDD" w14:paraId="3B8F19F0" w14:textId="340733AA">
      <w:pPr>
        <w:pStyle w:val="ParaNum"/>
        <w:numPr>
          <w:ilvl w:val="0"/>
          <w:numId w:val="11"/>
        </w:numPr>
        <w:tabs>
          <w:tab w:val="num" w:pos="720"/>
          <w:tab w:val="clear" w:pos="1080"/>
        </w:tabs>
        <w:ind w:firstLine="360"/>
      </w:pPr>
      <w:bookmarkStart w:id="2" w:name="_Hlk502647480"/>
      <w:r>
        <w:t>This Erratum does not contain new or modified information collection requirements subject to the Paperwork Reduction Act of 1995 (PRA).</w:t>
      </w:r>
      <w:r>
        <w:rPr>
          <w:rStyle w:val="FootnoteReference"/>
          <w:sz w:val="22"/>
        </w:rPr>
        <w:footnoteReference w:id="8"/>
      </w:r>
      <w:r>
        <w:t xml:space="preserve">  In addition, therefore, it does not contain any new or modified information collection burden for small business concerns with fewer than 25 employees, pursuant to the Small Business Paperwork Relief Act of 2002.</w:t>
      </w:r>
      <w:r>
        <w:rPr>
          <w:rStyle w:val="FootnoteReference"/>
          <w:sz w:val="22"/>
        </w:rPr>
        <w:footnoteReference w:id="9"/>
      </w:r>
      <w:r>
        <w:t xml:space="preserve"> </w:t>
      </w:r>
    </w:p>
    <w:bookmarkEnd w:id="2"/>
    <w:p w:rsidR="00BD22A4" w:rsidRPr="00BD22A4" w:rsidP="009A6CDD" w14:paraId="01D11096" w14:textId="7BE2D4B7">
      <w:pPr>
        <w:pStyle w:val="ParaNum"/>
        <w:numPr>
          <w:ilvl w:val="0"/>
          <w:numId w:val="11"/>
        </w:numPr>
        <w:tabs>
          <w:tab w:val="num" w:pos="720"/>
          <w:tab w:val="clear" w:pos="1080"/>
        </w:tabs>
        <w:spacing w:after="220"/>
        <w:ind w:firstLine="360"/>
        <w:jc w:val="both"/>
      </w:pPr>
      <w:r>
        <w:t xml:space="preserve">The Commission has determined, and the Administrator of the Office of Information and Regulatory Affairs, Office of Management and Budget, concurs that this rule is </w:t>
      </w:r>
      <w:r w:rsidRPr="00D670DF">
        <w:t>“non-major”</w:t>
      </w:r>
      <w:r>
        <w:t xml:space="preserve"> under the Congressional Review Act, 5 U.S.C. </w:t>
      </w:r>
      <w:r w:rsidRPr="00CA7D5B">
        <w:rPr>
          <w:rFonts w:cs="Calibri"/>
        </w:rPr>
        <w:t>§</w:t>
      </w:r>
      <w:r>
        <w:t xml:space="preserve"> 804(2).  </w:t>
      </w:r>
      <w:r>
        <w:rPr>
          <w:rStyle w:val="documentbody"/>
        </w:rPr>
        <w:t xml:space="preserve">The </w:t>
      </w:r>
      <w:r>
        <w:rPr>
          <w:szCs w:val="22"/>
        </w:rPr>
        <w:t>Commission</w:t>
      </w:r>
      <w:r>
        <w:rPr>
          <w:rStyle w:val="documentbody"/>
        </w:rPr>
        <w:t xml:space="preserve"> will send a copy of the Order to Congress and the Government Accountability Office pursuant to </w:t>
      </w:r>
      <w:r>
        <w:t>5 U.S.C. § 801(a)(1)(A)</w:t>
      </w:r>
      <w:r>
        <w:rPr>
          <w:rStyle w:val="documentbody"/>
        </w:rPr>
        <w:t>.</w:t>
      </w:r>
    </w:p>
    <w:p w:rsidR="00F36D1A" w:rsidP="009A6CDD" w14:paraId="116C4E7A" w14:textId="77777777">
      <w:pPr>
        <w:pStyle w:val="ParaNum"/>
        <w:numPr>
          <w:ilvl w:val="0"/>
          <w:numId w:val="11"/>
        </w:numPr>
        <w:tabs>
          <w:tab w:val="num" w:pos="720"/>
          <w:tab w:val="clear" w:pos="1080"/>
        </w:tabs>
        <w:ind w:firstLine="360"/>
      </w:pPr>
      <w:r>
        <w:rPr>
          <w:szCs w:val="22"/>
        </w:rPr>
        <w:t>Accordingly</w:t>
      </w:r>
      <w:r>
        <w:t xml:space="preserve">, </w:t>
      </w:r>
      <w:r>
        <w:rPr>
          <w:b/>
        </w:rPr>
        <w:t>IT IS ORDERED</w:t>
      </w:r>
      <w:r>
        <w:rPr>
          <w:bCs/>
        </w:rPr>
        <w:t xml:space="preserve"> that</w:t>
      </w:r>
      <w:r w:rsidRPr="000F071D">
        <w:rPr>
          <w:bCs/>
        </w:rPr>
        <w:t>,</w:t>
      </w:r>
      <w:r>
        <w:t xml:space="preserve"> effective on the date of publication of this Erratum in the Federal Register, section 73.3580(e)(2) of the rules </w:t>
      </w:r>
      <w:r>
        <w:rPr>
          <w:b/>
        </w:rPr>
        <w:t>IS AMENDED</w:t>
      </w:r>
      <w:r>
        <w:t>, as set forth herein, pursuant to the authority contained in sections 4(</w:t>
      </w:r>
      <w:r>
        <w:t>i</w:t>
      </w:r>
      <w:r>
        <w:t>) and 303(r) of the Communications Act of 1934, as amended, 47 U.S.C. §§ 154(</w:t>
      </w:r>
      <w:r>
        <w:t>i</w:t>
      </w:r>
      <w:r>
        <w:t>), 303(r), and in s</w:t>
      </w:r>
      <w:r>
        <w:rPr>
          <w:color w:val="000000"/>
        </w:rPr>
        <w:t>ections </w:t>
      </w:r>
      <w:r>
        <w:rPr>
          <w:rStyle w:val="cosearchterm"/>
          <w:bCs/>
          <w:color w:val="000000"/>
        </w:rPr>
        <w:t>553</w:t>
      </w:r>
      <w:r>
        <w:rPr>
          <w:color w:val="000000"/>
        </w:rPr>
        <w:t>(</w:t>
      </w:r>
      <w:r>
        <w:rPr>
          <w:rStyle w:val="cosearchterm"/>
          <w:bCs/>
          <w:color w:val="000000"/>
        </w:rPr>
        <w:t>b</w:t>
      </w:r>
      <w:r>
        <w:rPr>
          <w:color w:val="000000"/>
        </w:rPr>
        <w:t>)(3)(</w:t>
      </w:r>
      <w:r>
        <w:rPr>
          <w:rStyle w:val="cosearchterm"/>
          <w:bCs/>
          <w:color w:val="000000"/>
        </w:rPr>
        <w:t>B</w:t>
      </w:r>
      <w:r>
        <w:rPr>
          <w:color w:val="000000"/>
        </w:rPr>
        <w:t>) and 553(d)(3) of the Administrative Procedure Act, 5 U.S.C §§ </w:t>
      </w:r>
      <w:r>
        <w:rPr>
          <w:rStyle w:val="cosearchterm"/>
          <w:bCs/>
          <w:color w:val="000000"/>
        </w:rPr>
        <w:t>553</w:t>
      </w:r>
      <w:r>
        <w:rPr>
          <w:color w:val="000000"/>
        </w:rPr>
        <w:t>(</w:t>
      </w:r>
      <w:r>
        <w:rPr>
          <w:rStyle w:val="cosearchterm"/>
          <w:bCs/>
          <w:color w:val="000000"/>
        </w:rPr>
        <w:t>b</w:t>
      </w:r>
      <w:r>
        <w:rPr>
          <w:color w:val="000000"/>
        </w:rPr>
        <w:t>)(3)(</w:t>
      </w:r>
      <w:r>
        <w:rPr>
          <w:rStyle w:val="cosearchterm"/>
          <w:bCs/>
          <w:color w:val="000000"/>
        </w:rPr>
        <w:t>B</w:t>
      </w:r>
      <w:r>
        <w:rPr>
          <w:rStyle w:val="cosearchterm"/>
          <w:color w:val="000000"/>
        </w:rPr>
        <w:t>), 553(d)(3)</w:t>
      </w:r>
      <w:r>
        <w:t>.</w:t>
      </w:r>
    </w:p>
    <w:p w:rsidR="000138B9" w:rsidRPr="0050396C" w:rsidP="009A6CDD" w14:paraId="7A831AD2" w14:textId="2A4CFAB6">
      <w:pPr>
        <w:pStyle w:val="ParaNum"/>
        <w:keepNext/>
        <w:widowControl/>
        <w:numPr>
          <w:ilvl w:val="0"/>
          <w:numId w:val="11"/>
        </w:numPr>
        <w:tabs>
          <w:tab w:val="num" w:pos="720"/>
          <w:tab w:val="clear" w:pos="1080"/>
        </w:tabs>
        <w:ind w:firstLine="360"/>
      </w:pPr>
      <w:r w:rsidRPr="00E90AB0">
        <w:t xml:space="preserve">This action is taken under delegated </w:t>
      </w:r>
      <w:r w:rsidRPr="0050396C">
        <w:t>authority</w:t>
      </w:r>
      <w:r w:rsidRPr="00E90AB0">
        <w:t xml:space="preserve"> pursuant to </w:t>
      </w:r>
      <w:r w:rsidR="00D73A4A">
        <w:t>s</w:t>
      </w:r>
      <w:r w:rsidRPr="00E90AB0" w:rsidR="00D73A4A">
        <w:t xml:space="preserve">ections </w:t>
      </w:r>
      <w:r w:rsidR="003C7163">
        <w:t xml:space="preserve">0.11, </w:t>
      </w:r>
      <w:r w:rsidRPr="00E90AB0">
        <w:t>0.</w:t>
      </w:r>
      <w:r w:rsidR="0033461C">
        <w:t>6</w:t>
      </w:r>
      <w:r w:rsidRPr="00E90AB0">
        <w:t>1</w:t>
      </w:r>
      <w:r w:rsidR="003C7163">
        <w:t>,</w:t>
      </w:r>
      <w:r w:rsidRPr="00E90AB0">
        <w:t xml:space="preserve"> </w:t>
      </w:r>
      <w:r w:rsidR="003C7163">
        <w:t xml:space="preserve">0.231(b), </w:t>
      </w:r>
      <w:r w:rsidRPr="00E90AB0">
        <w:t>and 0.</w:t>
      </w:r>
      <w:r w:rsidR="0033461C">
        <w:t>283</w:t>
      </w:r>
      <w:r w:rsidRPr="00E90AB0">
        <w:t xml:space="preserve"> of the Commission’s Rules, 47 </w:t>
      </w:r>
      <w:r>
        <w:t>CFR</w:t>
      </w:r>
      <w:r w:rsidRPr="00E90AB0">
        <w:t xml:space="preserve"> §§ </w:t>
      </w:r>
      <w:r w:rsidR="003C7163">
        <w:t xml:space="preserve">0.11, </w:t>
      </w:r>
      <w:r w:rsidRPr="00E90AB0">
        <w:t>0.</w:t>
      </w:r>
      <w:r>
        <w:t>6</w:t>
      </w:r>
      <w:r w:rsidRPr="00E90AB0">
        <w:t xml:space="preserve">1, </w:t>
      </w:r>
      <w:r w:rsidR="003C7163">
        <w:t>0</w:t>
      </w:r>
      <w:r w:rsidR="00F44B06">
        <w:t>.</w:t>
      </w:r>
      <w:r w:rsidR="003C7163">
        <w:t xml:space="preserve">231(b), </w:t>
      </w:r>
      <w:r w:rsidRPr="00E90AB0">
        <w:t>0.</w:t>
      </w:r>
      <w:r>
        <w:t>283.</w:t>
      </w:r>
    </w:p>
    <w:p w:rsidR="00F36D1A" w:rsidP="009A6CDD" w14:paraId="6CF38B2B" w14:textId="77777777">
      <w:pPr>
        <w:pStyle w:val="ParaNum"/>
        <w:keepNext/>
        <w:widowControl/>
        <w:numPr>
          <w:ilvl w:val="0"/>
          <w:numId w:val="0"/>
        </w:numPr>
        <w:spacing w:after="0"/>
        <w:ind w:left="4320"/>
      </w:pPr>
    </w:p>
    <w:p w:rsidR="00C456F2" w:rsidP="009A6CDD" w14:paraId="2AABEC1F" w14:textId="68CE0361">
      <w:pPr>
        <w:pStyle w:val="ParaNum"/>
        <w:keepNext/>
        <w:widowControl/>
        <w:numPr>
          <w:ilvl w:val="0"/>
          <w:numId w:val="0"/>
        </w:numPr>
        <w:spacing w:after="0"/>
        <w:ind w:left="4320"/>
      </w:pPr>
      <w:r>
        <w:t>FEDERAL COMMUNICATIONS COMMISSION</w:t>
      </w:r>
    </w:p>
    <w:p w:rsidR="00C456F2" w:rsidP="009A6CDD" w14:paraId="047F678D" w14:textId="1D38446D">
      <w:pPr>
        <w:pStyle w:val="ParaNum"/>
        <w:keepNext/>
        <w:widowControl/>
        <w:numPr>
          <w:ilvl w:val="0"/>
          <w:numId w:val="0"/>
        </w:numPr>
        <w:spacing w:after="0"/>
        <w:ind w:left="4320"/>
      </w:pPr>
    </w:p>
    <w:p w:rsidR="00C456F2" w:rsidP="009A6CDD" w14:paraId="12A5CFA9" w14:textId="7E1C337F">
      <w:pPr>
        <w:pStyle w:val="ParaNum"/>
        <w:keepNext/>
        <w:widowControl/>
        <w:numPr>
          <w:ilvl w:val="0"/>
          <w:numId w:val="0"/>
        </w:numPr>
        <w:spacing w:after="0"/>
        <w:ind w:left="4320"/>
      </w:pPr>
    </w:p>
    <w:p w:rsidR="00C456F2" w:rsidP="009A6CDD" w14:paraId="1AF09CAE" w14:textId="2D5151B5">
      <w:pPr>
        <w:pStyle w:val="ParaNum"/>
        <w:keepNext/>
        <w:widowControl/>
        <w:numPr>
          <w:ilvl w:val="0"/>
          <w:numId w:val="0"/>
        </w:numPr>
        <w:spacing w:after="0"/>
        <w:ind w:left="4320"/>
      </w:pPr>
    </w:p>
    <w:p w:rsidR="000C6BD5" w:rsidP="009A6CDD" w14:paraId="23B850DE" w14:textId="77777777">
      <w:pPr>
        <w:pStyle w:val="ParaNum"/>
        <w:keepNext/>
        <w:widowControl/>
        <w:numPr>
          <w:ilvl w:val="0"/>
          <w:numId w:val="0"/>
        </w:numPr>
        <w:spacing w:after="0"/>
        <w:ind w:left="4320"/>
      </w:pPr>
    </w:p>
    <w:p w:rsidR="003C7163" w:rsidP="009A6CDD" w14:paraId="5DD662B4" w14:textId="1EABF871">
      <w:pPr>
        <w:pStyle w:val="ParaNum"/>
        <w:keepNext/>
        <w:widowControl/>
        <w:numPr>
          <w:ilvl w:val="0"/>
          <w:numId w:val="0"/>
        </w:numPr>
        <w:spacing w:after="0"/>
        <w:ind w:left="3600" w:firstLine="720"/>
      </w:pPr>
      <w:r>
        <w:t>Mark Stephens</w:t>
      </w:r>
    </w:p>
    <w:p w:rsidR="003C7163" w:rsidP="009A6CDD" w14:paraId="4666D6ED" w14:textId="0520C716">
      <w:pPr>
        <w:pStyle w:val="ParaNum"/>
        <w:keepNext/>
        <w:widowControl/>
        <w:numPr>
          <w:ilvl w:val="0"/>
          <w:numId w:val="0"/>
        </w:numPr>
        <w:spacing w:after="0"/>
        <w:ind w:left="3600" w:firstLine="720"/>
      </w:pPr>
      <w:r>
        <w:t>Managing Director</w:t>
      </w:r>
    </w:p>
    <w:p w:rsidR="003C7163" w:rsidP="009A6CDD" w14:paraId="5582516F" w14:textId="1D2E957E">
      <w:pPr>
        <w:pStyle w:val="ParaNum"/>
        <w:keepNext/>
        <w:widowControl/>
        <w:numPr>
          <w:ilvl w:val="0"/>
          <w:numId w:val="0"/>
        </w:numPr>
        <w:spacing w:after="0"/>
        <w:ind w:left="3600" w:firstLine="720"/>
      </w:pPr>
      <w:r>
        <w:t>Office of the Managing Director</w:t>
      </w:r>
    </w:p>
    <w:p w:rsidR="003C7163" w:rsidP="009A6CDD" w14:paraId="1F29B7C0" w14:textId="1E7B0456">
      <w:pPr>
        <w:pStyle w:val="ParaNum"/>
        <w:keepNext/>
        <w:widowControl/>
        <w:numPr>
          <w:ilvl w:val="0"/>
          <w:numId w:val="0"/>
        </w:numPr>
        <w:spacing w:after="0"/>
        <w:ind w:left="3600" w:firstLine="720"/>
      </w:pPr>
    </w:p>
    <w:p w:rsidR="003C7163" w:rsidP="009A6CDD" w14:paraId="70622AEF" w14:textId="51D20145">
      <w:pPr>
        <w:pStyle w:val="ParaNum"/>
        <w:keepNext/>
        <w:widowControl/>
        <w:numPr>
          <w:ilvl w:val="0"/>
          <w:numId w:val="0"/>
        </w:numPr>
        <w:spacing w:after="0"/>
        <w:ind w:left="3600" w:firstLine="720"/>
      </w:pPr>
      <w:r>
        <w:t>a</w:t>
      </w:r>
      <w:r>
        <w:t>nd</w:t>
      </w:r>
    </w:p>
    <w:p w:rsidR="003600C1" w:rsidP="009A6CDD" w14:paraId="01DB5911" w14:textId="312B4A3C">
      <w:pPr>
        <w:pStyle w:val="ParaNum"/>
        <w:keepNext/>
        <w:widowControl/>
        <w:numPr>
          <w:ilvl w:val="0"/>
          <w:numId w:val="0"/>
        </w:numPr>
        <w:spacing w:after="0"/>
        <w:ind w:left="3600" w:firstLine="720"/>
      </w:pPr>
    </w:p>
    <w:p w:rsidR="003600C1" w:rsidP="009A6CDD" w14:paraId="64CBAD20" w14:textId="74BD807C">
      <w:pPr>
        <w:pStyle w:val="ParaNum"/>
        <w:keepNext/>
        <w:widowControl/>
        <w:numPr>
          <w:ilvl w:val="0"/>
          <w:numId w:val="0"/>
        </w:numPr>
        <w:spacing w:after="0"/>
        <w:ind w:left="3600" w:firstLine="720"/>
      </w:pPr>
    </w:p>
    <w:p w:rsidR="003600C1" w:rsidP="009A6CDD" w14:paraId="24F7096A" w14:textId="77777777">
      <w:pPr>
        <w:pStyle w:val="ParaNum"/>
        <w:keepNext/>
        <w:widowControl/>
        <w:numPr>
          <w:ilvl w:val="0"/>
          <w:numId w:val="0"/>
        </w:numPr>
        <w:spacing w:after="0"/>
        <w:ind w:left="3600" w:firstLine="720"/>
      </w:pPr>
    </w:p>
    <w:p w:rsidR="003C7163" w:rsidP="009A6CDD" w14:paraId="78016EC3" w14:textId="77777777">
      <w:pPr>
        <w:pStyle w:val="ParaNum"/>
        <w:keepNext/>
        <w:widowControl/>
        <w:numPr>
          <w:ilvl w:val="0"/>
          <w:numId w:val="0"/>
        </w:numPr>
        <w:spacing w:after="0"/>
        <w:ind w:left="3600" w:firstLine="720"/>
      </w:pPr>
    </w:p>
    <w:p w:rsidR="00C456F2" w:rsidP="009A6CDD" w14:paraId="62389603" w14:textId="08A3D7D1">
      <w:pPr>
        <w:pStyle w:val="ParaNum"/>
        <w:keepNext/>
        <w:widowControl/>
        <w:numPr>
          <w:ilvl w:val="0"/>
          <w:numId w:val="0"/>
        </w:numPr>
        <w:spacing w:after="0"/>
        <w:ind w:left="3600" w:firstLine="720"/>
      </w:pPr>
      <w:r>
        <w:t>Michelle M. Carey</w:t>
      </w:r>
    </w:p>
    <w:p w:rsidR="00C456F2" w:rsidP="009A6CDD" w14:paraId="016D779A" w14:textId="65D73B96">
      <w:pPr>
        <w:pStyle w:val="ParaNum"/>
        <w:keepNext/>
        <w:widowControl/>
        <w:numPr>
          <w:ilvl w:val="0"/>
          <w:numId w:val="0"/>
        </w:numPr>
        <w:spacing w:after="0"/>
        <w:ind w:left="3600" w:firstLine="720"/>
      </w:pPr>
      <w:r>
        <w:t>Chief</w:t>
      </w:r>
    </w:p>
    <w:p w:rsidR="0050396C" w:rsidP="00EA5105" w14:paraId="0F23F088" w14:textId="2F28323F">
      <w:pPr>
        <w:pStyle w:val="ParaNum"/>
        <w:numPr>
          <w:ilvl w:val="0"/>
          <w:numId w:val="0"/>
        </w:numPr>
        <w:spacing w:after="0"/>
        <w:ind w:left="3600" w:firstLine="720"/>
      </w:pPr>
      <w:r>
        <w:t>Media Burea</w:t>
      </w:r>
      <w:r w:rsidR="00EA5105">
        <w:t>u</w:t>
      </w:r>
    </w:p>
    <w:sectPr w:rsidSect="000138B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8CB" w:rsidP="0055614C" w14:paraId="27979D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F828CB" w14:paraId="7E87DC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8CB" w:rsidP="0055614C" w14:paraId="57FECA4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828CB" w14:paraId="64A2E92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8CB" w:rsidP="000138B9" w14:paraId="1051E7D2" w14:textId="0CC15F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28CB" w14:paraId="72BF9743" w14:textId="77777777">
      <w:r>
        <w:separator/>
      </w:r>
    </w:p>
  </w:footnote>
  <w:footnote w:type="continuationSeparator" w:id="1">
    <w:p w:rsidR="00F828CB" w:rsidP="00C721AC" w14:paraId="110A6113" w14:textId="77777777">
      <w:pPr>
        <w:spacing w:before="120"/>
        <w:rPr>
          <w:sz w:val="20"/>
        </w:rPr>
      </w:pPr>
      <w:r>
        <w:rPr>
          <w:sz w:val="20"/>
        </w:rPr>
        <w:t xml:space="preserve">(Continued from previous page)  </w:t>
      </w:r>
      <w:r>
        <w:rPr>
          <w:sz w:val="20"/>
        </w:rPr>
        <w:separator/>
      </w:r>
    </w:p>
  </w:footnote>
  <w:footnote w:type="continuationNotice" w:id="2">
    <w:p w:rsidR="00F828CB" w:rsidP="00C721AC" w14:paraId="2A37E9CC" w14:textId="77777777">
      <w:pPr>
        <w:jc w:val="right"/>
        <w:rPr>
          <w:sz w:val="20"/>
        </w:rPr>
      </w:pPr>
      <w:r>
        <w:rPr>
          <w:sz w:val="20"/>
        </w:rPr>
        <w:t>(continued….)</w:t>
      </w:r>
    </w:p>
  </w:footnote>
  <w:footnote w:id="3">
    <w:p w:rsidR="00FD332A" w14:paraId="788AB88A" w14:textId="11B922B4">
      <w:pPr>
        <w:pStyle w:val="FootnoteText"/>
      </w:pPr>
      <w:r>
        <w:rPr>
          <w:rStyle w:val="FootnoteReference"/>
        </w:rPr>
        <w:footnoteRef/>
      </w:r>
      <w:r>
        <w:t xml:space="preserve"> </w:t>
      </w:r>
      <w:r w:rsidRPr="00FD332A">
        <w:rPr>
          <w:i/>
          <w:iCs/>
        </w:rPr>
        <w:t xml:space="preserve">See </w:t>
      </w:r>
      <w:r w:rsidRPr="00FD332A">
        <w:rPr>
          <w:i/>
          <w:iCs/>
        </w:rPr>
        <w:t>In</w:t>
      </w:r>
      <w:r w:rsidRPr="00FD332A">
        <w:rPr>
          <w:i/>
          <w:iCs/>
        </w:rPr>
        <w:t xml:space="preserve"> the Matter of Amendment of Section 73.3580 of the Commission’s Rules Regarding Public Notice of the Filing of Applications</w:t>
      </w:r>
      <w:r>
        <w:t xml:space="preserve">, Second Report and Order, 35 FCC </w:t>
      </w:r>
      <w:r>
        <w:t>Rcd</w:t>
      </w:r>
      <w:r>
        <w:t xml:space="preserve"> 5094 (2020).</w:t>
      </w:r>
    </w:p>
  </w:footnote>
  <w:footnote w:id="4">
    <w:p w:rsidR="00CF44D7" w:rsidRPr="00EB0C86" w:rsidP="00CF44D7" w14:paraId="1C08F629" w14:textId="77777777">
      <w:pPr>
        <w:pStyle w:val="FootnoteText"/>
      </w:pPr>
      <w:r>
        <w:rPr>
          <w:rStyle w:val="FootnoteReference"/>
        </w:rPr>
        <w:footnoteRef/>
      </w:r>
      <w:r>
        <w:t xml:space="preserve"> </w:t>
      </w:r>
      <w:r w:rsidRPr="006F26B3">
        <w:rPr>
          <w:snapToGrid w:val="0"/>
          <w:color w:val="000000"/>
          <w:bdr w:val="none" w:sz="0" w:space="0" w:color="auto" w:frame="1"/>
          <w:shd w:val="clear" w:color="auto" w:fill="FFFFFF"/>
        </w:rPr>
        <w:t>47 CFR § 73.3580(b)(1)(v) (“</w:t>
      </w:r>
      <w:r w:rsidRPr="003600C1">
        <w:rPr>
          <w:i/>
          <w:iCs/>
          <w:snapToGrid w:val="0"/>
          <w:color w:val="000000"/>
          <w:bdr w:val="none" w:sz="0" w:space="0" w:color="auto" w:frame="1"/>
          <w:shd w:val="clear" w:color="auto" w:fill="FFFFFF"/>
        </w:rPr>
        <w:t>Language of broadcast</w:t>
      </w:r>
      <w:r w:rsidRPr="006F26B3">
        <w:rPr>
          <w:snapToGrid w:val="0"/>
          <w:color w:val="000000"/>
          <w:bdr w:val="none" w:sz="0" w:space="0" w:color="auto" w:frame="1"/>
          <w:shd w:val="clear" w:color="auto" w:fill="FFFFFF"/>
        </w:rPr>
        <w:t>: A station broadcasting primarily in a foreign language should broadc</w:t>
      </w:r>
      <w:r w:rsidRPr="00EB0C86">
        <w:rPr>
          <w:snapToGrid w:val="0"/>
          <w:color w:val="000000"/>
          <w:bdr w:val="none" w:sz="0" w:space="0" w:color="auto" w:frame="1"/>
          <w:shd w:val="clear" w:color="auto" w:fill="FFFFFF"/>
        </w:rPr>
        <w:t>ast the announcements in that language</w:t>
      </w:r>
      <w:r>
        <w:rPr>
          <w:snapToGrid w:val="0"/>
          <w:color w:val="000000"/>
          <w:bdr w:val="none" w:sz="0" w:space="0" w:color="auto" w:frame="1"/>
          <w:shd w:val="clear" w:color="auto" w:fill="FFFFFF"/>
        </w:rPr>
        <w:t>.</w:t>
      </w:r>
      <w:r w:rsidRPr="00EB0C86">
        <w:rPr>
          <w:snapToGrid w:val="0"/>
          <w:color w:val="000000"/>
          <w:bdr w:val="none" w:sz="0" w:space="0" w:color="auto" w:frame="1"/>
          <w:shd w:val="clear" w:color="auto" w:fill="FFFFFF"/>
        </w:rPr>
        <w:t xml:space="preserve">”). </w:t>
      </w:r>
    </w:p>
  </w:footnote>
  <w:footnote w:id="5">
    <w:p w:rsidR="00CF44D7" w:rsidP="00CF44D7" w14:paraId="1ED84F06" w14:textId="77777777">
      <w:pPr>
        <w:pStyle w:val="FootnoteText"/>
      </w:pPr>
      <w:r w:rsidRPr="006F26B3">
        <w:rPr>
          <w:rStyle w:val="FootnoteReference"/>
        </w:rPr>
        <w:footnoteRef/>
      </w:r>
      <w:r w:rsidRPr="006F26B3">
        <w:t xml:space="preserve"> </w:t>
      </w:r>
      <w:r w:rsidRPr="006F26B3">
        <w:rPr>
          <w:snapToGrid w:val="0"/>
          <w:color w:val="000000"/>
          <w:bdr w:val="none" w:sz="0" w:space="0" w:color="auto" w:frame="1"/>
          <w:shd w:val="clear" w:color="auto" w:fill="FFFFFF"/>
        </w:rPr>
        <w:t>47 CFR § 73.3580(b)(1)(vi)</w:t>
      </w:r>
      <w:r w:rsidRPr="00F828CB">
        <w:rPr>
          <w:snapToGrid w:val="0"/>
          <w:color w:val="000000"/>
          <w:bdr w:val="none" w:sz="0" w:space="0" w:color="auto" w:frame="1"/>
          <w:shd w:val="clear" w:color="auto" w:fill="FFFFFF"/>
        </w:rPr>
        <w:t xml:space="preserve"> (</w:t>
      </w:r>
      <w:r w:rsidRPr="00EB0C86">
        <w:rPr>
          <w:snapToGrid w:val="0"/>
          <w:color w:val="000000"/>
          <w:bdr w:val="none" w:sz="0" w:space="0" w:color="auto" w:frame="1"/>
          <w:shd w:val="clear" w:color="auto" w:fill="FFFFFF"/>
        </w:rPr>
        <w:t>“</w:t>
      </w:r>
      <w:r w:rsidRPr="003600C1">
        <w:rPr>
          <w:i/>
          <w:iCs/>
          <w:snapToGrid w:val="0"/>
          <w:color w:val="000000"/>
          <w:bdr w:val="none" w:sz="0" w:space="0" w:color="auto" w:frame="1"/>
          <w:shd w:val="clear" w:color="auto" w:fill="FFFFFF"/>
        </w:rPr>
        <w:t>Silent stations or stations not broadcasting</w:t>
      </w:r>
      <w:r w:rsidRPr="00EB0C86">
        <w:rPr>
          <w:snapToGrid w:val="0"/>
          <w:color w:val="000000"/>
          <w:bdr w:val="none" w:sz="0" w:space="0" w:color="auto" w:frame="1"/>
          <w:shd w:val="clear" w:color="auto" w:fill="FFFFFF"/>
        </w:rPr>
        <w:t>: Any station required to broadcast on-air announcements that is not broadcasting during all or a portion of the period during which on-air announcements are required to be broadcast, including silent stations and noncommercial educational broadcast stations that are not scheduled to broadcast during the portion of the year during which on-air announcements are required to be broadcast, must comply with the provisions of paragraph (b)(2) of this section during the time period in which it is unable to broadcast required on-air announcements, and must broadcast required on-air announcements during the time period it is able to do so</w:t>
      </w:r>
      <w:r>
        <w:rPr>
          <w:snapToGrid w:val="0"/>
          <w:color w:val="000000"/>
          <w:bdr w:val="none" w:sz="0" w:space="0" w:color="auto" w:frame="1"/>
          <w:shd w:val="clear" w:color="auto" w:fill="FFFFFF"/>
        </w:rPr>
        <w:t>.</w:t>
      </w:r>
      <w:r w:rsidRPr="00EB0C86">
        <w:rPr>
          <w:snapToGrid w:val="0"/>
          <w:color w:val="000000"/>
          <w:bdr w:val="none" w:sz="0" w:space="0" w:color="auto" w:frame="1"/>
          <w:shd w:val="clear" w:color="auto" w:fill="FFFFFF"/>
        </w:rPr>
        <w:t>”).</w:t>
      </w:r>
      <w:r>
        <w:rPr>
          <w:snapToGrid w:val="0"/>
          <w:color w:val="000000"/>
          <w:bdr w:val="none" w:sz="0" w:space="0" w:color="auto" w:frame="1"/>
          <w:shd w:val="clear" w:color="auto" w:fill="FFFFFF"/>
        </w:rPr>
        <w:t xml:space="preserve">  </w:t>
      </w:r>
    </w:p>
  </w:footnote>
  <w:footnote w:id="6">
    <w:p w:rsidR="00F828CB" w:rsidP="00BD22A4" w14:paraId="36791D8F" w14:textId="1788CEB9">
      <w:pPr>
        <w:pStyle w:val="FootnoteText"/>
        <w:widowControl w:val="0"/>
      </w:pPr>
      <w:r>
        <w:rPr>
          <w:rStyle w:val="FootnoteReference"/>
        </w:rPr>
        <w:footnoteRef/>
      </w:r>
      <w:r>
        <w:t xml:space="preserve"> </w:t>
      </w:r>
      <w:r>
        <w:rPr>
          <w:rStyle w:val="Emphasis"/>
          <w:snapToGrid w:val="0"/>
          <w:color w:val="3D3D3D"/>
          <w:bdr w:val="none" w:sz="0" w:space="0" w:color="auto" w:frame="1"/>
          <w:shd w:val="clear" w:color="auto" w:fill="FFFFFF"/>
        </w:rPr>
        <w:t>See</w:t>
      </w:r>
      <w:r>
        <w:rPr>
          <w:snapToGrid w:val="0"/>
          <w:color w:val="3D3D3D"/>
          <w:shd w:val="clear" w:color="auto" w:fill="FFFFFF"/>
        </w:rPr>
        <w:t> </w:t>
      </w:r>
      <w:r>
        <w:rPr>
          <w:snapToGrid w:val="0"/>
          <w:color w:val="000000"/>
          <w:bdr w:val="none" w:sz="0" w:space="0" w:color="auto" w:frame="1"/>
          <w:shd w:val="clear" w:color="auto" w:fill="FFFFFF"/>
        </w:rPr>
        <w:t xml:space="preserve">5 U.S.C. § 553(b)(B).  </w:t>
      </w:r>
      <w:r>
        <w:rPr>
          <w:snapToGrid w:val="0"/>
          <w:color w:val="000000"/>
          <w:bdr w:val="none" w:sz="0" w:space="0" w:color="auto" w:frame="1"/>
          <w:shd w:val="clear" w:color="auto" w:fill="FFFFFF"/>
        </w:rPr>
        <w:t>In light of</w:t>
      </w:r>
      <w:r>
        <w:rPr>
          <w:snapToGrid w:val="0"/>
          <w:color w:val="000000"/>
          <w:bdr w:val="none" w:sz="0" w:space="0" w:color="auto" w:frame="1"/>
          <w:shd w:val="clear" w:color="auto" w:fill="FFFFFF"/>
        </w:rPr>
        <w:t xml:space="preserve"> the ministerial nature of this change and to avoid confusion to the public, we find </w:t>
      </w:r>
      <w:r>
        <w:t>there is “good cause” under 5 U.S.C. § 553(d) to make the change effective prior to 30 days after publication in the Federal Register.</w:t>
      </w:r>
      <w:r>
        <w:rPr>
          <w:i/>
        </w:rPr>
        <w:t xml:space="preserve">  See </w:t>
      </w:r>
      <w:r>
        <w:t>5 U.S.C. § 553(d)(3) (stating that publication of a substantive rule shall be made not less than 30 days before its effective date, “except . . . as otherwise provided by the agency for good cause found and published with the rule</w:t>
      </w:r>
      <w:r w:rsidR="00C10DD1">
        <w:t>.</w:t>
      </w:r>
      <w:r>
        <w:t>”).</w:t>
      </w:r>
    </w:p>
  </w:footnote>
  <w:footnote w:id="7">
    <w:p w:rsidR="00F828CB" w:rsidP="00BD22A4" w14:paraId="48076A17" w14:textId="77777777">
      <w:pPr>
        <w:pStyle w:val="FootnoteText"/>
        <w:widowControl w:val="0"/>
      </w:pPr>
      <w:r>
        <w:rPr>
          <w:rStyle w:val="FootnoteReference"/>
        </w:rPr>
        <w:footnoteRef/>
      </w:r>
      <w:r>
        <w:t xml:space="preserve"> 5 U.S.C.</w:t>
      </w:r>
      <w:r>
        <w:rPr>
          <w:i/>
        </w:rPr>
        <w:t xml:space="preserve"> </w:t>
      </w:r>
      <w:r>
        <w:t xml:space="preserve">§ 601 </w:t>
      </w:r>
      <w:r>
        <w:rPr>
          <w:i/>
        </w:rPr>
        <w:t xml:space="preserve">et seq.  See id. </w:t>
      </w:r>
      <w:r>
        <w:t>§ 601(2).</w:t>
      </w:r>
    </w:p>
  </w:footnote>
  <w:footnote w:id="8">
    <w:p w:rsidR="00F828CB" w:rsidP="00BD22A4" w14:paraId="5F7DC6B3" w14:textId="77777777">
      <w:pPr>
        <w:pStyle w:val="FootnoteText"/>
        <w:widowControl w:val="0"/>
      </w:pPr>
      <w:r>
        <w:rPr>
          <w:rStyle w:val="FootnoteReference"/>
        </w:rPr>
        <w:footnoteRef/>
      </w:r>
      <w:r>
        <w:t xml:space="preserve"> Public Law 104-13.</w:t>
      </w:r>
    </w:p>
  </w:footnote>
  <w:footnote w:id="9">
    <w:p w:rsidR="00F828CB" w:rsidP="00BD22A4" w14:paraId="773CB2C4" w14:textId="77777777">
      <w:pPr>
        <w:pStyle w:val="FootnoteText"/>
        <w:widowControl w:val="0"/>
      </w:pPr>
      <w:r>
        <w:rPr>
          <w:rStyle w:val="FootnoteReference"/>
        </w:rPr>
        <w:footnoteRef/>
      </w:r>
      <w:r>
        <w:t xml:space="preserve"> Public Law 107-198; </w:t>
      </w:r>
      <w:r>
        <w:rPr>
          <w:i/>
        </w:rPr>
        <w:t xml:space="preserve">see </w:t>
      </w:r>
      <w:r>
        <w:t xml:space="preserve">44 U.S.C. </w:t>
      </w:r>
      <w:r w:rsidRPr="00CD1D5D">
        <w:t xml:space="preserve">§ </w:t>
      </w:r>
      <w:r>
        <w:t>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8CB" w:rsidP="00810B6F" w14:paraId="6B6E8CB0" w14:textId="26C29F60">
    <w:pPr>
      <w:pStyle w:val="Header"/>
      <w:rPr>
        <w:b w:val="0"/>
      </w:rPr>
    </w:pPr>
    <w:r>
      <w:tab/>
      <w:t>Federal Communications Commission</w:t>
    </w:r>
    <w:r>
      <w:tab/>
      <w:t xml:space="preserve">DA </w:t>
    </w:r>
    <w:r w:rsidR="00207D12">
      <w:t>21</w:t>
    </w:r>
    <w:r>
      <w:t>-</w:t>
    </w:r>
    <w:r w:rsidR="00207D12">
      <w:t>196</w:t>
    </w:r>
  </w:p>
  <w:p w:rsidR="00F828CB" w14:paraId="0B182AFC" w14:textId="3C3F25C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828CB" w14:paraId="3935C0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8CB" w:rsidP="00810B6F" w14:paraId="519D452F" w14:textId="3AF965C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207D12">
      <w:rPr>
        <w:spacing w:val="-2"/>
      </w:rPr>
      <w:t>21</w:t>
    </w:r>
    <w:r>
      <w:rPr>
        <w:spacing w:val="-2"/>
      </w:rPr>
      <w:t>-</w:t>
    </w:r>
    <w:r w:rsidR="009066C7">
      <w:rPr>
        <w:spacing w:val="-2"/>
      </w:rPr>
      <w:t>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0A11C0"/>
    <w:multiLevelType w:val="hybridMultilevel"/>
    <w:tmpl w:val="D8A005D6"/>
    <w:lvl w:ilvl="0">
      <w:start w:val="2"/>
      <w:numFmt w:val="bullet"/>
      <w:lvlText w:val=""/>
      <w:lvlJc w:val="left"/>
      <w:pPr>
        <w:ind w:left="1440" w:hanging="360"/>
      </w:pPr>
      <w:rPr>
        <w:rFonts w:ascii="Symbol" w:eastAsia="Calibri"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8DE24CB"/>
    <w:multiLevelType w:val="hybridMultilevel"/>
    <w:tmpl w:val="75DA8E60"/>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70106D"/>
    <w:multiLevelType w:val="hybridMultilevel"/>
    <w:tmpl w:val="03FE8488"/>
    <w:lvl w:ilvl="0">
      <w:start w:val="2"/>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3E3B60"/>
    <w:multiLevelType w:val="hybridMultilevel"/>
    <w:tmpl w:val="6C82125E"/>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791505"/>
    <w:multiLevelType w:val="hybridMultilevel"/>
    <w:tmpl w:val="1CCE8974"/>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0086DE8"/>
    <w:multiLevelType w:val="hybridMultilevel"/>
    <w:tmpl w:val="9040894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2074AA"/>
    <w:multiLevelType w:val="hybridMultilevel"/>
    <w:tmpl w:val="251AD36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17A4237"/>
    <w:multiLevelType w:val="hybridMultilevel"/>
    <w:tmpl w:val="5224BF7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454D7F"/>
    <w:multiLevelType w:val="hybridMultilevel"/>
    <w:tmpl w:val="B1741BD2"/>
    <w:lvl w:ilvl="0">
      <w:start w:val="1"/>
      <w:numFmt w:val="bullet"/>
      <w:lvlText w:val=""/>
      <w:lvlJc w:val="left"/>
      <w:pPr>
        <w:ind w:left="108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0"/>
  </w:num>
  <w:num w:numId="7">
    <w:abstractNumId w:val="15"/>
  </w:num>
  <w:num w:numId="8">
    <w:abstractNumId w:val="14"/>
  </w:num>
  <w:num w:numId="9">
    <w:abstractNumId w:val="11"/>
  </w:num>
  <w:num w:numId="10">
    <w:abstractNumId w:val="13"/>
    <w:lvlOverride w:ilvl="0">
      <w:startOverride w:val="1"/>
    </w:lvlOverride>
  </w:num>
  <w:num w:numId="11">
    <w:abstractNumId w:val="8"/>
  </w:num>
  <w:num w:numId="12">
    <w:abstractNumId w:val="2"/>
  </w:num>
  <w:num w:numId="13">
    <w:abstractNumId w:val="12"/>
  </w:num>
  <w:num w:numId="14">
    <w:abstractNumId w:val="10"/>
  </w:num>
  <w:num w:numId="15">
    <w:abstractNumId w:val="7"/>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B4"/>
    <w:rsid w:val="00000CC8"/>
    <w:rsid w:val="000019DA"/>
    <w:rsid w:val="00004BCF"/>
    <w:rsid w:val="00007A3D"/>
    <w:rsid w:val="000138B9"/>
    <w:rsid w:val="00023552"/>
    <w:rsid w:val="00025AD4"/>
    <w:rsid w:val="00036039"/>
    <w:rsid w:val="00037F90"/>
    <w:rsid w:val="00044296"/>
    <w:rsid w:val="0004527A"/>
    <w:rsid w:val="00061EAA"/>
    <w:rsid w:val="000749D6"/>
    <w:rsid w:val="000815D7"/>
    <w:rsid w:val="000875BF"/>
    <w:rsid w:val="00095520"/>
    <w:rsid w:val="00096417"/>
    <w:rsid w:val="00096D8C"/>
    <w:rsid w:val="000A17F3"/>
    <w:rsid w:val="000A547C"/>
    <w:rsid w:val="000B1DD0"/>
    <w:rsid w:val="000C0B65"/>
    <w:rsid w:val="000C684C"/>
    <w:rsid w:val="000C6BD5"/>
    <w:rsid w:val="000C6BDA"/>
    <w:rsid w:val="000E05FE"/>
    <w:rsid w:val="000E3D42"/>
    <w:rsid w:val="000F071D"/>
    <w:rsid w:val="000F2AE8"/>
    <w:rsid w:val="00106CA6"/>
    <w:rsid w:val="00122BD5"/>
    <w:rsid w:val="00126A5B"/>
    <w:rsid w:val="00133E3D"/>
    <w:rsid w:val="00133F79"/>
    <w:rsid w:val="00143875"/>
    <w:rsid w:val="00173951"/>
    <w:rsid w:val="00194A66"/>
    <w:rsid w:val="001B1616"/>
    <w:rsid w:val="001C18EB"/>
    <w:rsid w:val="001C641C"/>
    <w:rsid w:val="001D1CF8"/>
    <w:rsid w:val="001D6BCF"/>
    <w:rsid w:val="001E01CA"/>
    <w:rsid w:val="001F0B53"/>
    <w:rsid w:val="001F0BE4"/>
    <w:rsid w:val="00207D12"/>
    <w:rsid w:val="00210BCD"/>
    <w:rsid w:val="00211A63"/>
    <w:rsid w:val="00234291"/>
    <w:rsid w:val="00247178"/>
    <w:rsid w:val="00252781"/>
    <w:rsid w:val="00271DFA"/>
    <w:rsid w:val="00275CF5"/>
    <w:rsid w:val="0028301F"/>
    <w:rsid w:val="00285017"/>
    <w:rsid w:val="00287424"/>
    <w:rsid w:val="002A1C74"/>
    <w:rsid w:val="002A2D2E"/>
    <w:rsid w:val="002B2E64"/>
    <w:rsid w:val="002C00E8"/>
    <w:rsid w:val="002C17B7"/>
    <w:rsid w:val="002C5084"/>
    <w:rsid w:val="002E37F2"/>
    <w:rsid w:val="002E5B63"/>
    <w:rsid w:val="0033461C"/>
    <w:rsid w:val="003436BF"/>
    <w:rsid w:val="00343749"/>
    <w:rsid w:val="00344DAD"/>
    <w:rsid w:val="003600C1"/>
    <w:rsid w:val="003609C4"/>
    <w:rsid w:val="00363AFB"/>
    <w:rsid w:val="003660ED"/>
    <w:rsid w:val="003A1E24"/>
    <w:rsid w:val="003A79A8"/>
    <w:rsid w:val="003B0550"/>
    <w:rsid w:val="003B694F"/>
    <w:rsid w:val="003C552E"/>
    <w:rsid w:val="003C7163"/>
    <w:rsid w:val="003F171C"/>
    <w:rsid w:val="00400EDA"/>
    <w:rsid w:val="00402055"/>
    <w:rsid w:val="00412FC5"/>
    <w:rsid w:val="00422276"/>
    <w:rsid w:val="004242F1"/>
    <w:rsid w:val="00425805"/>
    <w:rsid w:val="00433CE1"/>
    <w:rsid w:val="0044546D"/>
    <w:rsid w:val="00445A00"/>
    <w:rsid w:val="00451B0F"/>
    <w:rsid w:val="00470656"/>
    <w:rsid w:val="00492786"/>
    <w:rsid w:val="004972D8"/>
    <w:rsid w:val="004C154B"/>
    <w:rsid w:val="004C2EE3"/>
    <w:rsid w:val="004E4A22"/>
    <w:rsid w:val="004F5F12"/>
    <w:rsid w:val="0050396C"/>
    <w:rsid w:val="00504331"/>
    <w:rsid w:val="00511968"/>
    <w:rsid w:val="005139B6"/>
    <w:rsid w:val="00536983"/>
    <w:rsid w:val="005423FB"/>
    <w:rsid w:val="00550DD9"/>
    <w:rsid w:val="00555DD0"/>
    <w:rsid w:val="0055614C"/>
    <w:rsid w:val="005577AD"/>
    <w:rsid w:val="00566D06"/>
    <w:rsid w:val="00571506"/>
    <w:rsid w:val="005B7D3F"/>
    <w:rsid w:val="005C2A49"/>
    <w:rsid w:val="005C55B3"/>
    <w:rsid w:val="005C5B59"/>
    <w:rsid w:val="005E14C2"/>
    <w:rsid w:val="005E2A00"/>
    <w:rsid w:val="005F0327"/>
    <w:rsid w:val="005F79CD"/>
    <w:rsid w:val="00607BA5"/>
    <w:rsid w:val="0061180A"/>
    <w:rsid w:val="00620BF8"/>
    <w:rsid w:val="00626EB6"/>
    <w:rsid w:val="006336A1"/>
    <w:rsid w:val="006368B3"/>
    <w:rsid w:val="006505CB"/>
    <w:rsid w:val="00655D03"/>
    <w:rsid w:val="00665D9B"/>
    <w:rsid w:val="00666A3A"/>
    <w:rsid w:val="006820FF"/>
    <w:rsid w:val="00683388"/>
    <w:rsid w:val="00683F84"/>
    <w:rsid w:val="00691B16"/>
    <w:rsid w:val="0069776E"/>
    <w:rsid w:val="006A6A81"/>
    <w:rsid w:val="006B0F5A"/>
    <w:rsid w:val="006B6FD0"/>
    <w:rsid w:val="006F26B3"/>
    <w:rsid w:val="006F4969"/>
    <w:rsid w:val="006F7393"/>
    <w:rsid w:val="0070224F"/>
    <w:rsid w:val="007115F7"/>
    <w:rsid w:val="00721CF1"/>
    <w:rsid w:val="00733CD9"/>
    <w:rsid w:val="00740625"/>
    <w:rsid w:val="00741D3C"/>
    <w:rsid w:val="0074204F"/>
    <w:rsid w:val="00785689"/>
    <w:rsid w:val="0079754B"/>
    <w:rsid w:val="007A1E6D"/>
    <w:rsid w:val="007A504D"/>
    <w:rsid w:val="007B0EB2"/>
    <w:rsid w:val="007B50B5"/>
    <w:rsid w:val="007C41E7"/>
    <w:rsid w:val="00810620"/>
    <w:rsid w:val="00810B6F"/>
    <w:rsid w:val="00822CE0"/>
    <w:rsid w:val="0082444F"/>
    <w:rsid w:val="008328D4"/>
    <w:rsid w:val="00841AB1"/>
    <w:rsid w:val="00847154"/>
    <w:rsid w:val="00854089"/>
    <w:rsid w:val="00860079"/>
    <w:rsid w:val="008749AC"/>
    <w:rsid w:val="00883000"/>
    <w:rsid w:val="00885B98"/>
    <w:rsid w:val="0089463B"/>
    <w:rsid w:val="008A5B9F"/>
    <w:rsid w:val="008A66B5"/>
    <w:rsid w:val="008B3A5D"/>
    <w:rsid w:val="008B4639"/>
    <w:rsid w:val="008B5CFB"/>
    <w:rsid w:val="008C3107"/>
    <w:rsid w:val="008C68F1"/>
    <w:rsid w:val="008F5798"/>
    <w:rsid w:val="009066C7"/>
    <w:rsid w:val="00921803"/>
    <w:rsid w:val="00926503"/>
    <w:rsid w:val="00961335"/>
    <w:rsid w:val="00964B2B"/>
    <w:rsid w:val="009726D8"/>
    <w:rsid w:val="0098408A"/>
    <w:rsid w:val="00991124"/>
    <w:rsid w:val="00992E88"/>
    <w:rsid w:val="009A6CDD"/>
    <w:rsid w:val="009C311D"/>
    <w:rsid w:val="009C46D2"/>
    <w:rsid w:val="009D7308"/>
    <w:rsid w:val="009E6E60"/>
    <w:rsid w:val="009F76DB"/>
    <w:rsid w:val="00A32C3B"/>
    <w:rsid w:val="00A45E10"/>
    <w:rsid w:val="00A45F4F"/>
    <w:rsid w:val="00A600A9"/>
    <w:rsid w:val="00A613AB"/>
    <w:rsid w:val="00A6141D"/>
    <w:rsid w:val="00A65D56"/>
    <w:rsid w:val="00A77D80"/>
    <w:rsid w:val="00A83223"/>
    <w:rsid w:val="00A84A4F"/>
    <w:rsid w:val="00A909ED"/>
    <w:rsid w:val="00A929DA"/>
    <w:rsid w:val="00A95A4A"/>
    <w:rsid w:val="00AA06EA"/>
    <w:rsid w:val="00AA55B7"/>
    <w:rsid w:val="00AA5B9E"/>
    <w:rsid w:val="00AB2407"/>
    <w:rsid w:val="00AB2DC3"/>
    <w:rsid w:val="00AB53DF"/>
    <w:rsid w:val="00AD278A"/>
    <w:rsid w:val="00AD3B3A"/>
    <w:rsid w:val="00AD538C"/>
    <w:rsid w:val="00AE09DF"/>
    <w:rsid w:val="00B0259E"/>
    <w:rsid w:val="00B025F9"/>
    <w:rsid w:val="00B0394D"/>
    <w:rsid w:val="00B04398"/>
    <w:rsid w:val="00B07E5C"/>
    <w:rsid w:val="00B15D28"/>
    <w:rsid w:val="00B36D7E"/>
    <w:rsid w:val="00B619E1"/>
    <w:rsid w:val="00B67AF0"/>
    <w:rsid w:val="00B75035"/>
    <w:rsid w:val="00B811F7"/>
    <w:rsid w:val="00B9452C"/>
    <w:rsid w:val="00BA375C"/>
    <w:rsid w:val="00BA4C8F"/>
    <w:rsid w:val="00BA59DC"/>
    <w:rsid w:val="00BA5DC6"/>
    <w:rsid w:val="00BA6196"/>
    <w:rsid w:val="00BC6D8C"/>
    <w:rsid w:val="00BC6E61"/>
    <w:rsid w:val="00BD22A4"/>
    <w:rsid w:val="00BD6B16"/>
    <w:rsid w:val="00BE250C"/>
    <w:rsid w:val="00BF4CFB"/>
    <w:rsid w:val="00C10DD1"/>
    <w:rsid w:val="00C11657"/>
    <w:rsid w:val="00C21AA9"/>
    <w:rsid w:val="00C32184"/>
    <w:rsid w:val="00C34006"/>
    <w:rsid w:val="00C357F5"/>
    <w:rsid w:val="00C36B4C"/>
    <w:rsid w:val="00C426B1"/>
    <w:rsid w:val="00C433D3"/>
    <w:rsid w:val="00C44A6D"/>
    <w:rsid w:val="00C456F2"/>
    <w:rsid w:val="00C642A3"/>
    <w:rsid w:val="00C66160"/>
    <w:rsid w:val="00C70B53"/>
    <w:rsid w:val="00C721AC"/>
    <w:rsid w:val="00C813F4"/>
    <w:rsid w:val="00C90D6A"/>
    <w:rsid w:val="00C97278"/>
    <w:rsid w:val="00CA0939"/>
    <w:rsid w:val="00CA247E"/>
    <w:rsid w:val="00CA6D21"/>
    <w:rsid w:val="00CA7D5B"/>
    <w:rsid w:val="00CB52D3"/>
    <w:rsid w:val="00CC0FA4"/>
    <w:rsid w:val="00CC72B6"/>
    <w:rsid w:val="00CD1D5D"/>
    <w:rsid w:val="00CE797B"/>
    <w:rsid w:val="00CF1AD9"/>
    <w:rsid w:val="00CF21E4"/>
    <w:rsid w:val="00CF44D7"/>
    <w:rsid w:val="00D0218D"/>
    <w:rsid w:val="00D1020B"/>
    <w:rsid w:val="00D25FB5"/>
    <w:rsid w:val="00D44223"/>
    <w:rsid w:val="00D45358"/>
    <w:rsid w:val="00D47EC8"/>
    <w:rsid w:val="00D51992"/>
    <w:rsid w:val="00D576F7"/>
    <w:rsid w:val="00D670DF"/>
    <w:rsid w:val="00D73A4A"/>
    <w:rsid w:val="00D91FCD"/>
    <w:rsid w:val="00DA2529"/>
    <w:rsid w:val="00DB130A"/>
    <w:rsid w:val="00DB2EBB"/>
    <w:rsid w:val="00DC10A1"/>
    <w:rsid w:val="00DC1818"/>
    <w:rsid w:val="00DC655F"/>
    <w:rsid w:val="00DD0B59"/>
    <w:rsid w:val="00DD18FB"/>
    <w:rsid w:val="00DD25B0"/>
    <w:rsid w:val="00DD7EBD"/>
    <w:rsid w:val="00DF62B6"/>
    <w:rsid w:val="00E0126A"/>
    <w:rsid w:val="00E02BB9"/>
    <w:rsid w:val="00E07225"/>
    <w:rsid w:val="00E12E36"/>
    <w:rsid w:val="00E16316"/>
    <w:rsid w:val="00E404B5"/>
    <w:rsid w:val="00E47A0D"/>
    <w:rsid w:val="00E50F2A"/>
    <w:rsid w:val="00E5409F"/>
    <w:rsid w:val="00E5530D"/>
    <w:rsid w:val="00E87CE1"/>
    <w:rsid w:val="00E90AB0"/>
    <w:rsid w:val="00EA3847"/>
    <w:rsid w:val="00EA5105"/>
    <w:rsid w:val="00EB0224"/>
    <w:rsid w:val="00EB0C86"/>
    <w:rsid w:val="00EB63C5"/>
    <w:rsid w:val="00EC2C0C"/>
    <w:rsid w:val="00EE6488"/>
    <w:rsid w:val="00F021FA"/>
    <w:rsid w:val="00F36D1A"/>
    <w:rsid w:val="00F444DD"/>
    <w:rsid w:val="00F44B06"/>
    <w:rsid w:val="00F527DC"/>
    <w:rsid w:val="00F54933"/>
    <w:rsid w:val="00F625BA"/>
    <w:rsid w:val="00F62E97"/>
    <w:rsid w:val="00F64209"/>
    <w:rsid w:val="00F6660E"/>
    <w:rsid w:val="00F71D59"/>
    <w:rsid w:val="00F73569"/>
    <w:rsid w:val="00F828CB"/>
    <w:rsid w:val="00F83466"/>
    <w:rsid w:val="00F93BF5"/>
    <w:rsid w:val="00F94117"/>
    <w:rsid w:val="00FA2F74"/>
    <w:rsid w:val="00FA71B4"/>
    <w:rsid w:val="00FD332A"/>
    <w:rsid w:val="00FF2826"/>
    <w:rsid w:val="75C6F1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EBBFC9-DFB7-438C-9AB3-553D135A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59"/>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F71D5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F71D59"/>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F71D59"/>
    <w:pPr>
      <w:keepNext/>
      <w:numPr>
        <w:ilvl w:val="2"/>
        <w:numId w:val="3"/>
      </w:numPr>
      <w:tabs>
        <w:tab w:val="left" w:pos="2160"/>
      </w:tabs>
      <w:spacing w:after="120"/>
      <w:outlineLvl w:val="2"/>
    </w:pPr>
    <w:rPr>
      <w:b/>
    </w:rPr>
  </w:style>
  <w:style w:type="paragraph" w:styleId="Heading4">
    <w:name w:val="heading 4"/>
    <w:basedOn w:val="Normal"/>
    <w:next w:val="ParaNum"/>
    <w:qFormat/>
    <w:rsid w:val="00F71D59"/>
    <w:pPr>
      <w:keepNext/>
      <w:numPr>
        <w:ilvl w:val="3"/>
        <w:numId w:val="3"/>
      </w:numPr>
      <w:tabs>
        <w:tab w:val="left" w:pos="2880"/>
      </w:tabs>
      <w:spacing w:after="120"/>
      <w:outlineLvl w:val="3"/>
    </w:pPr>
    <w:rPr>
      <w:b/>
    </w:rPr>
  </w:style>
  <w:style w:type="paragraph" w:styleId="Heading5">
    <w:name w:val="heading 5"/>
    <w:basedOn w:val="Normal"/>
    <w:next w:val="ParaNum"/>
    <w:qFormat/>
    <w:rsid w:val="00F71D5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F71D59"/>
    <w:pPr>
      <w:numPr>
        <w:ilvl w:val="5"/>
        <w:numId w:val="3"/>
      </w:numPr>
      <w:tabs>
        <w:tab w:val="left" w:pos="4320"/>
      </w:tabs>
      <w:spacing w:after="120"/>
      <w:outlineLvl w:val="5"/>
    </w:pPr>
    <w:rPr>
      <w:b/>
    </w:rPr>
  </w:style>
  <w:style w:type="paragraph" w:styleId="Heading7">
    <w:name w:val="heading 7"/>
    <w:basedOn w:val="Normal"/>
    <w:next w:val="ParaNum"/>
    <w:qFormat/>
    <w:rsid w:val="00F71D5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71D5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71D5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1D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D59"/>
  </w:style>
  <w:style w:type="paragraph" w:customStyle="1" w:styleId="ParaNum">
    <w:name w:val="ParaNum"/>
    <w:basedOn w:val="Normal"/>
    <w:link w:val="ParaNumChar"/>
    <w:rsid w:val="00F71D59"/>
    <w:pPr>
      <w:numPr>
        <w:numId w:val="2"/>
      </w:numPr>
      <w:tabs>
        <w:tab w:val="clear" w:pos="1080"/>
        <w:tab w:val="num" w:pos="1440"/>
      </w:tabs>
      <w:spacing w:after="120"/>
    </w:pPr>
  </w:style>
  <w:style w:type="paragraph" w:styleId="EndnoteText">
    <w:name w:val="endnote text"/>
    <w:basedOn w:val="Normal"/>
    <w:link w:val="EndnoteTextChar"/>
    <w:semiHidden/>
    <w:rsid w:val="00F71D59"/>
    <w:rPr>
      <w:sz w:val="20"/>
    </w:rPr>
  </w:style>
  <w:style w:type="character" w:styleId="EndnoteReference">
    <w:name w:val="endnote reference"/>
    <w:semiHidden/>
    <w:rsid w:val="00F71D59"/>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F71D5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71D59"/>
    <w:rPr>
      <w:rFonts w:ascii="Times New Roman" w:hAnsi="Times New Roman"/>
      <w:dstrike w:val="0"/>
      <w:color w:val="auto"/>
      <w:sz w:val="20"/>
      <w:vertAlign w:val="superscript"/>
    </w:rPr>
  </w:style>
  <w:style w:type="paragraph" w:styleId="TOC1">
    <w:name w:val="toc 1"/>
    <w:basedOn w:val="Normal"/>
    <w:next w:val="Normal"/>
    <w:rsid w:val="00F71D59"/>
    <w:pPr>
      <w:tabs>
        <w:tab w:val="left" w:pos="360"/>
        <w:tab w:val="right" w:leader="dot" w:pos="9360"/>
      </w:tabs>
      <w:suppressAutoHyphens/>
      <w:ind w:left="360" w:right="720" w:hanging="360"/>
    </w:pPr>
    <w:rPr>
      <w:caps/>
      <w:noProof/>
    </w:rPr>
  </w:style>
  <w:style w:type="paragraph" w:styleId="TOC2">
    <w:name w:val="toc 2"/>
    <w:basedOn w:val="Normal"/>
    <w:next w:val="Normal"/>
    <w:rsid w:val="00F71D59"/>
    <w:pPr>
      <w:tabs>
        <w:tab w:val="left" w:pos="720"/>
        <w:tab w:val="right" w:leader="dot" w:pos="9360"/>
      </w:tabs>
      <w:suppressAutoHyphens/>
      <w:ind w:left="720" w:right="720" w:hanging="360"/>
    </w:pPr>
    <w:rPr>
      <w:noProof/>
    </w:rPr>
  </w:style>
  <w:style w:type="paragraph" w:styleId="TOC3">
    <w:name w:val="toc 3"/>
    <w:basedOn w:val="Normal"/>
    <w:next w:val="Normal"/>
    <w:semiHidden/>
    <w:rsid w:val="00F71D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1D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1D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1D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1D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1D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1D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1D59"/>
    <w:pPr>
      <w:tabs>
        <w:tab w:val="right" w:pos="9360"/>
      </w:tabs>
      <w:suppressAutoHyphens/>
    </w:pPr>
  </w:style>
  <w:style w:type="character" w:customStyle="1" w:styleId="EquationCaption">
    <w:name w:val="_Equation Caption"/>
    <w:rsid w:val="00F71D59"/>
  </w:style>
  <w:style w:type="paragraph" w:styleId="Header">
    <w:name w:val="header"/>
    <w:basedOn w:val="Normal"/>
    <w:link w:val="HeaderChar"/>
    <w:autoRedefine/>
    <w:rsid w:val="00F71D59"/>
    <w:pPr>
      <w:tabs>
        <w:tab w:val="center" w:pos="4680"/>
        <w:tab w:val="right" w:pos="9360"/>
      </w:tabs>
    </w:pPr>
    <w:rPr>
      <w:b/>
    </w:rPr>
  </w:style>
  <w:style w:type="paragraph" w:styleId="Footer">
    <w:name w:val="footer"/>
    <w:basedOn w:val="Normal"/>
    <w:link w:val="FooterChar"/>
    <w:uiPriority w:val="99"/>
    <w:rsid w:val="00F71D59"/>
    <w:pPr>
      <w:tabs>
        <w:tab w:val="center" w:pos="4320"/>
        <w:tab w:val="right" w:pos="8640"/>
      </w:tabs>
    </w:pPr>
  </w:style>
  <w:style w:type="character" w:styleId="PageNumber">
    <w:name w:val="page number"/>
    <w:basedOn w:val="DefaultParagraphFont"/>
    <w:rsid w:val="00F71D59"/>
  </w:style>
  <w:style w:type="paragraph" w:styleId="BlockText">
    <w:name w:val="Block Text"/>
    <w:basedOn w:val="Normal"/>
    <w:rsid w:val="00F71D59"/>
    <w:pPr>
      <w:spacing w:after="240"/>
      <w:ind w:left="1440" w:right="1440"/>
    </w:pPr>
  </w:style>
  <w:style w:type="paragraph" w:customStyle="1" w:styleId="Paratitle">
    <w:name w:val="Para title"/>
    <w:basedOn w:val="Normal"/>
    <w:rsid w:val="00F71D59"/>
    <w:pPr>
      <w:tabs>
        <w:tab w:val="center" w:pos="9270"/>
      </w:tabs>
      <w:spacing w:after="240"/>
    </w:pPr>
    <w:rPr>
      <w:spacing w:val="-2"/>
    </w:rPr>
  </w:style>
  <w:style w:type="paragraph" w:customStyle="1" w:styleId="Bullet">
    <w:name w:val="Bullet"/>
    <w:basedOn w:val="Normal"/>
    <w:rsid w:val="00F71D59"/>
    <w:pPr>
      <w:tabs>
        <w:tab w:val="left" w:pos="2160"/>
      </w:tabs>
      <w:spacing w:after="220"/>
      <w:ind w:left="2160" w:hanging="720"/>
    </w:pPr>
  </w:style>
  <w:style w:type="paragraph" w:customStyle="1" w:styleId="TableFormat">
    <w:name w:val="TableFormat"/>
    <w:basedOn w:val="Bullet"/>
    <w:rsid w:val="00F71D59"/>
    <w:pPr>
      <w:tabs>
        <w:tab w:val="clear" w:pos="2160"/>
        <w:tab w:val="left" w:pos="5040"/>
      </w:tabs>
      <w:ind w:left="5040" w:hanging="3600"/>
    </w:pPr>
  </w:style>
  <w:style w:type="paragraph" w:customStyle="1" w:styleId="TOCTitle">
    <w:name w:val="TOC Title"/>
    <w:basedOn w:val="Normal"/>
    <w:rsid w:val="00F71D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1D59"/>
    <w:pPr>
      <w:jc w:val="center"/>
    </w:pPr>
    <w:rPr>
      <w:rFonts w:ascii="Times New Roman Bold" w:hAnsi="Times New Roman Bold"/>
      <w:b/>
      <w:bCs/>
      <w:caps/>
      <w:szCs w:val="22"/>
    </w:rPr>
  </w:style>
  <w:style w:type="character" w:styleId="Hyperlink">
    <w:name w:val="Hyperlink"/>
    <w:rsid w:val="00F71D59"/>
    <w:rPr>
      <w:color w:val="0000FF"/>
      <w:u w:val="single"/>
    </w:rPr>
  </w:style>
  <w:style w:type="character" w:customStyle="1" w:styleId="FooterChar">
    <w:name w:val="Footer Char"/>
    <w:link w:val="Footer"/>
    <w:uiPriority w:val="99"/>
    <w:rsid w:val="00F71D59"/>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FA71B4"/>
    <w:rPr>
      <w:rFonts w:ascii="Times New Roman Bold" w:hAnsi="Times New Roman Bold"/>
      <w:b/>
      <w:caps/>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FA71B4"/>
    <w:rPr>
      <w:b/>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FA71B4"/>
  </w:style>
  <w:style w:type="character" w:customStyle="1" w:styleId="HeaderChar">
    <w:name w:val="Header Char"/>
    <w:link w:val="Header"/>
    <w:rsid w:val="00FA71B4"/>
    <w:rPr>
      <w:b/>
      <w:snapToGrid w:val="0"/>
      <w:kern w:val="28"/>
      <w:sz w:val="22"/>
    </w:rPr>
  </w:style>
  <w:style w:type="character" w:customStyle="1" w:styleId="ParaNumChar">
    <w:name w:val="ParaNum Char"/>
    <w:link w:val="ParaNum"/>
    <w:rsid w:val="00FA71B4"/>
    <w:rPr>
      <w:snapToGrid w:val="0"/>
      <w:kern w:val="28"/>
      <w:sz w:val="22"/>
    </w:rPr>
  </w:style>
  <w:style w:type="character" w:styleId="Emphasis">
    <w:name w:val="Emphasis"/>
    <w:uiPriority w:val="20"/>
    <w:qFormat/>
    <w:rsid w:val="00FA71B4"/>
    <w:rPr>
      <w:i/>
      <w:iCs/>
    </w:rPr>
  </w:style>
  <w:style w:type="character" w:customStyle="1" w:styleId="cosearchterm">
    <w:name w:val="co_searchterm"/>
    <w:rsid w:val="00FA71B4"/>
  </w:style>
  <w:style w:type="paragraph" w:styleId="BalloonText">
    <w:name w:val="Balloon Text"/>
    <w:basedOn w:val="Normal"/>
    <w:link w:val="BalloonTextChar"/>
    <w:rsid w:val="00FA71B4"/>
    <w:rPr>
      <w:rFonts w:ascii="Segoe UI" w:hAnsi="Segoe UI" w:cs="Segoe UI"/>
      <w:sz w:val="18"/>
      <w:szCs w:val="18"/>
    </w:rPr>
  </w:style>
  <w:style w:type="character" w:customStyle="1" w:styleId="BalloonTextChar">
    <w:name w:val="Balloon Text Char"/>
    <w:link w:val="BalloonText"/>
    <w:rsid w:val="00FA71B4"/>
    <w:rPr>
      <w:rFonts w:ascii="Segoe UI" w:hAnsi="Segoe UI" w:cs="Segoe UI"/>
      <w:snapToGrid w:val="0"/>
      <w:kern w:val="28"/>
      <w:sz w:val="18"/>
      <w:szCs w:val="18"/>
    </w:rPr>
  </w:style>
  <w:style w:type="paragraph" w:styleId="ListParagraph">
    <w:name w:val="List Paragraph"/>
    <w:basedOn w:val="Normal"/>
    <w:uiPriority w:val="34"/>
    <w:qFormat/>
    <w:rsid w:val="00004BCF"/>
    <w:pPr>
      <w:ind w:left="720"/>
      <w:contextualSpacing/>
    </w:pPr>
    <w:rPr>
      <w:rFonts w:eastAsia="Calibri"/>
      <w:snapToGrid/>
    </w:rPr>
  </w:style>
  <w:style w:type="character" w:customStyle="1" w:styleId="EndnoteTextChar">
    <w:name w:val="Endnote Text Char"/>
    <w:link w:val="EndnoteText"/>
    <w:semiHidden/>
    <w:rsid w:val="00004BCF"/>
    <w:rPr>
      <w:snapToGrid w:val="0"/>
      <w:kern w:val="28"/>
    </w:rPr>
  </w:style>
  <w:style w:type="character" w:customStyle="1" w:styleId="documentbody">
    <w:name w:val="documentbody"/>
    <w:rsid w:val="00BD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