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5C9496AE">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A553DE">
        <w:rPr>
          <w:rFonts w:ascii="Times New Roman" w:hAnsi="Times New Roman" w:cs="Times New Roman"/>
          <w:b/>
          <w:sz w:val="24"/>
          <w:szCs w:val="24"/>
        </w:rPr>
        <w:t>21-1</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8D6925" w14:paraId="02B71EAA" w14:textId="5A721B4A">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r w:rsidR="00AD32CB">
        <w:rPr>
          <w:rFonts w:ascii="Times New Roman" w:hAnsi="Times New Roman" w:cs="Times New Roman"/>
          <w:b/>
          <w:sz w:val="28"/>
          <w:szCs w:val="28"/>
        </w:rPr>
        <w:br/>
      </w:r>
    </w:p>
    <w:p w:rsidR="006F2901" w:rsidRPr="00511023" w:rsidP="008D6925" w14:paraId="567AC2E3" w14:textId="49648D20">
      <w:pPr>
        <w:spacing w:after="0"/>
        <w:jc w:val="center"/>
        <w:rPr>
          <w:rFonts w:ascii="Times New Roman" w:hAnsi="Times New Roman" w:cs="Times New Roman"/>
          <w:b/>
        </w:rPr>
      </w:pPr>
      <w:r w:rsidRPr="00375D31">
        <w:rPr>
          <w:rFonts w:ascii="Times New Roman" w:hAnsi="Times New Roman" w:cs="Times New Roman"/>
          <w:b/>
        </w:rPr>
        <w:t>Implementation of State and Local Governments’ Obligation to Approve Certain Wireless Facility Modification Request</w:t>
      </w:r>
      <w:bookmarkStart w:id="0" w:name="_GoBack"/>
      <w:bookmarkEnd w:id="0"/>
      <w:r w:rsidRPr="00375D31">
        <w:rPr>
          <w:rFonts w:ascii="Times New Roman" w:hAnsi="Times New Roman" w:cs="Times New Roman"/>
          <w:b/>
        </w:rPr>
        <w:t>s Under Section 6409(a) of the Spectrum Act of 2012</w:t>
      </w:r>
      <w:r w:rsidR="00AD32CB">
        <w:rPr>
          <w:rFonts w:ascii="Times New Roman" w:hAnsi="Times New Roman" w:cs="Times New Roman"/>
          <w:b/>
        </w:rPr>
        <w:br/>
      </w:r>
    </w:p>
    <w:p w:rsidR="006F2901" w:rsidRPr="00511023" w:rsidP="008D6925" w14:paraId="3E93547C" w14:textId="406A7DC7">
      <w:pPr>
        <w:spacing w:after="0"/>
        <w:jc w:val="center"/>
        <w:rPr>
          <w:rFonts w:ascii="Times New Roman" w:hAnsi="Times New Roman" w:cs="Times New Roman"/>
          <w:b/>
        </w:rPr>
      </w:pPr>
      <w:r w:rsidRPr="00511023">
        <w:rPr>
          <w:rFonts w:ascii="Times New Roman" w:hAnsi="Times New Roman" w:cs="Times New Roman"/>
          <w:b/>
        </w:rPr>
        <w:t xml:space="preserve">FCC </w:t>
      </w:r>
      <w:r w:rsidR="004D0FE9">
        <w:rPr>
          <w:rFonts w:ascii="Times New Roman" w:hAnsi="Times New Roman" w:cs="Times New Roman"/>
          <w:b/>
        </w:rPr>
        <w:t>20</w:t>
      </w:r>
      <w:r w:rsidR="00C37AC8">
        <w:rPr>
          <w:rFonts w:ascii="Times New Roman" w:hAnsi="Times New Roman" w:cs="Times New Roman"/>
          <w:b/>
        </w:rPr>
        <w:t>-</w:t>
      </w:r>
      <w:r w:rsidR="004D0FE9">
        <w:rPr>
          <w:rFonts w:ascii="Times New Roman" w:hAnsi="Times New Roman" w:cs="Times New Roman"/>
          <w:b/>
        </w:rPr>
        <w:t>153</w:t>
      </w:r>
    </w:p>
    <w:p w:rsidR="006F2901" w:rsidRPr="00511023" w:rsidP="008D6925" w14:paraId="351CE09B" w14:textId="265E9C0C">
      <w:pPr>
        <w:spacing w:after="0"/>
        <w:jc w:val="center"/>
        <w:rPr>
          <w:rFonts w:ascii="Times New Roman" w:hAnsi="Times New Roman" w:cs="Times New Roman"/>
        </w:rPr>
      </w:pPr>
      <w:r>
        <w:rPr>
          <w:rFonts w:ascii="Times New Roman" w:hAnsi="Times New Roman" w:cs="Times New Roman"/>
          <w:b/>
        </w:rPr>
        <w:t>WT</w:t>
      </w:r>
      <w:r w:rsidR="00C37AC8">
        <w:rPr>
          <w:rFonts w:ascii="Times New Roman" w:hAnsi="Times New Roman" w:cs="Times New Roman"/>
          <w:b/>
        </w:rPr>
        <w:t xml:space="preserve"> Docket No. </w:t>
      </w:r>
      <w:r w:rsidR="00BB1AE3">
        <w:rPr>
          <w:rFonts w:ascii="Times New Roman" w:hAnsi="Times New Roman" w:cs="Times New Roman"/>
          <w:b/>
        </w:rPr>
        <w:t>19-250</w:t>
      </w:r>
    </w:p>
    <w:p w:rsidR="006F2901" w:rsidRPr="00511023" w:rsidP="008D6925" w14:paraId="2FE15FB2" w14:textId="3B3089A2">
      <w:pPr>
        <w:spacing w:after="0"/>
        <w:jc w:val="center"/>
        <w:rPr>
          <w:rFonts w:ascii="Times New Roman" w:hAnsi="Times New Roman" w:cs="Times New Roman"/>
          <w:b/>
        </w:rPr>
      </w:pPr>
      <w:r w:rsidRPr="00511023">
        <w:rPr>
          <w:rFonts w:ascii="Times New Roman" w:hAnsi="Times New Roman" w:cs="Times New Roman"/>
          <w:b/>
        </w:rPr>
        <w:t xml:space="preserve">Released </w:t>
      </w:r>
      <w:r w:rsidR="004D0FE9">
        <w:rPr>
          <w:rFonts w:ascii="Times New Roman" w:hAnsi="Times New Roman" w:cs="Times New Roman"/>
          <w:b/>
        </w:rPr>
        <w:t>November 3</w:t>
      </w:r>
      <w:r w:rsidR="00C37AC8">
        <w:rPr>
          <w:rFonts w:ascii="Times New Roman" w:hAnsi="Times New Roman" w:cs="Times New Roman"/>
          <w:b/>
        </w:rPr>
        <w:t xml:space="preserve">, </w:t>
      </w:r>
      <w:r w:rsidR="00BB1AE3">
        <w:rPr>
          <w:rFonts w:ascii="Times New Roman" w:hAnsi="Times New Roman" w:cs="Times New Roman"/>
          <w:b/>
        </w:rPr>
        <w:t>2020</w:t>
      </w:r>
    </w:p>
    <w:p w:rsidR="00FE346F" w:rsidRPr="00511023" w:rsidP="000E4E16" w14:paraId="6742A8FC" w14:textId="77777777">
      <w:pPr>
        <w:spacing w:after="0"/>
        <w:rPr>
          <w:rFonts w:ascii="Times New Roman" w:hAnsi="Times New Roman" w:cs="Times New Roman"/>
          <w:b/>
        </w:rPr>
      </w:pPr>
    </w:p>
    <w:p w:rsidR="006F2901" w:rsidRPr="00511023" w:rsidP="00ED74CB" w14:paraId="0359BFFD" w14:textId="164E7944">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0915A8" w14:paraId="25270ABA" w14:textId="77777777">
      <w:pPr>
        <w:pStyle w:val="ListParagraph"/>
        <w:ind w:left="0" w:hanging="1080"/>
        <w:rPr>
          <w:rFonts w:ascii="Times New Roman" w:hAnsi="Times New Roman" w:cs="Times New Roman"/>
          <w:b/>
        </w:rPr>
      </w:pPr>
    </w:p>
    <w:p w:rsidR="006F2901" w:rsidRPr="00511023" w:rsidP="00ED74CB" w14:paraId="65D355CA" w14:textId="13621D8C">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915A8" w14:paraId="44F9D184" w14:textId="77777777">
      <w:pPr>
        <w:pStyle w:val="ListParagraph"/>
        <w:ind w:left="0"/>
        <w:rPr>
          <w:rFonts w:ascii="Times New Roman" w:hAnsi="Times New Roman" w:cs="Times New Roman"/>
          <w:b/>
        </w:rPr>
      </w:pPr>
    </w:p>
    <w:p w:rsidR="006F2901" w:rsidRPr="00E2092F" w:rsidP="000915A8" w14:paraId="3EE78D98" w14:textId="05A6654E">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0915A8" w14:paraId="7189DA74" w14:textId="5B89279E">
      <w:pPr>
        <w:pStyle w:val="ListParagraph"/>
        <w:ind w:left="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0915A8" w14:paraId="542FD57C" w14:textId="71A82108">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0915A8" w14:paraId="4A1DEB02" w14:textId="37C1C0C6">
      <w:pPr>
        <w:pStyle w:val="ListParagraph"/>
        <w:ind w:left="0"/>
        <w:jc w:val="center"/>
        <w:rPr>
          <w:rFonts w:ascii="Times New Roman" w:hAnsi="Times New Roman" w:cs="Times New Roman"/>
          <w:b/>
        </w:rPr>
        <w:sectPr w:rsidSect="00ED74CB">
          <w:headerReference w:type="default" r:id="rId5"/>
          <w:footerReference w:type="default" r:id="rId6"/>
          <w:pgSz w:w="12240" w:h="15840"/>
          <w:pgMar w:top="122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42100107" w14:textId="77777777">
      <w:pPr>
        <w:jc w:val="center"/>
        <w:rPr>
          <w:rFonts w:ascii="Times New Roman" w:hAnsi="Times New Roman" w:cs="Times New Roman"/>
          <w:b/>
          <w:u w:val="single"/>
        </w:rPr>
      </w:pPr>
    </w:p>
    <w:p w:rsidR="00CD624E" w:rsidRPr="00C419A9" w:rsidP="00CD624E" w14:paraId="1A18EB69" w14:textId="5159D130">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D95681">
        <w:rPr>
          <w:rFonts w:ascii="Times New Roman" w:hAnsi="Times New Roman" w:cs="Times New Roman"/>
          <w:b/>
        </w:rPr>
        <w:t>1</w:t>
      </w:r>
    </w:p>
    <w:p w:rsidR="00CD624E" w:rsidRPr="00C419A9" w:rsidP="00CD624E" w14:paraId="490BE852" w14:textId="056EC6D6">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6C60B7">
        <w:rPr>
          <w:rFonts w:ascii="Times New Roman" w:hAnsi="Times New Roman" w:cs="Times New Roman"/>
          <w:b/>
        </w:rPr>
        <w:t>1</w:t>
      </w:r>
    </w:p>
    <w:p w:rsidR="00CD624E" w:rsidRPr="00C419A9" w:rsidP="00CD624E" w14:paraId="68DC6F13" w14:textId="037E8EC9">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6C60B7">
        <w:rPr>
          <w:rFonts w:ascii="Times New Roman" w:hAnsi="Times New Roman" w:cs="Times New Roman"/>
          <w:b/>
        </w:rPr>
        <w:t>2</w:t>
      </w:r>
    </w:p>
    <w:p w:rsidR="00CD624E" w:rsidRPr="00C419A9" w:rsidP="00CD624E" w14:paraId="6B9E0B35" w14:textId="2938717D">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6C60B7">
        <w:rPr>
          <w:rFonts w:ascii="Times New Roman" w:hAnsi="Times New Roman" w:cs="Times New Roman"/>
          <w:b/>
        </w:rPr>
        <w:t>2</w:t>
      </w:r>
    </w:p>
    <w:p w:rsidR="00CD624E" w:rsidRPr="00C419A9" w:rsidP="00CD624E" w14:paraId="2920F242" w14:textId="61AF1F9A">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6C60B7">
        <w:rPr>
          <w:rFonts w:ascii="Times New Roman" w:hAnsi="Times New Roman" w:cs="Times New Roman"/>
          <w:b/>
        </w:rPr>
        <w:t>2</w:t>
      </w:r>
    </w:p>
    <w:p w:rsidR="00FE50D4" w14:paraId="7838BFFE" w14:textId="77777777">
      <w:pPr>
        <w:rPr>
          <w:rFonts w:ascii="Times New Roman" w:hAnsi="Times New Roman" w:cs="Times New Roman"/>
          <w:b/>
        </w:rPr>
        <w:sectPr w:rsidSect="001743EF">
          <w:headerReference w:type="default" r:id="rId7"/>
          <w:footerReference w:type="default" r:id="rId8"/>
          <w:pgSz w:w="12240" w:h="15840"/>
          <w:pgMar w:top="1440" w:right="1440" w:bottom="1008" w:left="1440" w:header="720" w:footer="187" w:gutter="0"/>
          <w:pgNumType w:start="1"/>
          <w:cols w:space="720"/>
          <w:docGrid w:linePitch="360"/>
        </w:sectPr>
      </w:pPr>
    </w:p>
    <w:p w:rsidR="00120D7A" w14:paraId="4688C0B6" w14:textId="00813772">
      <w:pPr>
        <w:rPr>
          <w:rFonts w:ascii="Times New Roman" w:hAnsi="Times New Roman" w:cs="Times New Roman"/>
          <w:b/>
        </w:rPr>
      </w:pPr>
      <w:r>
        <w:rPr>
          <w:rFonts w:ascii="Times New Roman" w:hAnsi="Times New Roman" w:cs="Times New Roman"/>
          <w:b/>
        </w:rPr>
        <w:br w:type="page"/>
      </w:r>
    </w:p>
    <w:p w:rsidR="00CD624E" w:rsidP="00074CA4" w14:paraId="57D0715A" w14:textId="77777777">
      <w:pPr>
        <w:pStyle w:val="ListParagraph"/>
        <w:spacing w:after="0"/>
        <w:ind w:left="0"/>
        <w:rPr>
          <w:rFonts w:ascii="Times New Roman" w:hAnsi="Times New Roman" w:cs="Times New Roman"/>
          <w:b/>
        </w:r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D251CD" w:rsidP="00511023" w14:paraId="5C763E35" w14:textId="4B8F4D1C">
      <w:pPr>
        <w:spacing w:before="240"/>
        <w:rPr>
          <w:rFonts w:ascii="Times New Roman" w:hAnsi="Times New Roman" w:cs="Times New Roman"/>
        </w:rPr>
      </w:pPr>
      <w:r w:rsidRPr="00511023">
        <w:rPr>
          <w:rFonts w:ascii="Times New Roman" w:hAnsi="Times New Roman" w:cs="Times New Roman"/>
        </w:rPr>
        <w:t>In th</w:t>
      </w:r>
      <w:r w:rsidR="00C0775E">
        <w:rPr>
          <w:rFonts w:ascii="Times New Roman" w:hAnsi="Times New Roman" w:cs="Times New Roman"/>
        </w:rPr>
        <w:t>e</w:t>
      </w:r>
      <w:r w:rsidRPr="00511023">
        <w:rPr>
          <w:rFonts w:ascii="Times New Roman" w:hAnsi="Times New Roman" w:cs="Times New Roman"/>
        </w:rPr>
        <w:t xml:space="preserve"> </w:t>
      </w:r>
      <w:r w:rsidRPr="00511023">
        <w:rPr>
          <w:rFonts w:ascii="Times New Roman" w:hAnsi="Times New Roman" w:cs="Times New Roman"/>
          <w:i/>
        </w:rPr>
        <w:t>Report and Order</w:t>
      </w:r>
      <w:r w:rsidRPr="00511023">
        <w:rPr>
          <w:rFonts w:ascii="Times New Roman" w:hAnsi="Times New Roman" w:cs="Times New Roman"/>
        </w:rPr>
        <w:t xml:space="preserve"> in WT Docket No. </w:t>
      </w:r>
      <w:r w:rsidR="00250E0F">
        <w:rPr>
          <w:rFonts w:ascii="Times New Roman" w:hAnsi="Times New Roman" w:cs="Times New Roman"/>
        </w:rPr>
        <w:t>19-250</w:t>
      </w:r>
      <w:r w:rsidRPr="00511023">
        <w:rPr>
          <w:rFonts w:ascii="Times New Roman" w:hAnsi="Times New Roman" w:cs="Times New Roman"/>
        </w:rPr>
        <w:t xml:space="preserve">, the Commission </w:t>
      </w:r>
      <w:r w:rsidR="00F61DF3">
        <w:rPr>
          <w:rFonts w:ascii="Times New Roman" w:hAnsi="Times New Roman" w:cs="Times New Roman"/>
        </w:rPr>
        <w:t>revised its</w:t>
      </w:r>
      <w:r w:rsidRPr="00511023" w:rsidR="00F61DF3">
        <w:rPr>
          <w:rFonts w:ascii="Times New Roman" w:hAnsi="Times New Roman" w:cs="Times New Roman"/>
        </w:rPr>
        <w:t xml:space="preserve"> </w:t>
      </w:r>
      <w:r w:rsidRPr="00511023">
        <w:rPr>
          <w:rFonts w:ascii="Times New Roman" w:hAnsi="Times New Roman" w:cs="Times New Roman"/>
        </w:rPr>
        <w:t xml:space="preserve">rules </w:t>
      </w:r>
      <w:r w:rsidR="0010585F">
        <w:rPr>
          <w:rFonts w:ascii="Times New Roman" w:hAnsi="Times New Roman" w:cs="Times New Roman"/>
        </w:rPr>
        <w:t xml:space="preserve">to </w:t>
      </w:r>
      <w:r w:rsidR="009D7F6F">
        <w:rPr>
          <w:rFonts w:ascii="Times New Roman" w:hAnsi="Times New Roman" w:cs="Times New Roman"/>
        </w:rPr>
        <w:t xml:space="preserve">further </w:t>
      </w:r>
      <w:r w:rsidR="00F61DF3">
        <w:rPr>
          <w:rFonts w:ascii="Times New Roman" w:hAnsi="Times New Roman" w:cs="Times New Roman"/>
        </w:rPr>
        <w:t xml:space="preserve">streamline </w:t>
      </w:r>
      <w:r w:rsidRPr="009466D2" w:rsidR="009466D2">
        <w:rPr>
          <w:rFonts w:ascii="Times New Roman" w:hAnsi="Times New Roman" w:cs="Times New Roman"/>
        </w:rPr>
        <w:t>the state and local government review process for modifications to existing wireless infrastructure under section 6409(a) of the Spectrum Act of 2012</w:t>
      </w:r>
      <w:r w:rsidR="009466D2">
        <w:rPr>
          <w:rFonts w:ascii="Times New Roman" w:hAnsi="Times New Roman" w:cs="Times New Roman"/>
        </w:rPr>
        <w:t>.</w:t>
      </w:r>
      <w:r>
        <w:rPr>
          <w:rFonts w:ascii="Times New Roman" w:hAnsi="Times New Roman" w:cs="Times New Roman"/>
          <w:sz w:val="20"/>
          <w:szCs w:val="20"/>
          <w:vertAlign w:val="superscript"/>
        </w:rPr>
        <w:footnoteReference w:id="2"/>
      </w:r>
      <w:r w:rsidRPr="00596C34" w:rsidR="009466D2">
        <w:rPr>
          <w:rFonts w:ascii="Times New Roman" w:hAnsi="Times New Roman" w:cs="Times New Roman"/>
          <w:sz w:val="20"/>
          <w:szCs w:val="20"/>
          <w:vertAlign w:val="superscript"/>
        </w:rPr>
        <w:t xml:space="preserve"> </w:t>
      </w:r>
      <w:r w:rsidR="009466D2">
        <w:rPr>
          <w:rFonts w:ascii="Times New Roman" w:hAnsi="Times New Roman" w:cs="Times New Roman"/>
        </w:rPr>
        <w:t xml:space="preserve"> </w:t>
      </w:r>
      <w:r w:rsidR="009D7F6F">
        <w:rPr>
          <w:rFonts w:ascii="Times New Roman" w:hAnsi="Times New Roman" w:cs="Times New Roman"/>
        </w:rPr>
        <w:t xml:space="preserve">By adopting this </w:t>
      </w:r>
      <w:r w:rsidRPr="00DB13BC" w:rsidR="009D7F6F">
        <w:rPr>
          <w:rFonts w:ascii="Times New Roman" w:hAnsi="Times New Roman" w:cs="Times New Roman"/>
          <w:i/>
          <w:iCs/>
        </w:rPr>
        <w:t>Report and Order</w:t>
      </w:r>
      <w:r w:rsidR="009D7F6F">
        <w:rPr>
          <w:rFonts w:ascii="Times New Roman" w:hAnsi="Times New Roman" w:cs="Times New Roman"/>
        </w:rPr>
        <w:t>, t</w:t>
      </w:r>
      <w:r w:rsidR="0042014C">
        <w:rPr>
          <w:rFonts w:ascii="Times New Roman" w:hAnsi="Times New Roman" w:cs="Times New Roman"/>
        </w:rPr>
        <w:t xml:space="preserve">he Commission </w:t>
      </w:r>
      <w:r>
        <w:rPr>
          <w:rFonts w:ascii="Times New Roman" w:hAnsi="Times New Roman" w:cs="Times New Roman"/>
        </w:rPr>
        <w:t>continue</w:t>
      </w:r>
      <w:r w:rsidR="009D7F6F">
        <w:rPr>
          <w:rFonts w:ascii="Times New Roman" w:hAnsi="Times New Roman" w:cs="Times New Roman"/>
        </w:rPr>
        <w:t>d</w:t>
      </w:r>
      <w:r>
        <w:rPr>
          <w:rFonts w:ascii="Times New Roman" w:hAnsi="Times New Roman" w:cs="Times New Roman"/>
        </w:rPr>
        <w:t xml:space="preserve"> its </w:t>
      </w:r>
      <w:r w:rsidRPr="002A6EF9">
        <w:rPr>
          <w:rFonts w:ascii="Times New Roman" w:hAnsi="Times New Roman" w:cs="Times New Roman"/>
        </w:rPr>
        <w:t>efforts to reduce regulatory barriers to wireless infrastructure deployment</w:t>
      </w:r>
      <w:r>
        <w:rPr>
          <w:rFonts w:ascii="Times New Roman" w:hAnsi="Times New Roman" w:cs="Times New Roman"/>
        </w:rPr>
        <w:t xml:space="preserve"> and </w:t>
      </w:r>
      <w:r w:rsidR="009D7F6F">
        <w:rPr>
          <w:rFonts w:ascii="Times New Roman" w:hAnsi="Times New Roman" w:cs="Times New Roman"/>
        </w:rPr>
        <w:t xml:space="preserve">to </w:t>
      </w:r>
      <w:r w:rsidRPr="0042014C" w:rsidR="0042014C">
        <w:rPr>
          <w:rFonts w:ascii="Times New Roman" w:hAnsi="Times New Roman" w:cs="Times New Roman"/>
        </w:rPr>
        <w:t>encourage the use of existing infrastructure, where efficient, to accelerate deployment of 5G and other advanced networks</w:t>
      </w:r>
      <w:r w:rsidR="0042014C">
        <w:rPr>
          <w:rFonts w:ascii="Times New Roman" w:hAnsi="Times New Roman" w:cs="Times New Roman"/>
        </w:rPr>
        <w:t>.</w:t>
      </w:r>
    </w:p>
    <w:p w:rsidR="00EF4B82" w:rsidRPr="00511023" w:rsidP="00511023" w14:paraId="01CA2F04" w14:textId="0FE4EC9C">
      <w:pPr>
        <w:spacing w:before="240"/>
        <w:rPr>
          <w:rFonts w:ascii="Times New Roman" w:hAnsi="Times New Roman" w:cs="Times New Roman"/>
        </w:rPr>
      </w:pPr>
      <w:r>
        <w:rPr>
          <w:rFonts w:ascii="Times New Roman" w:hAnsi="Times New Roman" w:cs="Times New Roman"/>
        </w:rPr>
        <w:t xml:space="preserve">Specifically, </w:t>
      </w:r>
      <w:r w:rsidRPr="00511023">
        <w:rPr>
          <w:rFonts w:ascii="Times New Roman" w:hAnsi="Times New Roman" w:cs="Times New Roman"/>
        </w:rPr>
        <w:t xml:space="preserve">the </w:t>
      </w:r>
      <w:r w:rsidRPr="00511023">
        <w:rPr>
          <w:rFonts w:ascii="Times New Roman" w:hAnsi="Times New Roman" w:cs="Times New Roman"/>
          <w:i/>
        </w:rPr>
        <w:t>Report and Order</w:t>
      </w:r>
      <w:r w:rsidR="009D7F6F">
        <w:rPr>
          <w:rFonts w:ascii="Times New Roman" w:hAnsi="Times New Roman" w:cs="Times New Roman"/>
        </w:rPr>
        <w:t xml:space="preserve"> </w:t>
      </w:r>
      <w:r w:rsidR="002D7217">
        <w:rPr>
          <w:rFonts w:ascii="Times New Roman" w:hAnsi="Times New Roman" w:cs="Times New Roman"/>
        </w:rPr>
        <w:t>revise</w:t>
      </w:r>
      <w:r w:rsidR="004A3571">
        <w:rPr>
          <w:rFonts w:ascii="Times New Roman" w:hAnsi="Times New Roman" w:cs="Times New Roman"/>
        </w:rPr>
        <w:t>d</w:t>
      </w:r>
      <w:r w:rsidRPr="00511023">
        <w:rPr>
          <w:rFonts w:ascii="Times New Roman" w:hAnsi="Times New Roman" w:cs="Times New Roman"/>
        </w:rPr>
        <w:t xml:space="preserve"> </w:t>
      </w:r>
      <w:r w:rsidR="009D7F6F">
        <w:rPr>
          <w:rFonts w:ascii="Times New Roman" w:hAnsi="Times New Roman" w:cs="Times New Roman"/>
        </w:rPr>
        <w:t>the Commission’s</w:t>
      </w:r>
      <w:r w:rsidRPr="00511023">
        <w:rPr>
          <w:rFonts w:ascii="Times New Roman" w:hAnsi="Times New Roman" w:cs="Times New Roman"/>
        </w:rPr>
        <w:t xml:space="preserve"> rules to</w:t>
      </w:r>
      <w:r w:rsidR="00FB3477">
        <w:rPr>
          <w:rFonts w:ascii="Times New Roman" w:hAnsi="Times New Roman" w:cs="Times New Roman"/>
        </w:rPr>
        <w:t xml:space="preserve">:  (i) </w:t>
      </w:r>
      <w:r w:rsidRPr="00016FE3" w:rsidR="00016FE3">
        <w:rPr>
          <w:rFonts w:ascii="Times New Roman" w:hAnsi="Times New Roman" w:cs="Times New Roman"/>
        </w:rPr>
        <w:t xml:space="preserve">provide that the modification of an existing tower outside the public rights-of-way that entails ground excavation or deployment </w:t>
      </w:r>
      <w:r w:rsidR="005566AB">
        <w:rPr>
          <w:rFonts w:ascii="Times New Roman" w:hAnsi="Times New Roman" w:cs="Times New Roman"/>
        </w:rPr>
        <w:t xml:space="preserve">of transmission equipment </w:t>
      </w:r>
      <w:r w:rsidRPr="00016FE3" w:rsidR="00016FE3">
        <w:rPr>
          <w:rFonts w:ascii="Times New Roman" w:hAnsi="Times New Roman" w:cs="Times New Roman"/>
        </w:rPr>
        <w:t xml:space="preserve">of up to 30 feet in any direction outside the site </w:t>
      </w:r>
      <w:r w:rsidR="005566AB">
        <w:rPr>
          <w:rFonts w:ascii="Times New Roman" w:hAnsi="Times New Roman" w:cs="Times New Roman"/>
        </w:rPr>
        <w:t xml:space="preserve">(excluding any access or utility easements currently related to the site) </w:t>
      </w:r>
      <w:r w:rsidRPr="00016FE3" w:rsidR="00016FE3">
        <w:rPr>
          <w:rFonts w:ascii="Times New Roman" w:hAnsi="Times New Roman" w:cs="Times New Roman"/>
        </w:rPr>
        <w:t>will be eligible for streamlined processing under section 6409(a) review</w:t>
      </w:r>
      <w:r w:rsidR="00DB13BC">
        <w:rPr>
          <w:rFonts w:ascii="Times New Roman" w:hAnsi="Times New Roman" w:cs="Times New Roman"/>
        </w:rPr>
        <w:t>;</w:t>
      </w:r>
      <w:r w:rsidR="00016FE3">
        <w:rPr>
          <w:rFonts w:ascii="Times New Roman" w:hAnsi="Times New Roman" w:cs="Times New Roman"/>
        </w:rPr>
        <w:t xml:space="preserve"> and (ii) </w:t>
      </w:r>
      <w:r w:rsidRPr="00342E33" w:rsidR="00342E33">
        <w:rPr>
          <w:rFonts w:ascii="Times New Roman" w:hAnsi="Times New Roman" w:cs="Times New Roman"/>
        </w:rPr>
        <w:t>clarif</w:t>
      </w:r>
      <w:r w:rsidR="004A3571">
        <w:rPr>
          <w:rFonts w:ascii="Times New Roman" w:hAnsi="Times New Roman" w:cs="Times New Roman"/>
        </w:rPr>
        <w:t>ied</w:t>
      </w:r>
      <w:r w:rsidRPr="00342E33" w:rsidR="00342E33">
        <w:rPr>
          <w:rFonts w:ascii="Times New Roman" w:hAnsi="Times New Roman" w:cs="Times New Roman"/>
        </w:rPr>
        <w:t xml:space="preserve"> that “site” refers to the boundary of the leased or owned property surrounding a tower and any access or utility easements currently related to the site as of the date that the tower or base station was last reviewed and approved by a </w:t>
      </w:r>
      <w:r w:rsidR="00B15ACD">
        <w:rPr>
          <w:rFonts w:ascii="Times New Roman" w:hAnsi="Times New Roman" w:cs="Times New Roman"/>
        </w:rPr>
        <w:t>state or local</w:t>
      </w:r>
      <w:r w:rsidR="00720E95">
        <w:rPr>
          <w:rFonts w:ascii="Times New Roman" w:hAnsi="Times New Roman" w:cs="Times New Roman"/>
        </w:rPr>
        <w:t xml:space="preserve"> government, </w:t>
      </w:r>
      <w:r w:rsidRPr="008B1156" w:rsidR="00720E95">
        <w:rPr>
          <w:rFonts w:ascii="Times New Roman" w:hAnsi="Times New Roman" w:cs="Times New Roman"/>
          <w:bCs/>
        </w:rPr>
        <w:t>if the approval of the modification occurred prior to the Spectrum Act or otherwise outside of the section 6409(a) process</w:t>
      </w:r>
      <w:r w:rsidR="00342E33">
        <w:rPr>
          <w:rFonts w:ascii="Times New Roman" w:hAnsi="Times New Roman" w:cs="Times New Roman"/>
        </w:rPr>
        <w:t xml:space="preserve">.  </w:t>
      </w:r>
      <w:r w:rsidR="0046085B">
        <w:rPr>
          <w:rFonts w:ascii="Times New Roman" w:hAnsi="Times New Roman" w:cs="Times New Roman"/>
        </w:rPr>
        <w:t xml:space="preserve"> </w:t>
      </w:r>
      <w:r w:rsidR="00E0530D">
        <w:rPr>
          <w:rFonts w:ascii="Times New Roman" w:hAnsi="Times New Roman" w:cs="Times New Roman"/>
        </w:rPr>
        <w:br/>
      </w:r>
      <w:r w:rsidR="007340B2">
        <w:rPr>
          <w:rFonts w:ascii="Times New Roman" w:hAnsi="Times New Roman" w:cs="Times New Roman"/>
          <w:i/>
          <w:iCs/>
        </w:rPr>
        <w:t xml:space="preserve"> </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DA673B" w:rsidRPr="00511023" w:rsidP="00DA673B" w14:paraId="0B12357B" w14:textId="2831AC84">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ma</w:t>
      </w:r>
      <w:r w:rsidR="004A3571">
        <w:rPr>
          <w:rFonts w:ascii="Times New Roman" w:hAnsi="Times New Roman" w:cs="Times New Roman"/>
        </w:rPr>
        <w:t>de</w:t>
      </w:r>
      <w:r w:rsidRPr="00511023">
        <w:rPr>
          <w:rFonts w:ascii="Times New Roman" w:hAnsi="Times New Roman" w:cs="Times New Roman"/>
        </w:rPr>
        <w:t xml:space="preserve"> rule changes to</w:t>
      </w:r>
      <w:r w:rsidR="00145FB6">
        <w:rPr>
          <w:rFonts w:ascii="Times New Roman" w:hAnsi="Times New Roman" w:cs="Times New Roman"/>
        </w:rPr>
        <w:t xml:space="preserve"> the definitions of</w:t>
      </w:r>
      <w:r w:rsidR="004749A4">
        <w:rPr>
          <w:rFonts w:ascii="Times New Roman" w:hAnsi="Times New Roman" w:cs="Times New Roman"/>
        </w:rPr>
        <w:t>:</w:t>
      </w:r>
      <w:r w:rsidRPr="00511023">
        <w:rPr>
          <w:rFonts w:ascii="Times New Roman" w:hAnsi="Times New Roman" w:cs="Times New Roman"/>
        </w:rPr>
        <w:t xml:space="preserve"> (1) </w:t>
      </w:r>
      <w:r w:rsidR="004A3571">
        <w:rPr>
          <w:rFonts w:ascii="Times New Roman" w:hAnsi="Times New Roman" w:cs="Times New Roman"/>
        </w:rPr>
        <w:t xml:space="preserve">“substantial change” in section </w:t>
      </w:r>
      <w:r w:rsidRPr="006F5F2D" w:rsidR="004A3571">
        <w:rPr>
          <w:rFonts w:ascii="Times New Roman" w:hAnsi="Times New Roman" w:cs="Times New Roman"/>
        </w:rPr>
        <w:t>1.6100(b)(7)(iv)</w:t>
      </w:r>
      <w:r w:rsidR="004A3571">
        <w:rPr>
          <w:rFonts w:ascii="Times New Roman" w:hAnsi="Times New Roman" w:cs="Times New Roman"/>
        </w:rPr>
        <w:t xml:space="preserve">; and (2) </w:t>
      </w:r>
      <w:r w:rsidR="00403AC4">
        <w:rPr>
          <w:rFonts w:ascii="Times New Roman" w:hAnsi="Times New Roman" w:cs="Times New Roman"/>
        </w:rPr>
        <w:t>“site” in</w:t>
      </w:r>
      <w:r w:rsidRPr="00511023" w:rsidR="00403AC4">
        <w:rPr>
          <w:rFonts w:ascii="Times New Roman" w:hAnsi="Times New Roman" w:cs="Times New Roman"/>
        </w:rPr>
        <w:t xml:space="preserve"> section </w:t>
      </w:r>
      <w:r w:rsidRPr="00433896" w:rsidR="00403AC4">
        <w:rPr>
          <w:rFonts w:ascii="Times New Roman" w:hAnsi="Times New Roman" w:cs="Times New Roman"/>
        </w:rPr>
        <w:t>1.6100(b)(6</w:t>
      </w:r>
      <w:r w:rsidR="00266654">
        <w:rPr>
          <w:rFonts w:ascii="Times New Roman" w:hAnsi="Times New Roman" w:cs="Times New Roman"/>
        </w:rPr>
        <w:t>).</w:t>
      </w:r>
    </w:p>
    <w:p w:rsidR="00DA673B" w:rsidRPr="00C01588" w:rsidP="0065649B" w14:paraId="549A555F" w14:textId="3C2225CA">
      <w:pPr>
        <w:keepNext/>
        <w:rPr>
          <w:rFonts w:ascii="Times New Roman" w:hAnsi="Times New Roman" w:cs="Times New Roman"/>
          <w:b/>
          <w:iCs/>
        </w:rPr>
      </w:pPr>
      <w:r w:rsidRPr="00FB3927">
        <w:rPr>
          <w:rFonts w:ascii="Times New Roman" w:hAnsi="Times New Roman" w:cs="Times New Roman"/>
          <w:b/>
          <w:iCs/>
        </w:rPr>
        <w:t xml:space="preserve">Substantial </w:t>
      </w:r>
      <w:r w:rsidRPr="00FB3927" w:rsidR="00E35EBF">
        <w:rPr>
          <w:rFonts w:ascii="Times New Roman" w:hAnsi="Times New Roman" w:cs="Times New Roman"/>
          <w:b/>
          <w:iCs/>
        </w:rPr>
        <w:t>C</w:t>
      </w:r>
      <w:r w:rsidRPr="00FB3927">
        <w:rPr>
          <w:rFonts w:ascii="Times New Roman" w:hAnsi="Times New Roman" w:cs="Times New Roman"/>
          <w:b/>
          <w:iCs/>
        </w:rPr>
        <w:t>hange</w:t>
      </w:r>
      <w:r w:rsidRPr="00FB3927">
        <w:rPr>
          <w:rFonts w:ascii="Times New Roman" w:hAnsi="Times New Roman" w:cs="Times New Roman"/>
          <w:b/>
          <w:iCs/>
        </w:rPr>
        <w:t xml:space="preserve"> (47 CFR § </w:t>
      </w:r>
      <w:r w:rsidRPr="00FB3927">
        <w:rPr>
          <w:rFonts w:ascii="Times New Roman" w:hAnsi="Times New Roman" w:cs="Times New Roman"/>
          <w:b/>
          <w:iCs/>
        </w:rPr>
        <w:t>1.6100(b)(7)(iv)</w:t>
      </w:r>
      <w:r w:rsidRPr="00FB3927">
        <w:rPr>
          <w:rFonts w:ascii="Times New Roman" w:hAnsi="Times New Roman" w:cs="Times New Roman"/>
          <w:b/>
          <w:iCs/>
        </w:rPr>
        <w:t>)</w:t>
      </w:r>
    </w:p>
    <w:p w:rsidR="00E35EBF" w:rsidRPr="00FB3927" w:rsidP="00E23BE9" w14:paraId="16D72380" w14:textId="15E3CCC3">
      <w:pPr>
        <w:pStyle w:val="ListParagraph"/>
        <w:numPr>
          <w:ilvl w:val="0"/>
          <w:numId w:val="11"/>
        </w:numPr>
        <w:spacing w:after="120"/>
        <w:rPr>
          <w:rFonts w:ascii="Times New Roman" w:hAnsi="Times New Roman" w:cs="Times New Roman"/>
        </w:rPr>
      </w:pPr>
      <w:r>
        <w:rPr>
          <w:rFonts w:ascii="Times New Roman" w:hAnsi="Times New Roman" w:cs="Times New Roman"/>
          <w:spacing w:val="-2"/>
        </w:rPr>
        <w:t>Under the amended rules, t</w:t>
      </w:r>
      <w:r w:rsidRPr="00660D3D">
        <w:rPr>
          <w:rFonts w:ascii="Times New Roman" w:hAnsi="Times New Roman" w:cs="Times New Roman"/>
          <w:spacing w:val="-2"/>
        </w:rPr>
        <w:t xml:space="preserve">he </w:t>
      </w:r>
      <w:r>
        <w:rPr>
          <w:rFonts w:ascii="Times New Roman" w:hAnsi="Times New Roman" w:cs="Times New Roman"/>
          <w:spacing w:val="-2"/>
        </w:rPr>
        <w:t xml:space="preserve">revised </w:t>
      </w:r>
      <w:r w:rsidRPr="00660D3D">
        <w:rPr>
          <w:rFonts w:ascii="Times New Roman" w:hAnsi="Times New Roman" w:cs="Times New Roman"/>
          <w:spacing w:val="-2"/>
        </w:rPr>
        <w:t xml:space="preserve">definition of “substantial change” in subsection 1.6100(b)(7)(iv) </w:t>
      </w:r>
      <w:r w:rsidR="00704725">
        <w:rPr>
          <w:rFonts w:ascii="Times New Roman" w:hAnsi="Times New Roman" w:cs="Times New Roman"/>
          <w:spacing w:val="-2"/>
        </w:rPr>
        <w:t xml:space="preserve">permits </w:t>
      </w:r>
      <w:r>
        <w:rPr>
          <w:rFonts w:ascii="Times New Roman" w:hAnsi="Times New Roman" w:cs="Times New Roman"/>
          <w:spacing w:val="-2"/>
        </w:rPr>
        <w:t xml:space="preserve">entities submitting an eligible facilities request </w:t>
      </w:r>
      <w:r w:rsidR="00704725">
        <w:rPr>
          <w:rFonts w:ascii="Times New Roman" w:hAnsi="Times New Roman" w:cs="Times New Roman"/>
          <w:spacing w:val="-2"/>
        </w:rPr>
        <w:t xml:space="preserve">to </w:t>
      </w:r>
      <w:r>
        <w:rPr>
          <w:rFonts w:ascii="Times New Roman" w:hAnsi="Times New Roman" w:cs="Times New Roman"/>
          <w:spacing w:val="-2"/>
        </w:rPr>
        <w:t xml:space="preserve">include </w:t>
      </w:r>
      <w:r w:rsidR="003079F0">
        <w:rPr>
          <w:rFonts w:ascii="Times New Roman" w:hAnsi="Times New Roman" w:cs="Times New Roman"/>
          <w:bCs/>
          <w:spacing w:val="-2"/>
        </w:rPr>
        <w:t xml:space="preserve">a </w:t>
      </w:r>
      <w:r w:rsidRPr="00660D3D">
        <w:rPr>
          <w:rFonts w:ascii="Times New Roman" w:hAnsi="Times New Roman" w:cs="Times New Roman"/>
          <w:bCs/>
          <w:spacing w:val="-2"/>
        </w:rPr>
        <w:t>modification of an existing tower outside the public rights-of-way that entails ground excavation or deployment of transmission equipment up to 30 feet in any direction outside the boundaries of a site</w:t>
      </w:r>
      <w:r w:rsidR="00B8433A">
        <w:rPr>
          <w:rFonts w:ascii="Times New Roman" w:hAnsi="Times New Roman" w:cs="Times New Roman"/>
          <w:bCs/>
          <w:spacing w:val="-2"/>
        </w:rPr>
        <w:t xml:space="preserve">.  The </w:t>
      </w:r>
      <w:r w:rsidR="00F1522A">
        <w:rPr>
          <w:rFonts w:ascii="Times New Roman" w:hAnsi="Times New Roman" w:cs="Times New Roman"/>
          <w:bCs/>
          <w:spacing w:val="-2"/>
        </w:rPr>
        <w:t>revised definition clarifies that such a modification</w:t>
      </w:r>
      <w:r>
        <w:rPr>
          <w:rFonts w:ascii="Times New Roman" w:hAnsi="Times New Roman" w:cs="Times New Roman"/>
          <w:bCs/>
          <w:spacing w:val="-2"/>
        </w:rPr>
        <w:t xml:space="preserve"> </w:t>
      </w:r>
      <w:r w:rsidRPr="00660D3D">
        <w:rPr>
          <w:rFonts w:ascii="Times New Roman" w:hAnsi="Times New Roman" w:cs="Times New Roman"/>
          <w:bCs/>
          <w:spacing w:val="-2"/>
        </w:rPr>
        <w:t xml:space="preserve">will be eligible for streamlined processing under section 6409(a).  </w:t>
      </w:r>
    </w:p>
    <w:p w:rsidR="00E23BE9" w:rsidRPr="00FB3927" w:rsidP="00FB3927" w14:paraId="79BC8BCD" w14:textId="77777777">
      <w:pPr>
        <w:pStyle w:val="ListParagraph"/>
        <w:spacing w:after="120"/>
        <w:ind w:left="360"/>
        <w:rPr>
          <w:rFonts w:ascii="Times New Roman" w:hAnsi="Times New Roman" w:cs="Times New Roman"/>
        </w:rPr>
      </w:pPr>
    </w:p>
    <w:p w:rsidR="00E23BE9" w:rsidRPr="00FB3927" w:rsidP="00FB3927" w14:paraId="38F72F84" w14:textId="2B635686">
      <w:pPr>
        <w:pStyle w:val="ListParagraph"/>
        <w:numPr>
          <w:ilvl w:val="0"/>
          <w:numId w:val="11"/>
        </w:numPr>
        <w:spacing w:after="120"/>
        <w:rPr>
          <w:rFonts w:ascii="Times New Roman" w:hAnsi="Times New Roman" w:cs="Times New Roman"/>
        </w:rPr>
      </w:pPr>
      <w:r>
        <w:rPr>
          <w:rFonts w:ascii="Times New Roman" w:hAnsi="Times New Roman" w:cs="Times New Roman"/>
        </w:rPr>
        <w:t>T</w:t>
      </w:r>
      <w:r w:rsidRPr="001E0AAE">
        <w:rPr>
          <w:rFonts w:ascii="Times New Roman" w:hAnsi="Times New Roman" w:cs="Times New Roman"/>
        </w:rPr>
        <w:t>he site boundary from which the 30 feet is measured exclude</w:t>
      </w:r>
      <w:r w:rsidR="006B54A0">
        <w:rPr>
          <w:rFonts w:ascii="Times New Roman" w:hAnsi="Times New Roman" w:cs="Times New Roman"/>
        </w:rPr>
        <w:t>s</w:t>
      </w:r>
      <w:r w:rsidRPr="001E0AAE">
        <w:rPr>
          <w:rFonts w:ascii="Times New Roman" w:hAnsi="Times New Roman" w:cs="Times New Roman"/>
        </w:rPr>
        <w:t xml:space="preserve"> any access or utility easements currently related to the site.</w:t>
      </w:r>
      <w:r>
        <w:rPr>
          <w:rFonts w:ascii="Times New Roman" w:hAnsi="Times New Roman" w:cs="Times New Roman"/>
        </w:rPr>
        <w:t xml:space="preserve">  </w:t>
      </w:r>
    </w:p>
    <w:p w:rsidR="00E35EBF" w:rsidRPr="00FB3927" w:rsidP="00FB3927" w14:paraId="06431628" w14:textId="77777777">
      <w:pPr>
        <w:pStyle w:val="ListParagraph"/>
        <w:ind w:left="360"/>
        <w:rPr>
          <w:rFonts w:ascii="Times New Roman" w:hAnsi="Times New Roman" w:cs="Times New Roman"/>
        </w:rPr>
      </w:pPr>
    </w:p>
    <w:p w:rsidR="004A3571" w:rsidRPr="007C5CFE" w:rsidP="007C5CFE" w14:paraId="282A0A8C" w14:textId="3FC0734D">
      <w:pPr>
        <w:pStyle w:val="ListParagraph"/>
        <w:numPr>
          <w:ilvl w:val="0"/>
          <w:numId w:val="11"/>
        </w:numPr>
        <w:rPr>
          <w:rFonts w:ascii="Times New Roman" w:hAnsi="Times New Roman" w:cs="Times New Roman"/>
          <w:spacing w:val="-2"/>
        </w:rPr>
      </w:pPr>
      <w:r>
        <w:rPr>
          <w:rFonts w:ascii="Times New Roman" w:hAnsi="Times New Roman" w:cs="Times New Roman"/>
          <w:spacing w:val="-2"/>
        </w:rPr>
        <w:t>O</w:t>
      </w:r>
      <w:r w:rsidRPr="00660D3D" w:rsidR="00995EBE">
        <w:rPr>
          <w:rFonts w:ascii="Times New Roman" w:hAnsi="Times New Roman" w:cs="Times New Roman"/>
          <w:spacing w:val="-2"/>
        </w:rPr>
        <w:t>ther eligible support structures—</w:t>
      </w:r>
      <w:r w:rsidRPr="00660D3D" w:rsidR="00995EBE">
        <w:rPr>
          <w:rFonts w:ascii="Times New Roman" w:hAnsi="Times New Roman" w:cs="Times New Roman"/>
          <w:i/>
          <w:iCs/>
          <w:spacing w:val="-2"/>
        </w:rPr>
        <w:t>e.g.</w:t>
      </w:r>
      <w:r w:rsidRPr="00660D3D" w:rsidR="00995EBE">
        <w:rPr>
          <w:rFonts w:ascii="Times New Roman" w:hAnsi="Times New Roman" w:cs="Times New Roman"/>
          <w:spacing w:val="-2"/>
        </w:rPr>
        <w:t>, towers in the public rights-of-way and non-tower structures—</w:t>
      </w:r>
      <w:r>
        <w:rPr>
          <w:rFonts w:ascii="Times New Roman" w:hAnsi="Times New Roman" w:cs="Times New Roman"/>
          <w:spacing w:val="-2"/>
        </w:rPr>
        <w:t>are not affected by the rule change</w:t>
      </w:r>
      <w:r w:rsidRPr="00660D3D" w:rsidR="00995EBE">
        <w:rPr>
          <w:rFonts w:ascii="Times New Roman" w:hAnsi="Times New Roman" w:cs="Times New Roman"/>
          <w:spacing w:val="-2"/>
        </w:rPr>
        <w:t>.</w:t>
      </w:r>
    </w:p>
    <w:p w:rsidR="004A3571" w:rsidRPr="00FB3927" w:rsidP="004A3571" w14:paraId="1A115686" w14:textId="77777777">
      <w:pPr>
        <w:rPr>
          <w:rFonts w:ascii="Times New Roman" w:hAnsi="Times New Roman" w:cs="Times New Roman"/>
          <w:b/>
          <w:iCs/>
          <w:spacing w:val="-2"/>
        </w:rPr>
      </w:pPr>
      <w:r w:rsidRPr="00FB3927">
        <w:rPr>
          <w:rFonts w:ascii="Times New Roman" w:hAnsi="Times New Roman" w:cs="Times New Roman"/>
          <w:b/>
          <w:iCs/>
          <w:spacing w:val="-2"/>
        </w:rPr>
        <w:t xml:space="preserve">Site (47 CFR </w:t>
      </w:r>
      <w:r w:rsidRPr="00FB3927">
        <w:rPr>
          <w:rFonts w:ascii="Times New Roman" w:hAnsi="Times New Roman" w:cs="Times New Roman"/>
          <w:b/>
          <w:iCs/>
        </w:rPr>
        <w:t>§ 1.6100(b)(6)</w:t>
      </w:r>
      <w:r w:rsidRPr="00FB3927">
        <w:rPr>
          <w:rFonts w:ascii="Times New Roman" w:hAnsi="Times New Roman" w:cs="Times New Roman"/>
          <w:b/>
          <w:iCs/>
          <w:spacing w:val="-2"/>
        </w:rPr>
        <w:t>)</w:t>
      </w:r>
    </w:p>
    <w:p w:rsidR="00864203" w:rsidRPr="004A3571" w:rsidP="004A3571" w14:paraId="629A8E17" w14:textId="5186E42B">
      <w:pPr>
        <w:pStyle w:val="ListParagraph"/>
        <w:numPr>
          <w:ilvl w:val="0"/>
          <w:numId w:val="10"/>
        </w:numPr>
        <w:spacing w:after="0"/>
      </w:pPr>
      <w:r>
        <w:rPr>
          <w:rFonts w:ascii="Times New Roman" w:hAnsi="Times New Roman" w:cs="Times New Roman"/>
        </w:rPr>
        <w:t xml:space="preserve">Under the amended rules, </w:t>
      </w:r>
      <w:r w:rsidRPr="00650D1A">
        <w:rPr>
          <w:rFonts w:ascii="Times New Roman" w:hAnsi="Times New Roman" w:cs="Times New Roman"/>
        </w:rPr>
        <w:t>for applicants seeking modifications to a structure</w:t>
      </w:r>
      <w:r>
        <w:rPr>
          <w:rFonts w:ascii="Times New Roman" w:hAnsi="Times New Roman" w:cs="Times New Roman"/>
        </w:rPr>
        <w:t xml:space="preserve">, a “site” as defined </w:t>
      </w:r>
      <w:r w:rsidRPr="00660D3D">
        <w:rPr>
          <w:rFonts w:ascii="Times New Roman" w:hAnsi="Times New Roman" w:cs="Times New Roman"/>
          <w:spacing w:val="-2"/>
        </w:rPr>
        <w:t>in subsection 1.6100(b)(</w:t>
      </w:r>
      <w:r>
        <w:rPr>
          <w:rFonts w:ascii="Times New Roman" w:hAnsi="Times New Roman" w:cs="Times New Roman"/>
          <w:spacing w:val="-2"/>
        </w:rPr>
        <w:t>6</w:t>
      </w:r>
      <w:r w:rsidRPr="00660D3D">
        <w:rPr>
          <w:rFonts w:ascii="Times New Roman" w:hAnsi="Times New Roman" w:cs="Times New Roman"/>
          <w:spacing w:val="-2"/>
        </w:rPr>
        <w:t>)</w:t>
      </w:r>
      <w:r>
        <w:rPr>
          <w:rFonts w:ascii="Times New Roman" w:hAnsi="Times New Roman" w:cs="Times New Roman"/>
          <w:spacing w:val="-2"/>
        </w:rPr>
        <w:t xml:space="preserve"> </w:t>
      </w:r>
      <w:r>
        <w:rPr>
          <w:rFonts w:ascii="Times New Roman" w:hAnsi="Times New Roman" w:cs="Times New Roman"/>
        </w:rPr>
        <w:t xml:space="preserve">is </w:t>
      </w:r>
      <w:r w:rsidRPr="008B1156">
        <w:rPr>
          <w:rFonts w:ascii="Times New Roman" w:hAnsi="Times New Roman" w:cs="Times New Roman"/>
        </w:rPr>
        <w:t xml:space="preserve">the boundary </w:t>
      </w:r>
      <w:r w:rsidRPr="008B1156">
        <w:rPr>
          <w:rFonts w:ascii="Times New Roman" w:hAnsi="Times New Roman" w:cs="Times New Roman"/>
          <w:bCs/>
        </w:rPr>
        <w:t>of the leased or owned property surrounding a tower and any access or utility easements currently related to the site</w:t>
      </w:r>
      <w:r>
        <w:rPr>
          <w:rFonts w:ascii="Times New Roman" w:hAnsi="Times New Roman" w:cs="Times New Roman"/>
          <w:bCs/>
        </w:rPr>
        <w:t xml:space="preserve"> as </w:t>
      </w:r>
      <w:r w:rsidRPr="008B1156">
        <w:rPr>
          <w:rFonts w:ascii="Times New Roman" w:hAnsi="Times New Roman" w:cs="Times New Roman"/>
          <w:bCs/>
        </w:rPr>
        <w:t xml:space="preserve">of the date that the original tower or base station or a modification to that structure was last reviewed and approved by a state or </w:t>
      </w:r>
      <w:r>
        <w:rPr>
          <w:rFonts w:ascii="Times New Roman" w:hAnsi="Times New Roman" w:cs="Times New Roman"/>
          <w:bCs/>
        </w:rPr>
        <w:t xml:space="preserve">local government, </w:t>
      </w:r>
      <w:r w:rsidRPr="008B1156">
        <w:rPr>
          <w:rFonts w:ascii="Times New Roman" w:hAnsi="Times New Roman" w:cs="Times New Roman"/>
          <w:bCs/>
        </w:rPr>
        <w:t>if the approval of the modification occurred prior to the Spectrum Act or otherwise outside of the section 6409(a) process</w:t>
      </w:r>
      <w:r>
        <w:rPr>
          <w:rFonts w:ascii="Times New Roman" w:hAnsi="Times New Roman" w:cs="Times New Roman"/>
          <w:bCs/>
        </w:rPr>
        <w:t>.</w:t>
      </w:r>
      <w:r>
        <w:rPr>
          <w:rFonts w:ascii="Times New Roman" w:hAnsi="Times New Roman" w:cs="Times New Roman"/>
        </w:rPr>
        <w:br/>
      </w:r>
      <w:r w:rsidRPr="004A3571" w:rsidR="00995EBE">
        <w:rPr>
          <w:rFonts w:ascii="Times New Roman" w:hAnsi="Times New Roman" w:cs="Times New Roman"/>
          <w:spacing w:val="-2"/>
        </w:rPr>
        <w:t xml:space="preserve">  </w:t>
      </w:r>
    </w:p>
    <w:p w:rsidR="00DE567B" w:rsidRPr="00511023" w:rsidP="00286EA8" w14:paraId="1759BBF7" w14:textId="337E0DEF">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1961AA" w:rsidRPr="00511023" w:rsidP="00511023" w14:paraId="1ED3D0C5" w14:textId="56C6C080">
      <w:pPr>
        <w:spacing w:after="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6DD3727C" w14:textId="77777777">
      <w:pPr>
        <w:spacing w:after="0"/>
        <w:rPr>
          <w:rFonts w:ascii="Times New Roman" w:hAnsi="Times New Roman" w:cs="Times New Roman"/>
          <w:b/>
        </w:rPr>
      </w:pPr>
    </w:p>
    <w:p w:rsidR="000F7BE7" w:rsidRPr="00E0530D" w:rsidP="00715681" w14:paraId="6D2C3E8F" w14:textId="7DC98669">
      <w:pPr>
        <w:pStyle w:val="ParaNum"/>
        <w:numPr>
          <w:ilvl w:val="0"/>
          <w:numId w:val="0"/>
        </w:numPr>
      </w:pPr>
      <w:r w:rsidRPr="00511023">
        <w:t>T</w:t>
      </w:r>
      <w:r w:rsidR="00491F77">
        <w:t xml:space="preserve">he rules in the </w:t>
      </w:r>
      <w:r w:rsidRPr="00511023" w:rsidR="00491F77">
        <w:rPr>
          <w:i/>
        </w:rPr>
        <w:t>Report and Order</w:t>
      </w:r>
      <w:r w:rsidR="00491F77">
        <w:t xml:space="preserve"> </w:t>
      </w:r>
      <w:r w:rsidRPr="0084392B" w:rsidR="00491F77">
        <w:t>shall become effective</w:t>
      </w:r>
      <w:r w:rsidR="00CB5686">
        <w:t xml:space="preserve"> on January 4, 2021, </w:t>
      </w:r>
      <w:r w:rsidR="005629E1">
        <w:t>30</w:t>
      </w:r>
      <w:r w:rsidRPr="0084392B" w:rsidR="001338B0">
        <w:t xml:space="preserve"> </w:t>
      </w:r>
      <w:r w:rsidRPr="0084392B" w:rsidR="00491F77">
        <w:t>days after publication of the text or summary t</w:t>
      </w:r>
      <w:r w:rsidR="001338B0">
        <w:t>hereof in the Federal Register.</w:t>
      </w:r>
      <w:r w:rsidR="00E0530D">
        <w:br/>
      </w: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170C5BF1" w14:textId="77777777">
      <w:pPr>
        <w:spacing w:after="0"/>
        <w:rPr>
          <w:rFonts w:ascii="Times New Roman" w:hAnsi="Times New Roman" w:cs="Times New Roman"/>
          <w:b/>
        </w:rPr>
      </w:pPr>
    </w:p>
    <w:p w:rsidR="00C5062A" w:rsidP="00C5062A" w14:paraId="502FE2B9" w14:textId="25D34E4D">
      <w:pPr>
        <w:spacing w:after="0"/>
        <w:rPr>
          <w:rFonts w:ascii="Times New Roman" w:hAnsi="Times New Roman" w:cs="Times New Roman"/>
          <w:b/>
        </w:rPr>
      </w:pPr>
      <w:r w:rsidRPr="00B42783">
        <w:rPr>
          <w:rFonts w:ascii="Times New Roman" w:hAnsi="Times New Roman" w:cs="Times New Roman"/>
          <w:bCs/>
        </w:rPr>
        <w:t xml:space="preserve">A copy of the </w:t>
      </w:r>
      <w:r w:rsidRPr="00B42783" w:rsidR="00111F7A">
        <w:rPr>
          <w:rFonts w:ascii="Times New Roman" w:hAnsi="Times New Roman" w:cs="Times New Roman"/>
          <w:bCs/>
          <w:i/>
        </w:rPr>
        <w:t>Report and Order</w:t>
      </w:r>
      <w:r w:rsidRPr="00B42783">
        <w:rPr>
          <w:rFonts w:ascii="Times New Roman" w:hAnsi="Times New Roman" w:cs="Times New Roman"/>
          <w:bCs/>
        </w:rPr>
        <w:t xml:space="preserve"> is available at:</w:t>
      </w:r>
      <w:r w:rsidR="00564C80">
        <w:rPr>
          <w:rFonts w:ascii="Times New Roman" w:hAnsi="Times New Roman" w:cs="Times New Roman"/>
          <w:b/>
        </w:rPr>
        <w:t xml:space="preserve"> </w:t>
      </w:r>
      <w:hyperlink r:id="rId9" w:history="1">
        <w:r w:rsidRPr="00BC436E" w:rsidR="00704725">
          <w:rPr>
            <w:rStyle w:val="Hyperlink"/>
            <w:rFonts w:ascii="Times New Roman" w:hAnsi="Times New Roman" w:cs="Times New Roman"/>
            <w:bCs/>
          </w:rPr>
          <w:t>https://docs.fcc.gov/public/attachments/FCC-20-153A1.pdf</w:t>
        </w:r>
      </w:hyperlink>
      <w:r w:rsidR="00704725">
        <w:rPr>
          <w:rFonts w:ascii="Times New Roman" w:hAnsi="Times New Roman" w:cs="Times New Roman"/>
          <w:bCs/>
        </w:rPr>
        <w:t>.</w:t>
      </w:r>
      <w:hyperlink w:history="1"/>
    </w:p>
    <w:p w:rsidR="002973BD" w:rsidRPr="00511023" w:rsidP="00C5062A" w14:paraId="5819B98F" w14:textId="77777777">
      <w:pPr>
        <w:spacing w:after="0"/>
        <w:rPr>
          <w:rFonts w:ascii="Times New Roman" w:hAnsi="Times New Roman" w:cs="Times New Roman"/>
          <w:b/>
        </w:rPr>
      </w:pPr>
    </w:p>
    <w:p w:rsidR="003149AB" w:rsidRPr="004E7319" w:rsidP="00C5062A" w14:paraId="154B48C1" w14:textId="019A8AD7">
      <w:pPr>
        <w:spacing w:after="0"/>
        <w:rPr>
          <w:rFonts w:ascii="Times New Roman" w:hAnsi="Times New Roman" w:cs="Times New Roman"/>
          <w:b/>
        </w:rPr>
      </w:pPr>
      <w:r w:rsidRPr="00ED74CB">
        <w:rPr>
          <w:rFonts w:ascii="Times New Roman" w:hAnsi="Times New Roman" w:cs="Times New Roman"/>
          <w:bCs/>
        </w:rPr>
        <w:t xml:space="preserve">A copy of the Federal Register Summary of the </w:t>
      </w:r>
      <w:r w:rsidRPr="00ED74CB" w:rsidR="00111F7A">
        <w:rPr>
          <w:rFonts w:ascii="Times New Roman" w:hAnsi="Times New Roman" w:cs="Times New Roman"/>
          <w:bCs/>
          <w:i/>
        </w:rPr>
        <w:t xml:space="preserve">Report and Order </w:t>
      </w:r>
      <w:r w:rsidRPr="00ED74CB">
        <w:rPr>
          <w:rFonts w:ascii="Times New Roman" w:hAnsi="Times New Roman" w:cs="Times New Roman"/>
          <w:bCs/>
        </w:rPr>
        <w:t>is available at:</w:t>
      </w:r>
      <w:r w:rsidRPr="00511023">
        <w:rPr>
          <w:rFonts w:ascii="Times New Roman" w:hAnsi="Times New Roman" w:cs="Times New Roman"/>
          <w:b/>
        </w:rPr>
        <w:t xml:space="preserve"> </w:t>
      </w:r>
      <w:hyperlink r:id="rId10" w:history="1">
        <w:r w:rsidRPr="00ED74CB" w:rsidR="004E7319">
          <w:rPr>
            <w:rStyle w:val="Hyperlink"/>
            <w:rFonts w:ascii="Times New Roman" w:eastAsia="Times New Roman" w:hAnsi="Times New Roman" w:cs="Times New Roman"/>
          </w:rPr>
          <w:t>https://www.govinfo.gov/content/pkg/FR-2020-12-03/pdf/2020-25144.pdf</w:t>
        </w:r>
      </w:hyperlink>
      <w:r w:rsidRPr="00ED74CB" w:rsidR="004E7319">
        <w:rPr>
          <w:rFonts w:ascii="Times New Roman" w:eastAsia="Times New Roman" w:hAnsi="Times New Roman" w:cs="Times New Roman"/>
          <w:color w:val="000000"/>
        </w:rPr>
        <w:t>.</w:t>
      </w: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C01588">
      <w:footerReference w:type="default" r:id="rId11"/>
      <w:type w:val="continuous"/>
      <w:pgSz w:w="12240" w:h="15840"/>
      <w:pgMar w:top="1440" w:right="1440" w:bottom="1008" w:left="1440" w:header="720" w:footer="187"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1743EF" w14:paraId="3502747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237316" w14:paraId="2A42B8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CE74DD" w:rsidP="00034878" w14:paraId="21023FA4" w14:textId="77777777">
      <w:pPr>
        <w:spacing w:after="0" w:line="240" w:lineRule="auto"/>
      </w:pPr>
      <w:r>
        <w:separator/>
      </w:r>
    </w:p>
  </w:footnote>
  <w:footnote w:type="continuationSeparator" w:id="1">
    <w:p w:rsidR="00CE74DD" w:rsidP="00034878" w14:paraId="14812BBA" w14:textId="77777777">
      <w:pPr>
        <w:spacing w:after="0" w:line="240" w:lineRule="auto"/>
      </w:pPr>
      <w:r>
        <w:continuationSeparator/>
      </w:r>
    </w:p>
  </w:footnote>
  <w:footnote w:id="2">
    <w:p w:rsidR="009466D2" w:rsidRPr="00864CB6" w:rsidP="009466D2" w14:paraId="1F60BA5D" w14:textId="77777777">
      <w:pPr>
        <w:pStyle w:val="FootnoteText"/>
        <w:rPr>
          <w:rFonts w:ascii="Times New Roman" w:hAnsi="Times New Roman" w:cs="Times New Roman"/>
        </w:rPr>
      </w:pPr>
      <w:r w:rsidRPr="00864CB6">
        <w:rPr>
          <w:rStyle w:val="FootnoteReference"/>
          <w:rFonts w:ascii="Times New Roman" w:hAnsi="Times New Roman" w:cs="Times New Roman"/>
        </w:rPr>
        <w:footnoteRef/>
      </w:r>
      <w:r w:rsidRPr="00864CB6">
        <w:rPr>
          <w:rFonts w:ascii="Times New Roman" w:hAnsi="Times New Roman" w:cs="Times New Roman"/>
        </w:rPr>
        <w:t xml:space="preserve"> Middle Class Tax Relief and Job Creation Act of 2012, Pub. L. No. 112-96, title VI (Spectrum Act of 2012), § 6409(a), 126 Stat. 156 (Feb. 22, 2012) (codified as 47 U.S.C. § 1455(a)).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4A40E4" w:rsidP="00ED74CB" w14:paraId="7A378431" w14:textId="3743256B">
    <w:pPr>
      <w:pStyle w:val="Header"/>
      <w:spacing w:before="360" w:line="228" w:lineRule="auto"/>
      <w:rPr>
        <w:rFonts w:ascii="CG Times (W1)" w:hAnsi="CG Times (W1)"/>
        <w:sz w:val="28"/>
      </w:rPr>
    </w:pPr>
    <w:r>
      <w:rPr>
        <w:rFonts w:ascii="CG Times (W1)" w:hAnsi="CG Times (W1)"/>
        <w:noProof/>
        <w:sz w:val="28"/>
      </w:rPr>
      <w:drawing>
        <wp:anchor distT="0" distB="0" distL="114300" distR="114300" simplePos="0" relativeHeight="251658240" behindDoc="0" locked="0" layoutInCell="1" allowOverlap="1">
          <wp:simplePos x="0" y="0"/>
          <wp:positionH relativeFrom="column">
            <wp:posOffset>-452755</wp:posOffset>
          </wp:positionH>
          <wp:positionV relativeFrom="paragraph">
            <wp:posOffset>401182</wp:posOffset>
          </wp:positionV>
          <wp:extent cx="922020" cy="8489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22020" cy="848995"/>
                  </a:xfrm>
                  <a:prstGeom prst="rect">
                    <a:avLst/>
                  </a:prstGeom>
                </pic:spPr>
              </pic:pic>
            </a:graphicData>
          </a:graphic>
        </wp:anchor>
      </w:drawing>
    </w:r>
    <w:r>
      <w:rPr>
        <w:rFonts w:ascii="CG Times (W1)" w:hAnsi="CG Times (W1)"/>
        <w:sz w:val="28"/>
      </w:rPr>
      <w:tab/>
    </w:r>
  </w:p>
  <w:p w:rsidR="00121A4A" w:rsidP="00ED74CB" w14:paraId="0B5C5E41" w14:textId="611AD402">
    <w:pPr>
      <w:pStyle w:val="Header"/>
      <w:tabs>
        <w:tab w:val="left" w:pos="3060"/>
        <w:tab w:val="center" w:pos="4320"/>
        <w:tab w:val="clear" w:pos="4680"/>
      </w:tabs>
      <w:spacing w:before="360" w:line="228" w:lineRule="auto"/>
      <w:ind w:left="-720" w:firstLine="720"/>
      <w:jc w:val="center"/>
    </w:pPr>
    <w:r>
      <w:rPr>
        <w:rFonts w:ascii="CG Times (W1)" w:hAnsi="CG Times (W1)"/>
        <w:sz w:val="28"/>
      </w:rPr>
      <w:t>Federal Communications Commission</w:t>
    </w:r>
  </w:p>
  <w:p w:rsidR="00121A4A" w:rsidP="00ED74CB" w14:paraId="71989AC2" w14:textId="44CCE53D">
    <w:pPr>
      <w:ind w:left="-720" w:firstLine="720"/>
      <w:jc w:val="center"/>
      <w:rPr>
        <w:rFonts w:ascii="CG Times (W1)" w:hAnsi="CG Times (W1)"/>
        <w:sz w:val="28"/>
      </w:rPr>
    </w:pPr>
    <w:r>
      <w:rPr>
        <w:rFonts w:ascii="CG Times (W1)" w:hAnsi="CG Times (W1)"/>
        <w:sz w:val="28"/>
      </w:rPr>
      <w:t xml:space="preserve">Washington, D.C. </w:t>
    </w:r>
    <w:r w:rsidR="004A40E4">
      <w:rPr>
        <w:rFonts w:ascii="CG Times (W1)" w:hAnsi="CG Times (W1)"/>
        <w:sz w:val="28"/>
      </w:rPr>
      <w:t>20</w:t>
    </w:r>
    <w:r w:rsidR="00957E19">
      <w:rPr>
        <w:rFonts w:ascii="CG Times (W1)" w:hAnsi="CG Times (W1)"/>
        <w:sz w:val="28"/>
      </w:rPr>
      <w:t>554</w:t>
    </w:r>
  </w:p>
  <w:p w:rsidR="00121A4A" w:rsidRPr="003172B5" w:rsidP="00553FF4" w14:paraId="0675F8B2" w14:textId="667E5488">
    <w:pPr>
      <w:ind w:firstLine="3600"/>
      <w:rPr>
        <w:sz w:val="24"/>
        <w:szCs w:val="24"/>
      </w:rPr>
    </w:pPr>
    <w:r>
      <w:rPr>
        <w:rFonts w:ascii="CG Times (W1)" w:hAnsi="CG Times (W1)"/>
        <w:sz w:val="24"/>
        <w:szCs w:val="24"/>
      </w:rPr>
      <w:t xml:space="preserve">      </w:t>
    </w:r>
    <w:r w:rsidR="005223AC">
      <w:rPr>
        <w:rFonts w:ascii="CG Times (W1)" w:hAnsi="CG Times (W1)"/>
        <w:sz w:val="24"/>
        <w:szCs w:val="24"/>
      </w:rPr>
      <w:t>January</w:t>
    </w:r>
    <w:r w:rsidR="00A70DD8">
      <w:rPr>
        <w:rFonts w:ascii="CG Times (W1)" w:hAnsi="CG Times (W1)"/>
        <w:sz w:val="24"/>
        <w:szCs w:val="24"/>
      </w:rPr>
      <w:t xml:space="preserve"> </w:t>
    </w:r>
    <w:r w:rsidR="005223AC">
      <w:rPr>
        <w:rFonts w:ascii="CG Times (W1)" w:hAnsi="CG Times (W1)"/>
        <w:sz w:val="24"/>
        <w:szCs w:val="24"/>
      </w:rPr>
      <w:t>4</w:t>
    </w:r>
    <w:r w:rsidRPr="003172B5">
      <w:rPr>
        <w:rFonts w:ascii="CG Times (W1)" w:hAnsi="CG Times (W1)"/>
        <w:sz w:val="24"/>
        <w:szCs w:val="24"/>
      </w:rPr>
      <w:t xml:space="preserve">, </w:t>
    </w:r>
    <w:r w:rsidR="00A70DD8">
      <w:rPr>
        <w:rFonts w:ascii="CG Times (W1)" w:hAnsi="CG Times (W1)"/>
        <w:sz w:val="24"/>
        <w:szCs w:val="24"/>
      </w:rPr>
      <w:t>202</w:t>
    </w:r>
    <w:r w:rsidR="005223AC">
      <w:rPr>
        <w:rFonts w:ascii="CG Times (W1)" w:hAnsi="CG Times (W1)"/>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0"/>
  </w:num>
  <w:num w:numId="6">
    <w:abstractNumId w:val="4"/>
  </w:num>
  <w:num w:numId="7">
    <w:abstractNumId w:val="0"/>
  </w:num>
  <w:num w:numId="8">
    <w:abstractNumId w:val="9"/>
  </w:num>
  <w:num w:numId="9">
    <w:abstractNumId w:val="6"/>
  </w:num>
  <w:num w:numId="10">
    <w:abstractNumId w:val="1"/>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4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0635"/>
    <w:rsid w:val="00013982"/>
    <w:rsid w:val="0001453A"/>
    <w:rsid w:val="00016FE3"/>
    <w:rsid w:val="00025AB0"/>
    <w:rsid w:val="000320CC"/>
    <w:rsid w:val="00034878"/>
    <w:rsid w:val="00044C31"/>
    <w:rsid w:val="00056A24"/>
    <w:rsid w:val="000601FD"/>
    <w:rsid w:val="00066CB4"/>
    <w:rsid w:val="00074CA4"/>
    <w:rsid w:val="00084D59"/>
    <w:rsid w:val="00087BBD"/>
    <w:rsid w:val="000915A8"/>
    <w:rsid w:val="0009430B"/>
    <w:rsid w:val="000A0036"/>
    <w:rsid w:val="000B7E9D"/>
    <w:rsid w:val="000C1FA6"/>
    <w:rsid w:val="000D2F0F"/>
    <w:rsid w:val="000D790A"/>
    <w:rsid w:val="000E4E16"/>
    <w:rsid w:val="000F616D"/>
    <w:rsid w:val="000F7BE7"/>
    <w:rsid w:val="0010585F"/>
    <w:rsid w:val="00106292"/>
    <w:rsid w:val="00111F7A"/>
    <w:rsid w:val="00115515"/>
    <w:rsid w:val="00120D7A"/>
    <w:rsid w:val="00121A4A"/>
    <w:rsid w:val="00131CCC"/>
    <w:rsid w:val="001338B0"/>
    <w:rsid w:val="00133D08"/>
    <w:rsid w:val="00145FB6"/>
    <w:rsid w:val="0015198F"/>
    <w:rsid w:val="00152909"/>
    <w:rsid w:val="001544BD"/>
    <w:rsid w:val="00156E80"/>
    <w:rsid w:val="00157242"/>
    <w:rsid w:val="00172AE5"/>
    <w:rsid w:val="0017330D"/>
    <w:rsid w:val="00173AB8"/>
    <w:rsid w:val="001743EF"/>
    <w:rsid w:val="001961AA"/>
    <w:rsid w:val="001A1EAC"/>
    <w:rsid w:val="001D6690"/>
    <w:rsid w:val="001E0AAE"/>
    <w:rsid w:val="002011F1"/>
    <w:rsid w:val="00210788"/>
    <w:rsid w:val="00214C63"/>
    <w:rsid w:val="00230205"/>
    <w:rsid w:val="0023233B"/>
    <w:rsid w:val="00233B90"/>
    <w:rsid w:val="00237316"/>
    <w:rsid w:val="00243CE9"/>
    <w:rsid w:val="002462C8"/>
    <w:rsid w:val="00247E1B"/>
    <w:rsid w:val="00250E0F"/>
    <w:rsid w:val="00266654"/>
    <w:rsid w:val="00282849"/>
    <w:rsid w:val="00286EA8"/>
    <w:rsid w:val="002874BE"/>
    <w:rsid w:val="00292357"/>
    <w:rsid w:val="002973BD"/>
    <w:rsid w:val="002A57BD"/>
    <w:rsid w:val="002A6EF9"/>
    <w:rsid w:val="002A73FE"/>
    <w:rsid w:val="002B11B3"/>
    <w:rsid w:val="002B6FD0"/>
    <w:rsid w:val="002C1EA9"/>
    <w:rsid w:val="002D074E"/>
    <w:rsid w:val="002D0DED"/>
    <w:rsid w:val="002D7217"/>
    <w:rsid w:val="002F43E7"/>
    <w:rsid w:val="002F683E"/>
    <w:rsid w:val="002F7376"/>
    <w:rsid w:val="003017A1"/>
    <w:rsid w:val="003079F0"/>
    <w:rsid w:val="003149AB"/>
    <w:rsid w:val="003172B5"/>
    <w:rsid w:val="00320D58"/>
    <w:rsid w:val="00330480"/>
    <w:rsid w:val="003322AF"/>
    <w:rsid w:val="00334EB4"/>
    <w:rsid w:val="003423E5"/>
    <w:rsid w:val="00342E33"/>
    <w:rsid w:val="00346511"/>
    <w:rsid w:val="0034659A"/>
    <w:rsid w:val="00354A06"/>
    <w:rsid w:val="00364D35"/>
    <w:rsid w:val="00367858"/>
    <w:rsid w:val="003733F4"/>
    <w:rsid w:val="00375D31"/>
    <w:rsid w:val="003837F4"/>
    <w:rsid w:val="0039210D"/>
    <w:rsid w:val="003B451D"/>
    <w:rsid w:val="003D1B5B"/>
    <w:rsid w:val="003D226E"/>
    <w:rsid w:val="003D23C0"/>
    <w:rsid w:val="003D4E1E"/>
    <w:rsid w:val="003E344A"/>
    <w:rsid w:val="003F1DFC"/>
    <w:rsid w:val="003F4120"/>
    <w:rsid w:val="003F5CB7"/>
    <w:rsid w:val="004008B8"/>
    <w:rsid w:val="00403111"/>
    <w:rsid w:val="0040311E"/>
    <w:rsid w:val="00403AC4"/>
    <w:rsid w:val="004126D5"/>
    <w:rsid w:val="0041380C"/>
    <w:rsid w:val="0041606D"/>
    <w:rsid w:val="0042014C"/>
    <w:rsid w:val="00433896"/>
    <w:rsid w:val="0046085B"/>
    <w:rsid w:val="00463A2A"/>
    <w:rsid w:val="00463D60"/>
    <w:rsid w:val="004740BF"/>
    <w:rsid w:val="004749A4"/>
    <w:rsid w:val="00485B77"/>
    <w:rsid w:val="00491D54"/>
    <w:rsid w:val="00491F77"/>
    <w:rsid w:val="00492D6D"/>
    <w:rsid w:val="004A0A88"/>
    <w:rsid w:val="004A3571"/>
    <w:rsid w:val="004A40E4"/>
    <w:rsid w:val="004A4381"/>
    <w:rsid w:val="004B6491"/>
    <w:rsid w:val="004B7242"/>
    <w:rsid w:val="004D0FE9"/>
    <w:rsid w:val="004D4AFC"/>
    <w:rsid w:val="004E7319"/>
    <w:rsid w:val="004E7C2C"/>
    <w:rsid w:val="004F3108"/>
    <w:rsid w:val="004F68F6"/>
    <w:rsid w:val="00500229"/>
    <w:rsid w:val="005008FB"/>
    <w:rsid w:val="0050544C"/>
    <w:rsid w:val="00511023"/>
    <w:rsid w:val="00514667"/>
    <w:rsid w:val="005223AC"/>
    <w:rsid w:val="00524A00"/>
    <w:rsid w:val="005275C1"/>
    <w:rsid w:val="00527F85"/>
    <w:rsid w:val="005449FD"/>
    <w:rsid w:val="00553FF4"/>
    <w:rsid w:val="005566AB"/>
    <w:rsid w:val="005629E1"/>
    <w:rsid w:val="00564C80"/>
    <w:rsid w:val="005717FB"/>
    <w:rsid w:val="00572B59"/>
    <w:rsid w:val="00577748"/>
    <w:rsid w:val="00584A6D"/>
    <w:rsid w:val="005869BB"/>
    <w:rsid w:val="00594B89"/>
    <w:rsid w:val="00596C34"/>
    <w:rsid w:val="005B3852"/>
    <w:rsid w:val="005B3AB8"/>
    <w:rsid w:val="005C0B01"/>
    <w:rsid w:val="005C1817"/>
    <w:rsid w:val="005D0724"/>
    <w:rsid w:val="005E54A4"/>
    <w:rsid w:val="005E70B7"/>
    <w:rsid w:val="00610B56"/>
    <w:rsid w:val="00610BE5"/>
    <w:rsid w:val="006146CF"/>
    <w:rsid w:val="006175DB"/>
    <w:rsid w:val="006375B3"/>
    <w:rsid w:val="00637613"/>
    <w:rsid w:val="00643D79"/>
    <w:rsid w:val="006504D2"/>
    <w:rsid w:val="00650D1A"/>
    <w:rsid w:val="0065649B"/>
    <w:rsid w:val="00657EA8"/>
    <w:rsid w:val="00660D3D"/>
    <w:rsid w:val="00677244"/>
    <w:rsid w:val="00677BFD"/>
    <w:rsid w:val="00683C2E"/>
    <w:rsid w:val="006A0193"/>
    <w:rsid w:val="006A15E1"/>
    <w:rsid w:val="006B4F31"/>
    <w:rsid w:val="006B54A0"/>
    <w:rsid w:val="006C1180"/>
    <w:rsid w:val="006C60B7"/>
    <w:rsid w:val="006D5250"/>
    <w:rsid w:val="006E50A3"/>
    <w:rsid w:val="006E542F"/>
    <w:rsid w:val="006F117F"/>
    <w:rsid w:val="006F2901"/>
    <w:rsid w:val="006F3731"/>
    <w:rsid w:val="006F411B"/>
    <w:rsid w:val="006F5F2D"/>
    <w:rsid w:val="00701319"/>
    <w:rsid w:val="00704725"/>
    <w:rsid w:val="00715681"/>
    <w:rsid w:val="00716724"/>
    <w:rsid w:val="007201A6"/>
    <w:rsid w:val="00720E95"/>
    <w:rsid w:val="00727054"/>
    <w:rsid w:val="00730FD8"/>
    <w:rsid w:val="0073276E"/>
    <w:rsid w:val="007340B2"/>
    <w:rsid w:val="00734B5A"/>
    <w:rsid w:val="00735330"/>
    <w:rsid w:val="00740ED6"/>
    <w:rsid w:val="00765ABD"/>
    <w:rsid w:val="00791348"/>
    <w:rsid w:val="00794559"/>
    <w:rsid w:val="00795FD9"/>
    <w:rsid w:val="007A0385"/>
    <w:rsid w:val="007B5C54"/>
    <w:rsid w:val="007C5CFE"/>
    <w:rsid w:val="007D2555"/>
    <w:rsid w:val="007D5F16"/>
    <w:rsid w:val="007E31CA"/>
    <w:rsid w:val="007E64DB"/>
    <w:rsid w:val="007F0A80"/>
    <w:rsid w:val="008104E2"/>
    <w:rsid w:val="008178D8"/>
    <w:rsid w:val="00821520"/>
    <w:rsid w:val="008314BB"/>
    <w:rsid w:val="00831688"/>
    <w:rsid w:val="0084392B"/>
    <w:rsid w:val="00855C72"/>
    <w:rsid w:val="00862D8C"/>
    <w:rsid w:val="00864203"/>
    <w:rsid w:val="00864CB6"/>
    <w:rsid w:val="008B1156"/>
    <w:rsid w:val="008C1F24"/>
    <w:rsid w:val="008C3B06"/>
    <w:rsid w:val="008D4AA5"/>
    <w:rsid w:val="008D6925"/>
    <w:rsid w:val="008E2841"/>
    <w:rsid w:val="008F02BA"/>
    <w:rsid w:val="0090451D"/>
    <w:rsid w:val="00906E97"/>
    <w:rsid w:val="009464B8"/>
    <w:rsid w:val="009466D2"/>
    <w:rsid w:val="0095028B"/>
    <w:rsid w:val="0095132F"/>
    <w:rsid w:val="00951C24"/>
    <w:rsid w:val="00954C5C"/>
    <w:rsid w:val="0095758F"/>
    <w:rsid w:val="00957E19"/>
    <w:rsid w:val="00972776"/>
    <w:rsid w:val="00972B46"/>
    <w:rsid w:val="009827ED"/>
    <w:rsid w:val="009922DB"/>
    <w:rsid w:val="00995EBE"/>
    <w:rsid w:val="00996590"/>
    <w:rsid w:val="009A61EC"/>
    <w:rsid w:val="009B3815"/>
    <w:rsid w:val="009B41FC"/>
    <w:rsid w:val="009C5AF7"/>
    <w:rsid w:val="009C6058"/>
    <w:rsid w:val="009C6876"/>
    <w:rsid w:val="009C7F6E"/>
    <w:rsid w:val="009D7F6F"/>
    <w:rsid w:val="009E2BDF"/>
    <w:rsid w:val="009F6622"/>
    <w:rsid w:val="00A26842"/>
    <w:rsid w:val="00A274DC"/>
    <w:rsid w:val="00A356F9"/>
    <w:rsid w:val="00A40CE9"/>
    <w:rsid w:val="00A422B6"/>
    <w:rsid w:val="00A44112"/>
    <w:rsid w:val="00A52269"/>
    <w:rsid w:val="00A553DE"/>
    <w:rsid w:val="00A70DD8"/>
    <w:rsid w:val="00AA34B7"/>
    <w:rsid w:val="00AA7D23"/>
    <w:rsid w:val="00AB1D1E"/>
    <w:rsid w:val="00AB1E95"/>
    <w:rsid w:val="00AC1A95"/>
    <w:rsid w:val="00AC5039"/>
    <w:rsid w:val="00AC6478"/>
    <w:rsid w:val="00AD0BD0"/>
    <w:rsid w:val="00AD32CB"/>
    <w:rsid w:val="00AD7A25"/>
    <w:rsid w:val="00AE20D8"/>
    <w:rsid w:val="00AF324E"/>
    <w:rsid w:val="00AF380A"/>
    <w:rsid w:val="00B0585E"/>
    <w:rsid w:val="00B06D94"/>
    <w:rsid w:val="00B12C82"/>
    <w:rsid w:val="00B15ACD"/>
    <w:rsid w:val="00B15ED8"/>
    <w:rsid w:val="00B25193"/>
    <w:rsid w:val="00B32184"/>
    <w:rsid w:val="00B423FD"/>
    <w:rsid w:val="00B42783"/>
    <w:rsid w:val="00B47D0B"/>
    <w:rsid w:val="00B5402E"/>
    <w:rsid w:val="00B629FE"/>
    <w:rsid w:val="00B64910"/>
    <w:rsid w:val="00B6559C"/>
    <w:rsid w:val="00B7401E"/>
    <w:rsid w:val="00B8024D"/>
    <w:rsid w:val="00B81F96"/>
    <w:rsid w:val="00B8433A"/>
    <w:rsid w:val="00B849ED"/>
    <w:rsid w:val="00BA1697"/>
    <w:rsid w:val="00BB1633"/>
    <w:rsid w:val="00BB1AE3"/>
    <w:rsid w:val="00BB6B45"/>
    <w:rsid w:val="00BC2A23"/>
    <w:rsid w:val="00BC436E"/>
    <w:rsid w:val="00BD4422"/>
    <w:rsid w:val="00BF1255"/>
    <w:rsid w:val="00BF51F0"/>
    <w:rsid w:val="00C01588"/>
    <w:rsid w:val="00C0775E"/>
    <w:rsid w:val="00C235FA"/>
    <w:rsid w:val="00C24763"/>
    <w:rsid w:val="00C2684F"/>
    <w:rsid w:val="00C37AC8"/>
    <w:rsid w:val="00C419A9"/>
    <w:rsid w:val="00C47CEF"/>
    <w:rsid w:val="00C5062A"/>
    <w:rsid w:val="00C66B78"/>
    <w:rsid w:val="00C67CA7"/>
    <w:rsid w:val="00C95A2D"/>
    <w:rsid w:val="00CB5686"/>
    <w:rsid w:val="00CC1EC9"/>
    <w:rsid w:val="00CC422E"/>
    <w:rsid w:val="00CC7874"/>
    <w:rsid w:val="00CD59E5"/>
    <w:rsid w:val="00CD624E"/>
    <w:rsid w:val="00CE6EBB"/>
    <w:rsid w:val="00CE74DD"/>
    <w:rsid w:val="00CF238F"/>
    <w:rsid w:val="00CF5B3E"/>
    <w:rsid w:val="00D0008A"/>
    <w:rsid w:val="00D02EA5"/>
    <w:rsid w:val="00D07C32"/>
    <w:rsid w:val="00D251CD"/>
    <w:rsid w:val="00D3573A"/>
    <w:rsid w:val="00D36404"/>
    <w:rsid w:val="00D4618C"/>
    <w:rsid w:val="00D47DB5"/>
    <w:rsid w:val="00D556B0"/>
    <w:rsid w:val="00D90118"/>
    <w:rsid w:val="00D93835"/>
    <w:rsid w:val="00D95681"/>
    <w:rsid w:val="00DA51FF"/>
    <w:rsid w:val="00DA673B"/>
    <w:rsid w:val="00DA6B99"/>
    <w:rsid w:val="00DB13BC"/>
    <w:rsid w:val="00DB4D1A"/>
    <w:rsid w:val="00DB784D"/>
    <w:rsid w:val="00DC5B9C"/>
    <w:rsid w:val="00DD2774"/>
    <w:rsid w:val="00DD7074"/>
    <w:rsid w:val="00DE567B"/>
    <w:rsid w:val="00DE653F"/>
    <w:rsid w:val="00E0530D"/>
    <w:rsid w:val="00E078D8"/>
    <w:rsid w:val="00E12F39"/>
    <w:rsid w:val="00E15470"/>
    <w:rsid w:val="00E154FC"/>
    <w:rsid w:val="00E2092F"/>
    <w:rsid w:val="00E20A1B"/>
    <w:rsid w:val="00E23317"/>
    <w:rsid w:val="00E23BE9"/>
    <w:rsid w:val="00E328A3"/>
    <w:rsid w:val="00E35EBF"/>
    <w:rsid w:val="00E446F0"/>
    <w:rsid w:val="00E47D90"/>
    <w:rsid w:val="00E56A46"/>
    <w:rsid w:val="00E62840"/>
    <w:rsid w:val="00E75FAC"/>
    <w:rsid w:val="00E800F0"/>
    <w:rsid w:val="00E97A21"/>
    <w:rsid w:val="00EA4DD4"/>
    <w:rsid w:val="00EB64E6"/>
    <w:rsid w:val="00EC30F1"/>
    <w:rsid w:val="00EC6E61"/>
    <w:rsid w:val="00EC723E"/>
    <w:rsid w:val="00ED5EC2"/>
    <w:rsid w:val="00ED601E"/>
    <w:rsid w:val="00ED74CB"/>
    <w:rsid w:val="00ED7745"/>
    <w:rsid w:val="00EF08E4"/>
    <w:rsid w:val="00EF0E6F"/>
    <w:rsid w:val="00EF4B82"/>
    <w:rsid w:val="00F0469C"/>
    <w:rsid w:val="00F1379B"/>
    <w:rsid w:val="00F1522A"/>
    <w:rsid w:val="00F25963"/>
    <w:rsid w:val="00F41273"/>
    <w:rsid w:val="00F426F6"/>
    <w:rsid w:val="00F4281B"/>
    <w:rsid w:val="00F445A1"/>
    <w:rsid w:val="00F4551F"/>
    <w:rsid w:val="00F56EA0"/>
    <w:rsid w:val="00F60984"/>
    <w:rsid w:val="00F61DF3"/>
    <w:rsid w:val="00F759FF"/>
    <w:rsid w:val="00F75BD2"/>
    <w:rsid w:val="00F92131"/>
    <w:rsid w:val="00F9389C"/>
    <w:rsid w:val="00F96329"/>
    <w:rsid w:val="00FB33EF"/>
    <w:rsid w:val="00FB3477"/>
    <w:rsid w:val="00FB3927"/>
    <w:rsid w:val="00FC448B"/>
    <w:rsid w:val="00FE30EB"/>
    <w:rsid w:val="00FE346F"/>
    <w:rsid w:val="00FE50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6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content/pkg/FR-2020-12-03/pdf/2020-25144.pdf" TargetMode="Externa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docs.fcc.gov/public/attachments/FCC-20-153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