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F8AD27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BBA0C81" w14:textId="77777777">
      <w:pPr>
        <w:pStyle w:val="StyleBoldCentered"/>
      </w:pPr>
      <w:r>
        <w:t>F</w:t>
      </w:r>
      <w:r>
        <w:rPr>
          <w:caps w:val="0"/>
        </w:rPr>
        <w:t>ederal Communications Commission</w:t>
      </w:r>
    </w:p>
    <w:p w:rsidR="004C2EE3" w:rsidP="00096D8C" w14:paraId="2B7E9DD0" w14:textId="77777777">
      <w:pPr>
        <w:pStyle w:val="StyleBoldCentered"/>
      </w:pPr>
      <w:r>
        <w:rPr>
          <w:caps w:val="0"/>
        </w:rPr>
        <w:t>Washington, D.C. 20554</w:t>
      </w:r>
    </w:p>
    <w:p w:rsidR="004C2EE3" w:rsidP="0070224F" w14:paraId="410B9210" w14:textId="77777777"/>
    <w:tbl>
      <w:tblPr>
        <w:tblW w:w="0" w:type="auto"/>
        <w:tblLayout w:type="fixed"/>
        <w:tblLook w:val="0000"/>
      </w:tblPr>
      <w:tblGrid>
        <w:gridCol w:w="4698"/>
        <w:gridCol w:w="630"/>
        <w:gridCol w:w="4248"/>
      </w:tblGrid>
      <w:tr w14:paraId="39C7E28C" w14:textId="77777777">
        <w:tblPrEx>
          <w:tblW w:w="0" w:type="auto"/>
          <w:tblLayout w:type="fixed"/>
          <w:tblLook w:val="0000"/>
        </w:tblPrEx>
        <w:tc>
          <w:tcPr>
            <w:tcW w:w="4698" w:type="dxa"/>
          </w:tcPr>
          <w:p w:rsidR="004C2EE3" w14:paraId="73EF489A" w14:textId="77777777">
            <w:pPr>
              <w:tabs>
                <w:tab w:val="center" w:pos="4680"/>
              </w:tabs>
              <w:suppressAutoHyphens/>
              <w:rPr>
                <w:spacing w:val="-2"/>
              </w:rPr>
            </w:pPr>
            <w:r>
              <w:rPr>
                <w:spacing w:val="-2"/>
              </w:rPr>
              <w:t>In the Matter of</w:t>
            </w:r>
          </w:p>
          <w:p w:rsidR="004C2EE3" w14:paraId="3DC11F27" w14:textId="77777777">
            <w:pPr>
              <w:tabs>
                <w:tab w:val="center" w:pos="4680"/>
              </w:tabs>
              <w:suppressAutoHyphens/>
              <w:rPr>
                <w:spacing w:val="-2"/>
              </w:rPr>
            </w:pPr>
          </w:p>
          <w:p w:rsidR="000F1FEC" w:rsidRPr="000F1FEC" w:rsidP="000F1FEC" w14:paraId="2C3468E7" w14:textId="77777777">
            <w:pPr>
              <w:tabs>
                <w:tab w:val="center" w:pos="4680"/>
              </w:tabs>
              <w:suppressAutoHyphens/>
              <w:rPr>
                <w:spacing w:val="-2"/>
              </w:rPr>
            </w:pPr>
            <w:r w:rsidRPr="000F1FEC">
              <w:rPr>
                <w:spacing w:val="-2"/>
              </w:rPr>
              <w:t>Amendment of Section 73.622(</w:t>
            </w:r>
            <w:r w:rsidRPr="000F1FEC">
              <w:rPr>
                <w:spacing w:val="-2"/>
              </w:rPr>
              <w:t>i</w:t>
            </w:r>
            <w:r w:rsidRPr="000F1FEC">
              <w:rPr>
                <w:spacing w:val="-2"/>
              </w:rPr>
              <w:t xml:space="preserve">) </w:t>
            </w:r>
          </w:p>
          <w:p w:rsidR="000F1FEC" w:rsidRPr="000F1FEC" w:rsidP="000F1FEC" w14:paraId="71A9356B" w14:textId="77777777">
            <w:pPr>
              <w:tabs>
                <w:tab w:val="center" w:pos="4680"/>
              </w:tabs>
              <w:suppressAutoHyphens/>
              <w:rPr>
                <w:spacing w:val="-2"/>
              </w:rPr>
            </w:pPr>
            <w:r w:rsidRPr="000F1FEC">
              <w:rPr>
                <w:spacing w:val="-2"/>
              </w:rPr>
              <w:t>Post-Transition Table of DTV Allotments</w:t>
            </w:r>
          </w:p>
          <w:p w:rsidR="000F1FEC" w:rsidRPr="000F1FEC" w:rsidP="000F1FEC" w14:paraId="03733001" w14:textId="77777777">
            <w:pPr>
              <w:tabs>
                <w:tab w:val="center" w:pos="4680"/>
              </w:tabs>
              <w:suppressAutoHyphens/>
              <w:rPr>
                <w:spacing w:val="-2"/>
              </w:rPr>
            </w:pPr>
            <w:r w:rsidRPr="000F1FEC">
              <w:rPr>
                <w:spacing w:val="-2"/>
              </w:rPr>
              <w:t>Television Broadcast Stations</w:t>
            </w:r>
          </w:p>
          <w:p w:rsidR="004C2EE3" w:rsidRPr="007115F7" w:rsidP="000F1FEC" w14:paraId="34D4E187" w14:textId="750539A7">
            <w:pPr>
              <w:tabs>
                <w:tab w:val="center" w:pos="4680"/>
              </w:tabs>
              <w:suppressAutoHyphens/>
              <w:rPr>
                <w:spacing w:val="-2"/>
              </w:rPr>
            </w:pPr>
            <w:r w:rsidRPr="000F1FEC">
              <w:rPr>
                <w:spacing w:val="-2"/>
              </w:rPr>
              <w:t>(Superior and York, Nebraska)</w:t>
            </w:r>
          </w:p>
        </w:tc>
        <w:tc>
          <w:tcPr>
            <w:tcW w:w="630" w:type="dxa"/>
          </w:tcPr>
          <w:p w:rsidR="004C2EE3" w14:paraId="65DCC105" w14:textId="77777777">
            <w:pPr>
              <w:tabs>
                <w:tab w:val="center" w:pos="4680"/>
              </w:tabs>
              <w:suppressAutoHyphens/>
              <w:rPr>
                <w:b/>
                <w:spacing w:val="-2"/>
              </w:rPr>
            </w:pPr>
            <w:r>
              <w:rPr>
                <w:b/>
                <w:spacing w:val="-2"/>
              </w:rPr>
              <w:t>)</w:t>
            </w:r>
          </w:p>
          <w:p w:rsidR="004C2EE3" w14:paraId="60E5D9DF" w14:textId="77777777">
            <w:pPr>
              <w:tabs>
                <w:tab w:val="center" w:pos="4680"/>
              </w:tabs>
              <w:suppressAutoHyphens/>
              <w:rPr>
                <w:b/>
                <w:spacing w:val="-2"/>
              </w:rPr>
            </w:pPr>
            <w:r>
              <w:rPr>
                <w:b/>
                <w:spacing w:val="-2"/>
              </w:rPr>
              <w:t>)</w:t>
            </w:r>
          </w:p>
          <w:p w:rsidR="004C2EE3" w14:paraId="6CE41FEB" w14:textId="77777777">
            <w:pPr>
              <w:tabs>
                <w:tab w:val="center" w:pos="4680"/>
              </w:tabs>
              <w:suppressAutoHyphens/>
              <w:rPr>
                <w:b/>
                <w:spacing w:val="-2"/>
              </w:rPr>
            </w:pPr>
            <w:r>
              <w:rPr>
                <w:b/>
                <w:spacing w:val="-2"/>
              </w:rPr>
              <w:t>)</w:t>
            </w:r>
          </w:p>
          <w:p w:rsidR="004C2EE3" w14:paraId="06A96765" w14:textId="77777777">
            <w:pPr>
              <w:tabs>
                <w:tab w:val="center" w:pos="4680"/>
              </w:tabs>
              <w:suppressAutoHyphens/>
              <w:rPr>
                <w:b/>
                <w:spacing w:val="-2"/>
              </w:rPr>
            </w:pPr>
            <w:r>
              <w:rPr>
                <w:b/>
                <w:spacing w:val="-2"/>
              </w:rPr>
              <w:t>)</w:t>
            </w:r>
          </w:p>
          <w:p w:rsidR="004C2EE3" w14:paraId="2BF04C42" w14:textId="77777777">
            <w:pPr>
              <w:tabs>
                <w:tab w:val="center" w:pos="4680"/>
              </w:tabs>
              <w:suppressAutoHyphens/>
              <w:rPr>
                <w:b/>
                <w:spacing w:val="-2"/>
              </w:rPr>
            </w:pPr>
            <w:r>
              <w:rPr>
                <w:b/>
                <w:spacing w:val="-2"/>
              </w:rPr>
              <w:t>)</w:t>
            </w:r>
          </w:p>
          <w:p w:rsidR="004C2EE3" w:rsidRPr="000F1FEC" w14:paraId="418E526A" w14:textId="49C87B9E">
            <w:pPr>
              <w:tabs>
                <w:tab w:val="center" w:pos="4680"/>
              </w:tabs>
              <w:suppressAutoHyphens/>
              <w:rPr>
                <w:b/>
                <w:spacing w:val="-2"/>
              </w:rPr>
            </w:pPr>
            <w:r>
              <w:rPr>
                <w:b/>
                <w:spacing w:val="-2"/>
              </w:rPr>
              <w:t>)</w:t>
            </w:r>
          </w:p>
        </w:tc>
        <w:tc>
          <w:tcPr>
            <w:tcW w:w="4248" w:type="dxa"/>
          </w:tcPr>
          <w:p w:rsidR="004C2EE3" w14:paraId="0BFC8BF8" w14:textId="77777777">
            <w:pPr>
              <w:tabs>
                <w:tab w:val="center" w:pos="4680"/>
              </w:tabs>
              <w:suppressAutoHyphens/>
              <w:rPr>
                <w:spacing w:val="-2"/>
              </w:rPr>
            </w:pPr>
          </w:p>
          <w:p w:rsidR="004C2EE3" w14:paraId="72926C4D" w14:textId="77777777">
            <w:pPr>
              <w:pStyle w:val="TOAHeading"/>
              <w:tabs>
                <w:tab w:val="center" w:pos="4680"/>
                <w:tab w:val="clear" w:pos="9360"/>
              </w:tabs>
              <w:rPr>
                <w:spacing w:val="-2"/>
              </w:rPr>
            </w:pPr>
          </w:p>
          <w:p w:rsidR="000F1FEC" w:rsidRPr="000F1FEC" w:rsidP="000F1FEC" w14:paraId="4D8C4DBF" w14:textId="50238B8A">
            <w:pPr>
              <w:pStyle w:val="TOAHeading"/>
              <w:tabs>
                <w:tab w:val="center" w:pos="4680"/>
              </w:tabs>
              <w:rPr>
                <w:spacing w:val="-2"/>
              </w:rPr>
            </w:pPr>
            <w:r w:rsidRPr="000F1FEC">
              <w:rPr>
                <w:spacing w:val="-2"/>
              </w:rPr>
              <w:t>MB Docket No. 21-</w:t>
            </w:r>
            <w:r w:rsidR="00E244B6">
              <w:rPr>
                <w:spacing w:val="-2"/>
              </w:rPr>
              <w:t>60</w:t>
            </w:r>
          </w:p>
          <w:p w:rsidR="004C2EE3" w:rsidP="000F1FEC" w14:paraId="7651C38D" w14:textId="6BBA5727">
            <w:pPr>
              <w:tabs>
                <w:tab w:val="center" w:pos="4680"/>
              </w:tabs>
              <w:suppressAutoHyphens/>
              <w:rPr>
                <w:spacing w:val="-2"/>
              </w:rPr>
            </w:pPr>
            <w:r w:rsidRPr="000F1FEC">
              <w:rPr>
                <w:spacing w:val="-2"/>
              </w:rPr>
              <w:t>RM-</w:t>
            </w:r>
            <w:r w:rsidR="00E244B6">
              <w:rPr>
                <w:spacing w:val="-2"/>
              </w:rPr>
              <w:t>11884</w:t>
            </w:r>
          </w:p>
        </w:tc>
      </w:tr>
    </w:tbl>
    <w:p w:rsidR="004C2EE3" w:rsidP="0070224F" w14:paraId="444AE51C" w14:textId="77777777"/>
    <w:p w:rsidR="00841AB1" w:rsidP="00F021FA" w14:paraId="08442B42" w14:textId="1080EF74">
      <w:pPr>
        <w:pStyle w:val="StyleBoldCentered"/>
      </w:pPr>
      <w:r>
        <w:t>notice of proposed rulemaking</w:t>
      </w:r>
    </w:p>
    <w:p w:rsidR="004C2EE3" w14:paraId="3A3C2C6A" w14:textId="77777777">
      <w:pPr>
        <w:tabs>
          <w:tab w:val="left" w:pos="-720"/>
        </w:tabs>
        <w:suppressAutoHyphens/>
        <w:spacing w:line="227" w:lineRule="auto"/>
        <w:rPr>
          <w:spacing w:val="-2"/>
        </w:rPr>
      </w:pPr>
    </w:p>
    <w:p w:rsidR="004C2EE3" w:rsidP="00133F79" w14:paraId="3180A325" w14:textId="350F7808">
      <w:pPr>
        <w:tabs>
          <w:tab w:val="left" w:pos="720"/>
          <w:tab w:val="right" w:pos="9360"/>
        </w:tabs>
        <w:suppressAutoHyphens/>
        <w:spacing w:line="227" w:lineRule="auto"/>
        <w:rPr>
          <w:spacing w:val="-2"/>
        </w:rPr>
      </w:pPr>
      <w:r>
        <w:rPr>
          <w:b/>
          <w:spacing w:val="-2"/>
        </w:rPr>
        <w:t xml:space="preserve">Adopted:  </w:t>
      </w:r>
      <w:r w:rsidR="00753D62">
        <w:rPr>
          <w:b/>
          <w:spacing w:val="-2"/>
        </w:rPr>
        <w:t>February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3D62">
        <w:rPr>
          <w:b/>
          <w:spacing w:val="-2"/>
        </w:rPr>
        <w:t>February 22, 2021</w:t>
      </w:r>
    </w:p>
    <w:p w:rsidR="00822CE0" w14:paraId="2EFF849B" w14:textId="31AF2580"/>
    <w:p w:rsidR="000F1FEC" w:rsidP="000F1FEC" w14:paraId="1F8315A8" w14:textId="77777777">
      <w:r>
        <w:t xml:space="preserve">Comment Date: </w:t>
      </w:r>
      <w:r w:rsidRPr="00E13606">
        <w:t>[30 days after date of publication in the Federal Register]</w:t>
      </w:r>
    </w:p>
    <w:p w:rsidR="000F1FEC" w:rsidP="000F1FEC" w14:paraId="02E282C9" w14:textId="77777777">
      <w:r>
        <w:t>Reply Comment Date: [45 days after date of publication in the Federal Register]</w:t>
      </w:r>
    </w:p>
    <w:p w:rsidR="000F1FEC" w14:paraId="273E63B0" w14:textId="77777777"/>
    <w:p w:rsidR="004C2EE3" w14:paraId="1B8EF0B3" w14:textId="4789E1B5">
      <w:pPr>
        <w:rPr>
          <w:spacing w:val="-2"/>
        </w:rPr>
      </w:pPr>
      <w:r>
        <w:t xml:space="preserve">By </w:t>
      </w:r>
      <w:r w:rsidR="004E4A22">
        <w:t>the</w:t>
      </w:r>
      <w:r w:rsidR="002A2D2E">
        <w:t xml:space="preserve"> </w:t>
      </w:r>
      <w:r w:rsidRPr="00F555E0" w:rsidR="000F1FEC">
        <w:rPr>
          <w:spacing w:val="-2"/>
        </w:rPr>
        <w:t xml:space="preserve">Chief, Video Division, Media </w:t>
      </w:r>
      <w:r w:rsidR="00105057">
        <w:t>Bureau</w:t>
      </w:r>
      <w:r>
        <w:rPr>
          <w:spacing w:val="-2"/>
        </w:rPr>
        <w:t>:</w:t>
      </w:r>
    </w:p>
    <w:p w:rsidR="00822CE0" w:rsidP="000F1FEC" w14:paraId="55B4B3F4" w14:textId="77777777">
      <w:pPr>
        <w:rPr>
          <w:spacing w:val="-2"/>
        </w:rPr>
      </w:pPr>
    </w:p>
    <w:p w:rsidR="000F1FEC" w:rsidP="00AF5744" w14:paraId="4A1361E7" w14:textId="77777777">
      <w:pPr>
        <w:pStyle w:val="Heading1"/>
        <w:keepNext w:val="0"/>
        <w:suppressAutoHyphens w:val="0"/>
      </w:pPr>
      <w:r>
        <w:t>INTRODUCTION</w:t>
      </w:r>
    </w:p>
    <w:p w:rsidR="000F1FEC" w:rsidP="00AF5744" w14:paraId="649FA4F2" w14:textId="589C020A">
      <w:pPr>
        <w:pStyle w:val="ParaNum"/>
        <w:tabs>
          <w:tab w:val="clear" w:pos="1440"/>
        </w:tabs>
      </w:pPr>
      <w:r>
        <w:t>The Video Division (Division)</w:t>
      </w:r>
      <w:r>
        <w:rPr>
          <w:spacing w:val="-3"/>
          <w:szCs w:val="22"/>
        </w:rPr>
        <w:t xml:space="preserve"> has before it a petition for rulemaking filed by Gray Television Licensee, LLC (Gray or Licensee), the licensee of KSNB-TV, channel 4 (NBC/</w:t>
      </w:r>
      <w:r>
        <w:rPr>
          <w:spacing w:val="-3"/>
          <w:szCs w:val="22"/>
        </w:rPr>
        <w:t>MyNetwork</w:t>
      </w:r>
      <w:r>
        <w:rPr>
          <w:spacing w:val="-3"/>
          <w:szCs w:val="22"/>
        </w:rPr>
        <w:t>), Superior, Nebraska.</w:t>
      </w:r>
      <w:r>
        <w:rPr>
          <w:rStyle w:val="FootnoteReference"/>
          <w:spacing w:val="-3"/>
          <w:szCs w:val="22"/>
        </w:rPr>
        <w:footnoteReference w:id="3"/>
      </w:r>
      <w:r>
        <w:rPr>
          <w:spacing w:val="-3"/>
          <w:szCs w:val="22"/>
        </w:rPr>
        <w:t xml:space="preserve">  Gray requests that the Commission (1) delete channel 4 from Superior and allot it to York, Nebraska, in the DTV Table of Allotments</w:t>
      </w:r>
      <w:r>
        <w:rPr>
          <w:rStyle w:val="FootnoteReference"/>
          <w:spacing w:val="-3"/>
          <w:szCs w:val="22"/>
        </w:rPr>
        <w:footnoteReference w:id="4"/>
      </w:r>
      <w:r>
        <w:rPr>
          <w:spacing w:val="-3"/>
          <w:szCs w:val="22"/>
        </w:rPr>
        <w:t xml:space="preserve"> and (2) substitute channel 24 for channel 4 at York in the Table consistent with the technical parameters set forth in the Amended Petition. </w:t>
      </w:r>
      <w:r>
        <w:rPr>
          <w:b/>
          <w:spacing w:val="-3"/>
          <w:szCs w:val="22"/>
        </w:rPr>
        <w:t xml:space="preserve"> </w:t>
      </w:r>
      <w:r w:rsidRPr="00EC5169">
        <w:rPr>
          <w:spacing w:val="-3"/>
          <w:szCs w:val="22"/>
        </w:rPr>
        <w:t>The</w:t>
      </w:r>
      <w:r>
        <w:rPr>
          <w:spacing w:val="-3"/>
          <w:szCs w:val="22"/>
        </w:rPr>
        <w:t xml:space="preserve"> Media Bureau (Bureau)</w:t>
      </w:r>
      <w:r w:rsidRPr="00EC5169">
        <w:rPr>
          <w:spacing w:val="-3"/>
          <w:szCs w:val="22"/>
        </w:rPr>
        <w:t xml:space="preserve"> </w:t>
      </w:r>
      <w:r>
        <w:rPr>
          <w:spacing w:val="-3"/>
          <w:szCs w:val="22"/>
        </w:rPr>
        <w:t xml:space="preserve">previously </w:t>
      </w:r>
      <w:r w:rsidRPr="00EC5169">
        <w:rPr>
          <w:spacing w:val="-3"/>
          <w:szCs w:val="22"/>
        </w:rPr>
        <w:t>instituted a freeze on the acceptance of rulemaking petitions by full power television stations requesting channel substitutions,</w:t>
      </w:r>
      <w:r>
        <w:rPr>
          <w:rStyle w:val="FootnoteReference"/>
          <w:spacing w:val="-3"/>
          <w:szCs w:val="22"/>
        </w:rPr>
        <w:footnoteReference w:id="5"/>
      </w:r>
      <w:r w:rsidRPr="00EC5169">
        <w:rPr>
          <w:spacing w:val="-3"/>
          <w:szCs w:val="22"/>
        </w:rPr>
        <w:t xml:space="preserve"> </w:t>
      </w:r>
      <w:r>
        <w:rPr>
          <w:spacing w:val="-3"/>
          <w:szCs w:val="22"/>
        </w:rPr>
        <w:t>and continued a freeze on rulemaking petitions for changes of community of license that required a change in technical facilities.</w:t>
      </w:r>
      <w:r>
        <w:rPr>
          <w:rStyle w:val="FootnoteReference"/>
          <w:spacing w:val="-3"/>
          <w:szCs w:val="22"/>
        </w:rPr>
        <w:footnoteReference w:id="6"/>
      </w:r>
      <w:r>
        <w:rPr>
          <w:spacing w:val="-3"/>
          <w:szCs w:val="22"/>
        </w:rPr>
        <w:t xml:space="preserve"> </w:t>
      </w:r>
      <w:r w:rsidRPr="00EC5169">
        <w:rPr>
          <w:spacing w:val="-3"/>
          <w:szCs w:val="22"/>
        </w:rPr>
        <w:t xml:space="preserve"> </w:t>
      </w:r>
      <w:r>
        <w:rPr>
          <w:spacing w:val="-3"/>
          <w:szCs w:val="22"/>
        </w:rPr>
        <w:t>Gray</w:t>
      </w:r>
      <w:r w:rsidRPr="00EC5169">
        <w:rPr>
          <w:spacing w:val="-3"/>
          <w:szCs w:val="22"/>
        </w:rPr>
        <w:t xml:space="preserve"> asks that the Commission waive th</w:t>
      </w:r>
      <w:r>
        <w:rPr>
          <w:spacing w:val="-3"/>
          <w:szCs w:val="22"/>
        </w:rPr>
        <w:t>ese</w:t>
      </w:r>
      <w:r w:rsidRPr="00EC5169">
        <w:rPr>
          <w:spacing w:val="-3"/>
          <w:szCs w:val="22"/>
        </w:rPr>
        <w:t xml:space="preserve"> freeze</w:t>
      </w:r>
      <w:r>
        <w:rPr>
          <w:spacing w:val="-3"/>
          <w:szCs w:val="22"/>
        </w:rPr>
        <w:t>s</w:t>
      </w:r>
      <w:r w:rsidRPr="00EC5169">
        <w:rPr>
          <w:spacing w:val="-3"/>
          <w:szCs w:val="22"/>
        </w:rPr>
        <w:t xml:space="preserve"> to permit </w:t>
      </w:r>
      <w:r>
        <w:rPr>
          <w:spacing w:val="-3"/>
          <w:szCs w:val="22"/>
        </w:rPr>
        <w:t>KSNB-TV</w:t>
      </w:r>
      <w:r w:rsidRPr="00EC5169">
        <w:rPr>
          <w:spacing w:val="-3"/>
          <w:szCs w:val="22"/>
        </w:rPr>
        <w:t xml:space="preserve"> to </w:t>
      </w:r>
      <w:r>
        <w:rPr>
          <w:spacing w:val="-3"/>
          <w:szCs w:val="22"/>
        </w:rPr>
        <w:t>change from a VHF to a UHF channel and to move KSNB-TV’s facilities to a different tower in order to</w:t>
      </w:r>
      <w:r w:rsidRPr="00EC5169">
        <w:rPr>
          <w:spacing w:val="-3"/>
          <w:szCs w:val="22"/>
        </w:rPr>
        <w:t xml:space="preserve"> better serve</w:t>
      </w:r>
      <w:r>
        <w:rPr>
          <w:spacing w:val="-3"/>
          <w:szCs w:val="22"/>
        </w:rPr>
        <w:t xml:space="preserve"> its over-the-air</w:t>
      </w:r>
      <w:r w:rsidRPr="00EC5169">
        <w:rPr>
          <w:spacing w:val="-3"/>
          <w:szCs w:val="22"/>
        </w:rPr>
        <w:t xml:space="preserve"> viewers.</w:t>
      </w:r>
      <w:r>
        <w:rPr>
          <w:rStyle w:val="FootnoteReference"/>
          <w:spacing w:val="-3"/>
          <w:szCs w:val="22"/>
        </w:rPr>
        <w:footnoteReference w:id="7"/>
      </w:r>
      <w:r>
        <w:rPr>
          <w:spacing w:val="-3"/>
          <w:szCs w:val="22"/>
        </w:rPr>
        <w:t xml:space="preserve">  Because the Bureau has since </w:t>
      </w:r>
      <w:r>
        <w:rPr>
          <w:spacing w:val="-3"/>
          <w:szCs w:val="22"/>
        </w:rPr>
        <w:t>lifted these freezes,</w:t>
      </w:r>
      <w:r>
        <w:rPr>
          <w:rStyle w:val="FootnoteReference"/>
          <w:spacing w:val="-3"/>
          <w:szCs w:val="22"/>
        </w:rPr>
        <w:footnoteReference w:id="8"/>
      </w:r>
      <w:r>
        <w:rPr>
          <w:spacing w:val="-3"/>
          <w:szCs w:val="22"/>
        </w:rPr>
        <w:t xml:space="preserve"> we do not need to consider waiving them in connection with Gray’s rulemaking petition. </w:t>
      </w:r>
      <w:r>
        <w:t xml:space="preserve"> As discussed below, however, because Gray’s proposal that the Division allot channel 24 to York is not mutually exclusive with its existing channel 4 allotment at Superior, and would result in removal of Superior’s sole local transmission outlet, we must consider a waiver of section 1.420(</w:t>
      </w:r>
      <w:r>
        <w:t>i</w:t>
      </w:r>
      <w:r>
        <w:t>) of the Commission’s rules and allotment policies.  We seek comment on our proposals to grant such waivers and adopt Gray’s proposed changes to the DTV Table of Allotments.</w:t>
      </w:r>
      <w:r>
        <w:rPr>
          <w:rStyle w:val="FootnoteReference"/>
        </w:rPr>
        <w:footnoteReference w:id="9"/>
      </w:r>
    </w:p>
    <w:p w:rsidR="000F1FEC" w:rsidP="00AF5744" w14:paraId="5B87C36F" w14:textId="77777777">
      <w:pPr>
        <w:pStyle w:val="Heading1"/>
        <w:keepNext w:val="0"/>
        <w:suppressAutoHyphens w:val="0"/>
      </w:pPr>
      <w:r>
        <w:t>BACKGROUND</w:t>
      </w:r>
    </w:p>
    <w:p w:rsidR="000F1FEC" w:rsidP="00AF5744" w14:paraId="02616C45" w14:textId="77777777">
      <w:pPr>
        <w:pStyle w:val="ParaNum"/>
      </w:pPr>
      <w:bookmarkStart w:id="0" w:name="_Hlk501539640"/>
      <w:r>
        <w:t>In addition to KSNB-TV, Gray is the licensee of KOLN (CBS/NBC), Lincoln, Nebraska, and states that its rulemaking petition “is part of a coordinated effort by Gray to improve service to viewers in the Lincoln &amp; Hastings-Kearney designated market area . . ..”</w:t>
      </w:r>
      <w:r>
        <w:rPr>
          <w:rStyle w:val="FootnoteReference"/>
        </w:rPr>
        <w:footnoteReference w:id="10"/>
      </w:r>
      <w:r>
        <w:t xml:space="preserve">  The collapse of KOLN’s 1,500-foot tower during an ice storm in 2020 necessitated rebuilding KOLN’s technical facilities,</w:t>
      </w:r>
      <w:r>
        <w:rPr>
          <w:rStyle w:val="FootnoteReference"/>
        </w:rPr>
        <w:footnoteReference w:id="11"/>
      </w:r>
      <w:r>
        <w:t xml:space="preserve"> and according to Gray, given “the imminent failure of KSNB’s existing technical facility,”</w:t>
      </w:r>
      <w:r>
        <w:rPr>
          <w:rStyle w:val="FootnoteReference"/>
        </w:rPr>
        <w:footnoteReference w:id="12"/>
      </w:r>
      <w:r>
        <w:t xml:space="preserve"> rebuilding KSNB-TV on channel 24 at the new KOLN tower will not only resolve VHF-related reception issues in certain areas of KSNB-TV’s current predicted service area, but will also save several hundred thousand dollars in construction costs.</w:t>
      </w:r>
      <w:r>
        <w:rPr>
          <w:rStyle w:val="FootnoteReference"/>
        </w:rPr>
        <w:footnoteReference w:id="13"/>
      </w:r>
      <w:r>
        <w:t xml:space="preserve"> </w:t>
      </w:r>
    </w:p>
    <w:p w:rsidR="000F1FEC" w:rsidP="00AF5744" w14:paraId="6E83389A" w14:textId="77CF535C">
      <w:pPr>
        <w:pStyle w:val="ParaNum"/>
        <w:widowControl/>
      </w:pPr>
      <w:r w:rsidRPr="00CF1CDF">
        <w:rPr>
          <w:i/>
          <w:iCs/>
        </w:rPr>
        <w:t>Proposed Change of Community of License</w:t>
      </w:r>
      <w:r>
        <w:t xml:space="preserve">.  A change in community of license for KSNB-TV is necessary because Gray’s proposed operation on channel 24 at the authorized KOLN tower (a relocation of 23.5 km) cannot provide the required 48 </w:t>
      </w:r>
      <w:r>
        <w:t>dBu</w:t>
      </w:r>
      <w:r>
        <w:t xml:space="preserve"> principal city signal to Superior.</w:t>
      </w:r>
      <w:r>
        <w:rPr>
          <w:rStyle w:val="FootnoteReference"/>
        </w:rPr>
        <w:footnoteReference w:id="14"/>
      </w:r>
      <w:r>
        <w:t xml:space="preserve">  Gray states that York (population 7,869), the county seat of York County, qualifies as a community for allotment purposes.</w:t>
      </w:r>
      <w:r>
        <w:rPr>
          <w:rStyle w:val="FootnoteReference"/>
        </w:rPr>
        <w:footnoteReference w:id="15"/>
      </w:r>
      <w:r>
        <w:t xml:space="preserve">  York currently has no local television allotment, and as the largest community in York County, is the hub of economic activity for the area.</w:t>
      </w:r>
      <w:r>
        <w:rPr>
          <w:rStyle w:val="FootnoteReference"/>
        </w:rPr>
        <w:footnoteReference w:id="16"/>
      </w:r>
      <w:r>
        <w:t xml:space="preserve">  According to Gray, almost 70 percent of York residents work in York and businesses include an ethanol plant, an aerospace component manufacturer, and companies which trade both domestically and internationally.</w:t>
      </w:r>
      <w:r>
        <w:rPr>
          <w:rStyle w:val="FootnoteReference"/>
        </w:rPr>
        <w:footnoteReference w:id="17"/>
      </w:r>
      <w:r>
        <w:t xml:space="preserve">  Gray further states that York is known as an area educational center, as the home of York College, three large public schools, three parochial grade schools, and two alternative programs for youth and developmentally challenged </w:t>
      </w:r>
      <w:r>
        <w:t>individuals.  York also has a panoply of health care facilities.</w:t>
      </w:r>
      <w:r>
        <w:rPr>
          <w:rStyle w:val="FootnoteReference"/>
        </w:rPr>
        <w:footnoteReference w:id="18"/>
      </w:r>
      <w:r>
        <w:t xml:space="preserve">  Finally, York has a fully autonomous municipal government with a mayor, city council, and professional police, fire, and parks departments.</w:t>
      </w:r>
      <w:r>
        <w:rPr>
          <w:rStyle w:val="FootnoteReference"/>
        </w:rPr>
        <w:footnoteReference w:id="19"/>
      </w:r>
    </w:p>
    <w:p w:rsidR="000F1FEC" w:rsidP="00AF5744" w14:paraId="3B1F6C3A" w14:textId="67BDF2B8">
      <w:pPr>
        <w:pStyle w:val="ParaNum"/>
        <w:tabs>
          <w:tab w:val="num" w:pos="1080"/>
          <w:tab w:val="clear" w:pos="1440"/>
        </w:tabs>
      </w:pPr>
      <w:r>
        <w:t xml:space="preserve">    Gray asserts that its proposed change of community of license represents a preferential arrangement of allotments under the Commission’s second allotment priority because it will result in a first local television station for York.</w:t>
      </w:r>
      <w:r>
        <w:rPr>
          <w:rStyle w:val="FootnoteReference"/>
        </w:rPr>
        <w:footnoteReference w:id="20"/>
      </w:r>
      <w:r>
        <w:t xml:space="preserve">  While Superior would lose its only local television station, Gray states that York is more deserving of an allotment.  According to Gray, Superior has a population of just 1,929 and given its small size, offers only limited community services compared to those offered in York.</w:t>
      </w:r>
      <w:r>
        <w:rPr>
          <w:rStyle w:val="FootnoteReference"/>
        </w:rPr>
        <w:footnoteReference w:id="21"/>
      </w:r>
      <w:r>
        <w:t xml:space="preserve">  In addition, Superior is served by a school district that covers a 262 square mile area of Nuckolls, Webster, and Thayer counties with a single elementary school and a combined middle/high school.  Further, unlike in York, only 31.5 percent of Superior’s residents work in Superior, which has limited employment opportunities.</w:t>
      </w:r>
      <w:r>
        <w:rPr>
          <w:rStyle w:val="FootnoteReference"/>
        </w:rPr>
        <w:footnoteReference w:id="22"/>
      </w:r>
      <w:r>
        <w:t xml:space="preserve"> </w:t>
      </w:r>
    </w:p>
    <w:p w:rsidR="000F1FEC" w:rsidRPr="00721E22" w:rsidP="00AF5744" w14:paraId="3F87B66D" w14:textId="5F5F1E71">
      <w:pPr>
        <w:pStyle w:val="ParaNum"/>
        <w:tabs>
          <w:tab w:val="num" w:pos="1080"/>
          <w:tab w:val="clear" w:pos="1440"/>
        </w:tabs>
      </w:pPr>
      <w:r>
        <w:rPr>
          <w:i/>
          <w:iCs/>
          <w:szCs w:val="22"/>
        </w:rPr>
        <w:t xml:space="preserve">   </w:t>
      </w:r>
      <w:r w:rsidRPr="003A3E8C">
        <w:rPr>
          <w:i/>
          <w:iCs/>
          <w:szCs w:val="22"/>
        </w:rPr>
        <w:t>Proposed Channel Substitution</w:t>
      </w:r>
      <w:r>
        <w:rPr>
          <w:szCs w:val="22"/>
        </w:rPr>
        <w:t xml:space="preserve">.  </w:t>
      </w:r>
      <w:r w:rsidRPr="00711648">
        <w:rPr>
          <w:szCs w:val="22"/>
        </w:rPr>
        <w:t xml:space="preserve">Gray </w:t>
      </w:r>
      <w:r>
        <w:rPr>
          <w:snapToGrid/>
          <w:kern w:val="0"/>
          <w:szCs w:val="22"/>
        </w:rPr>
        <w:t>states the public interest would be served by substituting channel 24 for channel 4.  According to Gray,</w:t>
      </w:r>
      <w:r w:rsidRPr="00711648">
        <w:rPr>
          <w:i/>
          <w:iCs/>
          <w:snapToGrid/>
          <w:kern w:val="0"/>
          <w:szCs w:val="22"/>
        </w:rPr>
        <w:t xml:space="preserve"> </w:t>
      </w:r>
      <w:r>
        <w:rPr>
          <w:snapToGrid/>
          <w:kern w:val="0"/>
          <w:szCs w:val="22"/>
        </w:rPr>
        <w:t>p</w:t>
      </w:r>
      <w:r w:rsidRPr="00711648">
        <w:rPr>
          <w:snapToGrid/>
          <w:kern w:val="0"/>
          <w:szCs w:val="22"/>
        </w:rPr>
        <w:t xml:space="preserve">roblems with digital </w:t>
      </w:r>
      <w:r>
        <w:rPr>
          <w:snapToGrid/>
          <w:kern w:val="0"/>
          <w:szCs w:val="22"/>
        </w:rPr>
        <w:t>l</w:t>
      </w:r>
      <w:r w:rsidRPr="00711648">
        <w:rPr>
          <w:snapToGrid/>
          <w:kern w:val="0"/>
          <w:szCs w:val="22"/>
        </w:rPr>
        <w:t>ow-</w:t>
      </w:r>
      <w:r>
        <w:rPr>
          <w:snapToGrid/>
          <w:kern w:val="0"/>
          <w:szCs w:val="22"/>
        </w:rPr>
        <w:t>b</w:t>
      </w:r>
      <w:r w:rsidRPr="00711648">
        <w:rPr>
          <w:snapToGrid/>
          <w:kern w:val="0"/>
          <w:szCs w:val="22"/>
        </w:rPr>
        <w:t>and VHF reception by stations in many markets</w:t>
      </w:r>
      <w:r w:rsidRPr="00711648">
        <w:rPr>
          <w:szCs w:val="22"/>
        </w:rPr>
        <w:t xml:space="preserve"> </w:t>
      </w:r>
      <w:r>
        <w:rPr>
          <w:snapToGrid/>
          <w:kern w:val="0"/>
          <w:szCs w:val="22"/>
        </w:rPr>
        <w:t>has been</w:t>
      </w:r>
      <w:r w:rsidRPr="00711648">
        <w:rPr>
          <w:snapToGrid/>
          <w:kern w:val="0"/>
          <w:szCs w:val="22"/>
        </w:rPr>
        <w:t xml:space="preserve"> widely publicized since the 2009 digital transition date</w:t>
      </w:r>
      <w:r>
        <w:rPr>
          <w:snapToGrid/>
          <w:kern w:val="0"/>
          <w:szCs w:val="22"/>
        </w:rPr>
        <w:t>,</w:t>
      </w:r>
      <w:r>
        <w:rPr>
          <w:rStyle w:val="FootnoteReference"/>
          <w:snapToGrid/>
          <w:kern w:val="0"/>
          <w:szCs w:val="22"/>
        </w:rPr>
        <w:footnoteReference w:id="23"/>
      </w:r>
      <w:r>
        <w:rPr>
          <w:snapToGrid/>
          <w:kern w:val="0"/>
          <w:szCs w:val="22"/>
        </w:rPr>
        <w:t xml:space="preserve"> and since acquiring KSNB-TV, Gray</w:t>
      </w:r>
      <w:r w:rsidRPr="00711648">
        <w:rPr>
          <w:snapToGrid/>
          <w:kern w:val="0"/>
          <w:szCs w:val="22"/>
        </w:rPr>
        <w:t xml:space="preserve"> has determined that many viewers experience significant difficulty in receiving </w:t>
      </w:r>
      <w:r>
        <w:rPr>
          <w:snapToGrid/>
          <w:kern w:val="0"/>
          <w:szCs w:val="22"/>
        </w:rPr>
        <w:t>the station</w:t>
      </w:r>
      <w:r w:rsidRPr="00711648">
        <w:rPr>
          <w:snapToGrid/>
          <w:kern w:val="0"/>
          <w:szCs w:val="22"/>
        </w:rPr>
        <w:t>’s signal</w:t>
      </w:r>
      <w:r>
        <w:rPr>
          <w:snapToGrid/>
          <w:kern w:val="0"/>
          <w:szCs w:val="22"/>
        </w:rPr>
        <w:t xml:space="preserve">.  </w:t>
      </w:r>
      <w:r w:rsidR="0063074E">
        <w:rPr>
          <w:snapToGrid/>
          <w:kern w:val="0"/>
          <w:szCs w:val="22"/>
        </w:rPr>
        <w:t>As noted by Gray “[a]</w:t>
      </w:r>
      <w:r w:rsidR="0063074E">
        <w:rPr>
          <w:snapToGrid/>
          <w:kern w:val="0"/>
          <w:szCs w:val="22"/>
        </w:rPr>
        <w:t>lthough</w:t>
      </w:r>
      <w:r w:rsidR="0063074E">
        <w:rPr>
          <w:snapToGrid/>
          <w:kern w:val="0"/>
          <w:szCs w:val="22"/>
        </w:rPr>
        <w:t xml:space="preserve"> the FCC’s </w:t>
      </w:r>
      <w:r>
        <w:rPr>
          <w:snapToGrid/>
          <w:kern w:val="0"/>
          <w:szCs w:val="22"/>
        </w:rPr>
        <w:t xml:space="preserve">low VHF propagation models predict that viewers can receive a 28 </w:t>
      </w:r>
      <w:r>
        <w:rPr>
          <w:snapToGrid/>
          <w:kern w:val="0"/>
          <w:szCs w:val="22"/>
        </w:rPr>
        <w:t>dBu</w:t>
      </w:r>
      <w:r>
        <w:rPr>
          <w:snapToGrid/>
          <w:kern w:val="0"/>
          <w:szCs w:val="22"/>
        </w:rPr>
        <w:t xml:space="preserve"> signal from KSNB well west of Hastings and east of Nebraska City, in practice viewers in Superior and other locations within KSNB’s predicted contour are unable to receive a reliable over-the-air signal, particularly when using indoor antennas.”</w:t>
      </w:r>
      <w:r>
        <w:rPr>
          <w:rStyle w:val="FootnoteReference"/>
        </w:rPr>
        <w:footnoteReference w:id="24"/>
      </w:r>
      <w:r w:rsidR="0063074E">
        <w:rPr>
          <w:snapToGrid/>
          <w:kern w:val="0"/>
          <w:szCs w:val="22"/>
        </w:rPr>
        <w:t xml:space="preserve">  As a result, Gray concludes that by moving from channel 4 to channel 24 will enable KSNB “to deliver a more reliable over-the-air signal to viewers throughout its coverage area.”</w:t>
      </w:r>
      <w:r>
        <w:rPr>
          <w:rStyle w:val="FootnoteReference"/>
          <w:snapToGrid/>
          <w:kern w:val="0"/>
          <w:szCs w:val="22"/>
        </w:rPr>
        <w:footnoteReference w:id="25"/>
      </w:r>
      <w:r w:rsidR="0063074E">
        <w:rPr>
          <w:snapToGrid/>
          <w:kern w:val="0"/>
          <w:szCs w:val="22"/>
        </w:rPr>
        <w:t xml:space="preserve"> </w:t>
      </w:r>
    </w:p>
    <w:p w:rsidR="000F1FEC" w:rsidP="00AF5744" w14:paraId="546E46C4" w14:textId="5F1FBF99">
      <w:pPr>
        <w:pStyle w:val="ParaNum"/>
        <w:tabs>
          <w:tab w:val="num" w:pos="1080"/>
          <w:tab w:val="clear" w:pos="1440"/>
        </w:tabs>
      </w:pPr>
      <w:r>
        <w:rPr>
          <w:szCs w:val="22"/>
        </w:rPr>
        <w:t xml:space="preserve">  Gray’s proposal to change channel and relocate to the KOLN tower would result in some predicted loss of service to 8,920 persons, including a loss of first television service to 14 persons and second television service to 523 persons.</w:t>
      </w:r>
      <w:r>
        <w:rPr>
          <w:rStyle w:val="FootnoteReference"/>
          <w:szCs w:val="22"/>
        </w:rPr>
        <w:footnoteReference w:id="26"/>
      </w:r>
      <w:r>
        <w:rPr>
          <w:szCs w:val="22"/>
        </w:rPr>
        <w:t xml:space="preserve">  According to Gray, however, taking into account both KSNB-TV’s proposal and KOLN’s authorized expanded contours, most of the loss area will continue to receive four or more television services, and there will be an overall gain of 202,654 persons, including a first local service for 150 persons, an additional second service to 4,816 persons, and an additional third service to 5,860 persons.</w:t>
      </w:r>
      <w:r>
        <w:rPr>
          <w:rStyle w:val="FootnoteReference"/>
          <w:szCs w:val="22"/>
        </w:rPr>
        <w:footnoteReference w:id="27"/>
      </w:r>
    </w:p>
    <w:p w:rsidR="000F1FEC" w:rsidP="00AF5744" w14:paraId="259DBEDF" w14:textId="77777777">
      <w:pPr>
        <w:pStyle w:val="Heading1"/>
        <w:keepNext w:val="0"/>
        <w:suppressAutoHyphens w:val="0"/>
      </w:pPr>
      <w:r>
        <w:t>DISCUSSION</w:t>
      </w:r>
    </w:p>
    <w:p w:rsidR="000F1FEC" w:rsidP="00AF5744" w14:paraId="2FB0398B" w14:textId="77777777">
      <w:pPr>
        <w:pStyle w:val="ParaNum"/>
      </w:pPr>
      <w:bookmarkStart w:id="1" w:name="_Hlk506449115"/>
      <w:r>
        <w:t>Section 1.420(</w:t>
      </w:r>
      <w:r>
        <w:t>i</w:t>
      </w:r>
      <w:r>
        <w:t xml:space="preserve">) of the rules provides that the Commission, during a rulemaking proceeding to amend the Table of Allotments, may modify a station’s license to specify a new community of license without affording other interested parties an opportunity to file competing expressions of </w:t>
      </w:r>
      <w:r>
        <w:t>interest.</w:t>
      </w:r>
      <w:r>
        <w:rPr>
          <w:rStyle w:val="FootnoteReference"/>
        </w:rPr>
        <w:footnoteReference w:id="28"/>
      </w:r>
      <w:r>
        <w:t xml:space="preserve">  The Commission will apply this procedure in the limited circumstances in which: (1)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w:t>
      </w:r>
      <w:r>
        <w:rPr>
          <w:rStyle w:val="FootnoteReference"/>
        </w:rPr>
        <w:footnoteReference w:id="29"/>
      </w:r>
      <w:r>
        <w:t xml:space="preserve">  Generally, the Commission believes that its prohibition on the removal of a community’s first local service is justified because such removal is presumptively inconsistent with the public interest.</w:t>
      </w:r>
      <w:r>
        <w:rPr>
          <w:rStyle w:val="FootnoteReference"/>
        </w:rPr>
        <w:footnoteReference w:id="30"/>
      </w:r>
      <w:r>
        <w:t xml:space="preserve">  The Commission, however, will entertain a request to waive its general prohibition on the removal of a community’s sole first local service in the rare circumstance where such a removal might serve the public interest, for example, providing a first reception service to a significantly sized population.</w:t>
      </w:r>
      <w:r>
        <w:rPr>
          <w:rStyle w:val="FootnoteReference"/>
        </w:rPr>
        <w:footnoteReference w:id="31"/>
      </w:r>
    </w:p>
    <w:p w:rsidR="000F1FEC" w:rsidP="00AF5744" w14:paraId="169C5CBF" w14:textId="77777777">
      <w:pPr>
        <w:pStyle w:val="ParaNum"/>
      </w:pPr>
      <w:r>
        <w:t xml:space="preserve"> </w:t>
      </w:r>
      <w:r w:rsidRPr="00762A73">
        <w:t>The Commission determines a preferential arrangement of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w:t>
      </w:r>
      <w:r>
        <w:rPr>
          <w:rStyle w:val="FootnoteReference"/>
        </w:rPr>
        <w:footnoteReference w:id="32"/>
      </w:r>
    </w:p>
    <w:p w:rsidR="000F1FEC" w:rsidP="00AF5744" w14:paraId="079EB74C" w14:textId="77777777">
      <w:pPr>
        <w:pStyle w:val="ParaNum"/>
      </w:pPr>
      <w:r>
        <w:t xml:space="preserve">Gray does not dispute that its proposal would remove the sole local transmission outlet, and thus requires a waiver of the Commission’s policy that doing so is </w:t>
      </w:r>
      <w:r w:rsidRPr="00CD41F5">
        <w:rPr>
          <w:i/>
          <w:iCs/>
        </w:rPr>
        <w:t>prima facie</w:t>
      </w:r>
      <w:r>
        <w:t xml:space="preserve"> inconsistent with the public interest.  We also conclude that we must consider a waiver of section 1.420(</w:t>
      </w:r>
      <w:r>
        <w:t>i</w:t>
      </w:r>
      <w:r>
        <w:t>) of the Commission’s rules and allotment policies, which provide that the Commission may modify a station’s community of license, without affording competing expressions of interest, where the amended allotment would be mutually exclusive with the licensee’s present allotment.  We disagree with Gray’s assertion that the channel 24 proposal set forth in its Amended Petition complies with section 1.420(</w:t>
      </w:r>
      <w:r>
        <w:t>i</w:t>
      </w:r>
      <w:r>
        <w:t>) because KSNB-TV currently provides principal community coverage to York with channel 4.</w:t>
      </w:r>
      <w:r>
        <w:rPr>
          <w:rStyle w:val="FootnoteReference"/>
        </w:rPr>
        <w:footnoteReference w:id="33"/>
      </w:r>
      <w:r>
        <w:t xml:space="preserve">   Because KSNB-TV could continue to operate on channel 4 at Superior, and another full power facility could be operated on channel 24 pursuant to the technical parameters set forth in the Amended Petition, the channel 24 proposal is not mutually exclusive with the present channel 4 allotment.  We also disagree that section 1.420(</w:t>
      </w:r>
      <w:r>
        <w:t>i</w:t>
      </w:r>
      <w:r>
        <w:t>) does not apply to changes in the DTV Table of Allotments because it only refers to the now obsolete analog Table of Allotments that was contained in section 73.606 of the rules.</w:t>
      </w:r>
      <w:r>
        <w:rPr>
          <w:rStyle w:val="FootnoteReference"/>
        </w:rPr>
        <w:footnoteReference w:id="34"/>
      </w:r>
      <w:r>
        <w:t xml:space="preserve">  Section 73.606 specifically references the Post-Transition Table of DTV allotments in section 73.622(</w:t>
      </w:r>
      <w:r>
        <w:t>i</w:t>
      </w:r>
      <w:r>
        <w:t>) of the rules, and as Gray admits, the Division has consistently applied section 1.420 when amending the DTV Table.</w:t>
      </w:r>
      <w:r>
        <w:rPr>
          <w:rStyle w:val="FootnoteReference"/>
        </w:rPr>
        <w:footnoteReference w:id="35"/>
      </w:r>
    </w:p>
    <w:p w:rsidR="000F1FEC" w:rsidRPr="00072551" w:rsidP="00AF5744" w14:paraId="6EEAA304" w14:textId="77777777">
      <w:pPr>
        <w:pStyle w:val="ParaNum"/>
      </w:pPr>
      <w:r>
        <w:rPr>
          <w:i/>
          <w:iCs/>
          <w:spacing w:val="-3"/>
          <w:szCs w:val="22"/>
        </w:rPr>
        <w:t xml:space="preserve">Waiver Standard. </w:t>
      </w:r>
      <w:r w:rsidRPr="00B961FD">
        <w:rPr>
          <w:i/>
          <w:iCs/>
          <w:spacing w:val="-3"/>
          <w:szCs w:val="22"/>
        </w:rPr>
        <w:t xml:space="preserve"> </w:t>
      </w:r>
      <w:r>
        <w:rPr>
          <w:spacing w:val="-3"/>
          <w:szCs w:val="22"/>
        </w:rPr>
        <w:t>T</w:t>
      </w:r>
      <w:r w:rsidRPr="00B961FD">
        <w:rPr>
          <w:spacing w:val="-3"/>
          <w:szCs w:val="22"/>
        </w:rPr>
        <w:t>he Commission may waive a rule for good cause shown.</w:t>
      </w:r>
      <w:r>
        <w:rPr>
          <w:szCs w:val="22"/>
          <w:vertAlign w:val="superscript"/>
        </w:rPr>
        <w:footnoteReference w:id="36"/>
      </w:r>
      <w:r w:rsidRPr="00B961FD">
        <w:rPr>
          <w:spacing w:val="-3"/>
          <w:szCs w:val="22"/>
        </w:rPr>
        <w:t xml:space="preserve">  The Commission may grant a request for waiver if it is shown that: (</w:t>
      </w:r>
      <w:r w:rsidRPr="00B961FD">
        <w:rPr>
          <w:spacing w:val="-3"/>
          <w:szCs w:val="22"/>
        </w:rPr>
        <w:t>i</w:t>
      </w:r>
      <w:r w:rsidRPr="00B961FD">
        <w:rPr>
          <w:spacing w:val="-3"/>
          <w:szCs w:val="22"/>
        </w:rPr>
        <w:t xml:space="preserve">) the underlying purpose of the rule(s) would not be served or would be frustrated by application to the instant case, and that a grant of the requested waiver would be in the public interest; or (ii) in view of unique or unusual factual circumstances of the instant case, </w:t>
      </w:r>
      <w:r w:rsidRPr="00B961FD">
        <w:rPr>
          <w:spacing w:val="-3"/>
          <w:szCs w:val="22"/>
        </w:rPr>
        <w:t>application of the rule(s) would be inequitable, unduly burdensome or contrary to the public interest, or the applicant has no reasonable alternative.</w:t>
      </w:r>
      <w:r>
        <w:rPr>
          <w:szCs w:val="22"/>
          <w:vertAlign w:val="superscript"/>
        </w:rPr>
        <w:footnoteReference w:id="37"/>
      </w:r>
      <w:r w:rsidRPr="00B961FD">
        <w:rPr>
          <w:spacing w:val="-3"/>
          <w:szCs w:val="22"/>
        </w:rPr>
        <w:t xml:space="preserve">  Waiver is appropriate where the particular facts make strict compliance inconsistent with the public interest.  In making this determination, we may take into account considerations of hardship, equity, or more effective implementation of overall policy on an individual basis.</w:t>
      </w:r>
      <w:r>
        <w:rPr>
          <w:szCs w:val="22"/>
          <w:vertAlign w:val="superscript"/>
        </w:rPr>
        <w:footnoteReference w:id="38"/>
      </w:r>
      <w:r w:rsidRPr="00B961FD">
        <w:rPr>
          <w:spacing w:val="-3"/>
          <w:szCs w:val="22"/>
        </w:rPr>
        <w:t xml:space="preserve">  Waiver is therefore appropriate if special circumstances warrant a deviation from the general rule and such deviation will serve the public interest.</w:t>
      </w:r>
      <w:r>
        <w:rPr>
          <w:szCs w:val="22"/>
          <w:vertAlign w:val="superscript"/>
        </w:rPr>
        <w:footnoteReference w:id="39"/>
      </w:r>
    </w:p>
    <w:p w:rsidR="000F1FEC" w:rsidP="00AF5744" w14:paraId="3A7CCA70" w14:textId="5F0AFC98">
      <w:pPr>
        <w:pStyle w:val="ParaNum"/>
      </w:pPr>
      <w:r>
        <w:t xml:space="preserve"> </w:t>
      </w:r>
      <w:r w:rsidRPr="00BB7541">
        <w:rPr>
          <w:i/>
          <w:iCs/>
        </w:rPr>
        <w:t>Mutual Exclusivity Requirement</w:t>
      </w:r>
      <w:r>
        <w:t>.  As Gray explains, the Commission adopted section 1.420 in 1989 to provide a procedure whereby a television station could request a new community of license in a rulemaking petition to amend the television table of allotments without subjecting the station to the risk of losing its license to competing applications.</w:t>
      </w:r>
      <w:r>
        <w:rPr>
          <w:rStyle w:val="FootnoteReference"/>
        </w:rPr>
        <w:footnoteReference w:id="40"/>
      </w:r>
      <w:r>
        <w:t xml:space="preserve">  Because the Commission did not, however, wish to preclude future applicants from having an opportunity to apply for a new station to serve the area, it adopted the mutual exclusivity requirement – that a proposed change in community of license must be mutually exclusive with the station’s current allotment in order to be shielded from competing expressions of interest -  so only petitions that did not “deprive potential [future] applicants of opportunities” would be accepted.</w:t>
      </w:r>
      <w:r>
        <w:rPr>
          <w:rStyle w:val="FootnoteReference"/>
        </w:rPr>
        <w:footnoteReference w:id="41"/>
      </w:r>
      <w:r w:rsidR="00AF5744">
        <w:t xml:space="preserve">  I</w:t>
      </w:r>
      <w:r>
        <w:t>n this case, Gray has demonstrated that if we grant a waiver and adopt its proposed amendments to the DTV Table of Allotments, multiple channels are potentially available for future allotment in and around Superior.</w:t>
      </w:r>
      <w:r>
        <w:rPr>
          <w:rStyle w:val="FootnoteReference"/>
        </w:rPr>
        <w:footnoteReference w:id="42"/>
      </w:r>
      <w:r>
        <w:t xml:space="preserve">  Thus, because the underlying</w:t>
      </w:r>
      <w:r w:rsidRPr="00BB7541">
        <w:rPr>
          <w:spacing w:val="-3"/>
          <w:szCs w:val="22"/>
        </w:rPr>
        <w:t xml:space="preserve"> purpose of the rule would not be frustrated by the instant rulemaking petition to change KSNB-TV’s community of license without allowing competing expressions of interest, we propose to waive this requirement of section 1.420(</w:t>
      </w:r>
      <w:r w:rsidRPr="00BB7541">
        <w:rPr>
          <w:spacing w:val="-3"/>
          <w:szCs w:val="22"/>
        </w:rPr>
        <w:t>i</w:t>
      </w:r>
      <w:r w:rsidRPr="00BB7541">
        <w:rPr>
          <w:spacing w:val="-3"/>
          <w:szCs w:val="22"/>
        </w:rPr>
        <w:t xml:space="preserve">).  We seek comment on this proposal. </w:t>
      </w:r>
    </w:p>
    <w:p w:rsidR="000F1FEC" w:rsidP="00AF5744" w14:paraId="606EF96F" w14:textId="08B78A90">
      <w:pPr>
        <w:pStyle w:val="ParaNum"/>
      </w:pPr>
      <w:r w:rsidRPr="009858E1">
        <w:rPr>
          <w:i/>
          <w:iCs/>
        </w:rPr>
        <w:t>Removal of Sole Local Service From Superior</w:t>
      </w:r>
      <w:r>
        <w:t xml:space="preserve">.  We also propose to waive the Commission’s policy disfavoring the removal of a sole local service allotted to a community.  As Gray has demonstrated, York is a larger community than Superior, and grant of a waiver to allow KSNB-TV to collocate with KOLN would result in the provision of first, second, and third television service to a substantial number of persons.  Moreover, other important public interest benefits would accrue by permitting KSNB-TV to change its channel and community, and </w:t>
      </w:r>
      <w:r w:rsidR="00C14944">
        <w:t>collocate</w:t>
      </w:r>
      <w:r>
        <w:t xml:space="preserve"> with KOLN, including operational and economic efficiencies and resolving low VHF reception problems for KSNB-TV.  Finally, Gray has demonstrated that there are </w:t>
      </w:r>
      <w:r>
        <w:t>a number of</w:t>
      </w:r>
      <w:r>
        <w:t xml:space="preserve"> channels that may be allotted in the area if an interested party wishes to pursue acquiring a construction permit for a new station in the area.  We seek comment on this proposal.</w:t>
      </w:r>
    </w:p>
    <w:p w:rsidR="000F1FEC" w:rsidP="00AF5744" w14:paraId="1C6413DC" w14:textId="71F320F5">
      <w:pPr>
        <w:pStyle w:val="ParaNum"/>
      </w:pPr>
      <w:r>
        <w:t xml:space="preserve">Accordingly, we believe that Gray’s proposal warrants consideration and seek comment on </w:t>
      </w:r>
      <w:r w:rsidRPr="00B1303A">
        <w:t xml:space="preserve">whether </w:t>
      </w:r>
      <w:r>
        <w:t>Gray</w:t>
      </w:r>
      <w:r w:rsidRPr="00B1303A">
        <w:t xml:space="preserve"> has provided suffi</w:t>
      </w:r>
      <w:r w:rsidRPr="003B57B7">
        <w:t xml:space="preserve">cient evidence indicating that </w:t>
      </w:r>
      <w:r>
        <w:t>its proposal</w:t>
      </w:r>
      <w:r w:rsidRPr="003B57B7">
        <w:t xml:space="preserve"> </w:t>
      </w:r>
      <w:r w:rsidRPr="00B1303A">
        <w:t xml:space="preserve">to </w:t>
      </w:r>
      <w:r>
        <w:t>amend the DTV Table of Allotments in section 73.622(</w:t>
      </w:r>
      <w:r>
        <w:t>i</w:t>
      </w:r>
      <w:r>
        <w:t>) of the rules</w:t>
      </w:r>
      <w:r w:rsidR="005A3668">
        <w:t xml:space="preserve"> to modify the Station’s community of license from Superior, </w:t>
      </w:r>
      <w:r w:rsidR="005A3668">
        <w:t xml:space="preserve">Nebraska, to York, Nebraska, </w:t>
      </w:r>
      <w:r>
        <w:t xml:space="preserve">as </w:t>
      </w:r>
      <w:r w:rsidR="005A3668">
        <w:t>listed</w:t>
      </w:r>
      <w:r>
        <w:t xml:space="preserve"> below,</w:t>
      </w:r>
      <w:r w:rsidRPr="0017340B">
        <w:t xml:space="preserve"> </w:t>
      </w:r>
      <w:r>
        <w:t>is consistent with the public interest</w:t>
      </w:r>
      <w:bookmarkEnd w:id="0"/>
      <w:bookmarkEnd w:id="1"/>
      <w:r w:rsidR="00C14944">
        <w:t>.</w:t>
      </w:r>
      <w:r>
        <w:rPr>
          <w:rStyle w:val="FootnoteReference"/>
        </w:rPr>
        <w:footnoteReference w:id="43"/>
      </w:r>
      <w:r w:rsidR="00C14944">
        <w:t xml:space="preserve">  </w:t>
      </w:r>
      <w:r w:rsidR="005A3668">
        <w:t>W</w:t>
      </w:r>
      <w:r w:rsidR="00C14944">
        <w:t>e find that</w:t>
      </w:r>
      <w:r w:rsidRPr="00E208EC" w:rsidR="00C14944">
        <w:t xml:space="preserve"> </w:t>
      </w:r>
      <w:r w:rsidR="00C14944">
        <w:t>c</w:t>
      </w:r>
      <w:r w:rsidRPr="00E208EC" w:rsidR="00C14944">
        <w:t xml:space="preserve">hannel </w:t>
      </w:r>
      <w:r w:rsidR="00C14944">
        <w:t>24</w:t>
      </w:r>
      <w:r w:rsidRPr="00E208EC" w:rsidR="00C14944">
        <w:t xml:space="preserve"> can be </w:t>
      </w:r>
      <w:r w:rsidR="00C14944">
        <w:t>allotted to York, Nebraska,</w:t>
      </w:r>
      <w:r w:rsidRPr="00E208EC" w:rsidR="00C14944">
        <w:t xml:space="preserve"> as proposed, in compliance with the principal community coverage requirements of section 73.625(a) of the rules</w:t>
      </w:r>
      <w:r>
        <w:rPr>
          <w:vertAlign w:val="superscript"/>
        </w:rPr>
        <w:footnoteReference w:id="44"/>
      </w:r>
      <w:r w:rsidR="005A3668">
        <w:t xml:space="preserve"> </w:t>
      </w:r>
      <w:r w:rsidRPr="00E208EC" w:rsidR="00C14944">
        <w:t xml:space="preserve">at coordinates </w:t>
      </w:r>
      <w:r w:rsidR="00C14944">
        <w:t>40-48-11.0</w:t>
      </w:r>
      <w:r w:rsidRPr="00E208EC" w:rsidR="00C14944">
        <w:t xml:space="preserve"> N and </w:t>
      </w:r>
      <w:r w:rsidR="00C14944">
        <w:t>97-10-53.0</w:t>
      </w:r>
      <w:r w:rsidRPr="00E208EC" w:rsidR="00C14944">
        <w:t xml:space="preserve"> W.</w:t>
      </w:r>
    </w:p>
    <w:p w:rsidR="000F1FEC" w:rsidP="00AF5744" w14:paraId="4F117DA6" w14:textId="58A62BC4">
      <w:pPr>
        <w:pStyle w:val="ParaNum"/>
        <w:numPr>
          <w:ilvl w:val="0"/>
          <w:numId w:val="0"/>
        </w:numPr>
        <w:ind w:left="3600" w:firstLine="720"/>
      </w:pPr>
      <w:bookmarkStart w:id="3" w:name="_Hlk62218186"/>
      <w:r>
        <w:t>Channel No.</w:t>
      </w:r>
    </w:p>
    <w:p w:rsidR="000F1FEC" w:rsidP="00AF5744" w14:paraId="6D0E2B15" w14:textId="7ADBE247">
      <w:pPr>
        <w:pStyle w:val="ParaNum"/>
        <w:numPr>
          <w:ilvl w:val="0"/>
          <w:numId w:val="0"/>
        </w:numPr>
        <w:ind w:left="720"/>
      </w:pPr>
      <w:r>
        <w:t>City and State</w:t>
      </w:r>
      <w:r w:rsidRPr="00E208EC">
        <w:tab/>
      </w:r>
      <w:r>
        <w:tab/>
      </w:r>
      <w:r>
        <w:tab/>
        <w:t>Present</w:t>
      </w:r>
      <w:r w:rsidRPr="00E208EC">
        <w:tab/>
      </w:r>
      <w:r w:rsidRPr="00E208EC">
        <w:tab/>
      </w:r>
      <w:r>
        <w:tab/>
        <w:t>Proposed</w:t>
      </w:r>
      <w:r w:rsidRPr="00E208EC">
        <w:tab/>
      </w:r>
    </w:p>
    <w:p w:rsidR="000F1FEC" w:rsidP="00AF5744" w14:paraId="5397C667" w14:textId="3257E11B">
      <w:pPr>
        <w:pStyle w:val="ParaNum"/>
        <w:numPr>
          <w:ilvl w:val="0"/>
          <w:numId w:val="0"/>
        </w:numPr>
        <w:ind w:firstLine="720"/>
      </w:pPr>
      <w:r>
        <w:t>Superior</w:t>
      </w:r>
      <w:r w:rsidR="00CD358A">
        <w:t>, Nebraska</w:t>
      </w:r>
      <w:r>
        <w:tab/>
      </w:r>
      <w:r>
        <w:tab/>
      </w:r>
      <w:r w:rsidR="00CD358A">
        <w:t>4</w:t>
      </w:r>
      <w:r>
        <w:tab/>
      </w:r>
      <w:r>
        <w:tab/>
      </w:r>
      <w:r w:rsidR="00CD358A">
        <w:tab/>
        <w:t>-</w:t>
      </w:r>
    </w:p>
    <w:p w:rsidR="00CD358A" w:rsidRPr="00E208EC" w:rsidP="00AF5744" w14:paraId="7063954F" w14:textId="6E9C9E73">
      <w:pPr>
        <w:pStyle w:val="ParaNum"/>
        <w:numPr>
          <w:ilvl w:val="0"/>
          <w:numId w:val="0"/>
        </w:numPr>
        <w:ind w:firstLine="720"/>
      </w:pPr>
      <w:r>
        <w:t>York, Nebraska</w:t>
      </w:r>
      <w:r>
        <w:tab/>
      </w:r>
      <w:r>
        <w:tab/>
      </w:r>
      <w:r>
        <w:tab/>
        <w:t>-</w:t>
      </w:r>
      <w:r>
        <w:tab/>
      </w:r>
      <w:r>
        <w:tab/>
      </w:r>
      <w:r>
        <w:tab/>
        <w:t>24</w:t>
      </w:r>
    </w:p>
    <w:bookmarkEnd w:id="3"/>
    <w:p w:rsidR="000F1FEC" w:rsidRPr="00E208EC" w:rsidP="00AF5744" w14:paraId="0FE2D32C" w14:textId="36F5639C">
      <w:pPr>
        <w:pStyle w:val="ParaNum"/>
        <w:tabs>
          <w:tab w:val="num" w:pos="1080"/>
          <w:tab w:val="clear" w:pos="1440"/>
        </w:tabs>
      </w:pPr>
      <w:r>
        <w:t xml:space="preserve">      </w:t>
      </w:r>
      <w:r w:rsidR="00C14944">
        <w:t xml:space="preserve">Furthermore, </w:t>
      </w:r>
      <w:r w:rsidRPr="00E208EC">
        <w:t xml:space="preserve">we find that this channel change meets the technical requirements set forth in sections 73.616 and 73.623 of the </w:t>
      </w:r>
      <w:r>
        <w:t>r</w:t>
      </w:r>
      <w:r w:rsidRPr="00E208EC">
        <w:t>ules.</w:t>
      </w:r>
      <w:r>
        <w:rPr>
          <w:vertAlign w:val="superscript"/>
        </w:rPr>
        <w:footnoteReference w:id="45"/>
      </w:r>
      <w:r w:rsidRPr="00E208EC">
        <w:t xml:space="preserve">  We propose to substitute channel </w:t>
      </w:r>
      <w:r>
        <w:t xml:space="preserve">24 </w:t>
      </w:r>
      <w:r w:rsidRPr="00E208EC">
        <w:t xml:space="preserve">for channel </w:t>
      </w:r>
      <w:r>
        <w:t>4</w:t>
      </w:r>
      <w:r w:rsidRPr="00E208EC">
        <w:t xml:space="preserve"> for </w:t>
      </w:r>
      <w:r>
        <w:t>KSNB-TV</w:t>
      </w:r>
      <w:r w:rsidRPr="00E208EC">
        <w:t xml:space="preserve"> with the following specifications</w:t>
      </w:r>
      <w:r w:rsidR="005A3668">
        <w:t xml:space="preserve"> and seek comment on this proposal</w:t>
      </w:r>
      <w:r w:rsidRPr="00E208EC">
        <w:t>:</w:t>
      </w:r>
    </w:p>
    <w:p w:rsidR="000F1FEC" w:rsidRPr="00E208EC" w:rsidP="00AF5744" w14:paraId="0BCC0904"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0F1FEC" w:rsidP="00AF5744" w14:paraId="2D82A39D" w14:textId="77777777">
      <w:pPr>
        <w:pStyle w:val="ParaNum"/>
        <w:numPr>
          <w:ilvl w:val="0"/>
          <w:numId w:val="0"/>
        </w:numPr>
        <w:ind w:left="720"/>
      </w:pPr>
      <w:r>
        <w:t>York, Nebraska</w:t>
      </w:r>
      <w:r>
        <w:tab/>
      </w:r>
      <w:r w:rsidRPr="00E208EC">
        <w:tab/>
      </w:r>
      <w:r>
        <w:tab/>
        <w:t>24</w:t>
      </w:r>
      <w:r w:rsidRPr="00E208EC">
        <w:tab/>
      </w:r>
      <w:r w:rsidRPr="00E208EC">
        <w:tab/>
      </w:r>
      <w:r>
        <w:t>260</w:t>
      </w:r>
      <w:r w:rsidRPr="00E208EC">
        <w:tab/>
      </w:r>
      <w:r w:rsidRPr="00E208EC">
        <w:tab/>
      </w:r>
      <w:r w:rsidRPr="00E208EC">
        <w:tab/>
      </w:r>
      <w:r>
        <w:t>430</w:t>
      </w:r>
    </w:p>
    <w:p w:rsidR="000F1FEC" w:rsidP="00AF5744" w14:paraId="07CB8A9E" w14:textId="77777777">
      <w:pPr>
        <w:pStyle w:val="Heading1"/>
        <w:keepNext w:val="0"/>
        <w:suppressAutoHyphens w:val="0"/>
      </w:pPr>
      <w:r>
        <w:t>PROCEDURAL MATTERS</w:t>
      </w:r>
    </w:p>
    <w:p w:rsidR="000F1FEC" w:rsidRPr="009F2562" w:rsidP="00AF5744" w14:paraId="269174F0"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46"/>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47"/>
      </w:r>
    </w:p>
    <w:p w:rsidR="000F1FEC" w:rsidRPr="009F2562" w:rsidP="00AF5744" w14:paraId="353FF51A" w14:textId="77777777">
      <w:pPr>
        <w:pStyle w:val="ParaNum"/>
      </w:pPr>
      <w:r w:rsidRPr="00506F28">
        <w:rPr>
          <w:i/>
          <w:iCs/>
        </w:rPr>
        <w:t>Cut-off Protection</w:t>
      </w:r>
      <w:r w:rsidRPr="009F2562">
        <w:t>.  The following procedures will govern the consideration of the filings in this proceeding:</w:t>
      </w:r>
    </w:p>
    <w:p w:rsidR="000F1FEC" w:rsidRPr="009F2562" w:rsidP="00AF5744" w14:paraId="71AABF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48"/>
      </w:r>
      <w:r w:rsidRPr="009F2562">
        <w:t xml:space="preserve">  </w:t>
      </w:r>
    </w:p>
    <w:p w:rsidR="000F1FEC" w:rsidP="00AF5744" w14:paraId="3E718443" w14:textId="77777777">
      <w:pPr>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49"/>
      </w:r>
    </w:p>
    <w:p w:rsidR="000F1FEC" w:rsidP="00AF5744" w14:paraId="23EBCD17" w14:textId="77777777">
      <w:pPr>
        <w:pStyle w:val="ParaNum"/>
        <w:widowControl/>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50"/>
      </w:r>
      <w:r>
        <w:rPr>
          <w:szCs w:val="22"/>
        </w:rPr>
        <w:t xml:space="preserve"> </w:t>
      </w:r>
      <w:r w:rsidRPr="00CE5579">
        <w:rPr>
          <w:szCs w:val="22"/>
        </w:rPr>
        <w:t xml:space="preserve">interested parties may file comments and reply comments on or before the dates indicated on the </w:t>
      </w:r>
      <w:r w:rsidRPr="00CE5579">
        <w:rPr>
          <w:szCs w:val="22"/>
        </w:rPr>
        <w:t>first page of this document.  Comments may be filed using the Commission’s Electronic Comment Filing System (ECFS)</w:t>
      </w:r>
      <w:r>
        <w:t>.</w:t>
      </w:r>
      <w:r>
        <w:rPr>
          <w:rStyle w:val="FootnoteReference"/>
        </w:rPr>
        <w:footnoteReference w:id="51"/>
      </w:r>
    </w:p>
    <w:p w:rsidR="000F1FEC" w:rsidRPr="00522221" w:rsidP="00AF5744" w14:paraId="2827C186" w14:textId="77777777">
      <w:pPr>
        <w:numPr>
          <w:ilvl w:val="0"/>
          <w:numId w:val="9"/>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0F1FEC" w:rsidRPr="00331D74" w:rsidP="00AF5744" w14:paraId="1838072D" w14:textId="77777777">
      <w:pPr>
        <w:numPr>
          <w:ilvl w:val="0"/>
          <w:numId w:val="9"/>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0F1FEC" w:rsidRPr="00522221" w:rsidP="00AF5744" w14:paraId="3878067D" w14:textId="77777777">
      <w:pPr>
        <w:numPr>
          <w:ilvl w:val="0"/>
          <w:numId w:val="10"/>
        </w:numPr>
        <w:spacing w:after="120"/>
        <w:rPr>
          <w:szCs w:val="22"/>
        </w:rPr>
      </w:pPr>
      <w:r w:rsidRPr="00522221">
        <w:rPr>
          <w:szCs w:val="22"/>
        </w:rPr>
        <w:t>Commercial overnight mail (other than U.S. Postal Service Express Mail and Priority Mail) must be sent to 9050 Junction Drive, Annapolis Junction, MD 20701.</w:t>
      </w:r>
    </w:p>
    <w:p w:rsidR="000F1FEC" w:rsidP="00AF5744" w14:paraId="6F9DCBA3" w14:textId="77777777">
      <w:pPr>
        <w:numPr>
          <w:ilvl w:val="0"/>
          <w:numId w:val="10"/>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0F1FEC" w:rsidP="00AF5744" w14:paraId="139A3171" w14:textId="77777777">
      <w:pPr>
        <w:numPr>
          <w:ilvl w:val="0"/>
          <w:numId w:val="10"/>
        </w:numPr>
        <w:spacing w:after="120"/>
      </w:pPr>
      <w:bookmarkStart w:id="4" w:name="_Hlk62469034"/>
      <w:r w:rsidRPr="001A7095">
        <w:t>Effective March 19, 2020, and until further notice, the Commission no longer accepts any hand or messenger delivered filings.</w:t>
      </w:r>
      <w:r>
        <w:t xml:space="preserve"> </w:t>
      </w:r>
      <w:r w:rsidRPr="001A7095">
        <w:t xml:space="preserve"> This is a temporary measure taken to help protect the health and safety of individuals, and to mitigate the transmission of COVID-19.</w:t>
      </w:r>
      <w:r>
        <w:rPr>
          <w:rStyle w:val="FootnoteReference"/>
        </w:rPr>
        <w:footnoteReference w:id="52"/>
      </w:r>
    </w:p>
    <w:p w:rsidR="000F1FEC" w:rsidP="00AF5744" w14:paraId="1D676E08" w14:textId="77777777">
      <w:pPr>
        <w:pStyle w:val="ListParagraph"/>
        <w:numPr>
          <w:ilvl w:val="0"/>
          <w:numId w:val="10"/>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4"/>
    <w:p w:rsidR="000F1FEC" w:rsidP="00AF5744" w14:paraId="23F4E24E" w14:textId="77777777">
      <w:pPr>
        <w:pStyle w:val="ParaNum"/>
      </w:pPr>
      <w:r w:rsidRPr="00CE5579">
        <w:rPr>
          <w:i/>
          <w:iCs/>
        </w:rPr>
        <w:t>Service</w:t>
      </w:r>
      <w:r>
        <w:rPr>
          <w:i/>
          <w:iCs/>
        </w:rPr>
        <w:t>.</w:t>
      </w:r>
      <w:r>
        <w:t xml:space="preserve">  Pursuant section 1.420 of the rules,</w:t>
      </w:r>
      <w:r>
        <w:rPr>
          <w:rStyle w:val="FootnoteReference"/>
        </w:rPr>
        <w:footnoteReference w:id="5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54"/>
      </w:r>
      <w:r>
        <w:t xml:space="preserve">  Additionally, a copy of such comments should be served on counsel for Petitioner, as follows:</w:t>
      </w:r>
    </w:p>
    <w:p w:rsidR="000F1FEC" w:rsidP="00AF5744" w14:paraId="049A8310" w14:textId="77777777">
      <w:pPr>
        <w:pStyle w:val="ParaNum"/>
        <w:numPr>
          <w:ilvl w:val="0"/>
          <w:numId w:val="0"/>
        </w:numPr>
        <w:spacing w:after="0"/>
        <w:ind w:left="720"/>
      </w:pPr>
      <w:r>
        <w:t>Joan Stewart, Esq.</w:t>
      </w:r>
    </w:p>
    <w:p w:rsidR="000F1FEC" w:rsidP="00AF5744" w14:paraId="36A29D2F" w14:textId="77777777">
      <w:pPr>
        <w:pStyle w:val="ParaNum"/>
        <w:numPr>
          <w:ilvl w:val="0"/>
          <w:numId w:val="0"/>
        </w:numPr>
        <w:spacing w:after="0"/>
        <w:ind w:left="720"/>
      </w:pPr>
      <w:r>
        <w:t>Wiley Rein LLP</w:t>
      </w:r>
    </w:p>
    <w:p w:rsidR="000F1FEC" w:rsidP="00AF5744" w14:paraId="1774D989" w14:textId="77777777">
      <w:pPr>
        <w:pStyle w:val="ParaNum"/>
        <w:numPr>
          <w:ilvl w:val="0"/>
          <w:numId w:val="11"/>
        </w:numPr>
        <w:spacing w:after="0"/>
      </w:pPr>
      <w:r>
        <w:t>Street NW</w:t>
      </w:r>
    </w:p>
    <w:p w:rsidR="000F1FEC" w:rsidP="00AF5744" w14:paraId="7D0E9956" w14:textId="0C82F6D6">
      <w:pPr>
        <w:pStyle w:val="ParaNum"/>
        <w:numPr>
          <w:ilvl w:val="0"/>
          <w:numId w:val="0"/>
        </w:numPr>
        <w:ind w:left="720"/>
      </w:pPr>
      <w:r>
        <w:t>Washington, DC 20006</w:t>
      </w:r>
    </w:p>
    <w:p w:rsidR="000F1FEC" w:rsidP="00AF5744" w14:paraId="341D7A18"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55"/>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w:t>
      </w:r>
      <w:r>
        <w:t>reconsideration by the Commission or review by any court.</w:t>
      </w:r>
      <w:r>
        <w:rPr>
          <w:rStyle w:val="FootnoteReference"/>
        </w:rPr>
        <w:footnoteReference w:id="56"/>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5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58"/>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0F1FEC" w:rsidP="00AF5744" w14:paraId="69E1BC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F1FEC" w:rsidRPr="006F1759" w:rsidP="00AF5744" w14:paraId="140241DA"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59"/>
      </w:r>
      <w:r>
        <w:t xml:space="preserve"> do not apply to a rulemaking proceeding to amend the DTV Table of Allotments, section 73.622(</w:t>
      </w:r>
      <w:r>
        <w:t>i</w:t>
      </w:r>
      <w:r>
        <w:t>) of the rules.</w:t>
      </w:r>
      <w:r>
        <w:rPr>
          <w:rStyle w:val="FootnoteReference"/>
        </w:rPr>
        <w:footnoteReference w:id="60"/>
      </w:r>
      <w:r>
        <w:t xml:space="preserve">  This document does not contain proposed information collection requirements subject to the Paperwork Reduction Act of 1995.</w:t>
      </w:r>
      <w:r>
        <w:rPr>
          <w:rStyle w:val="FootnoteReference"/>
        </w:rPr>
        <w:footnoteReference w:id="61"/>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62"/>
      </w:r>
    </w:p>
    <w:p w:rsidR="000F1FEC" w:rsidRPr="006F1759" w:rsidP="00AF5744" w14:paraId="35A4F42E"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0F1FEC" w:rsidRPr="006F1759" w:rsidP="00AF5744" w14:paraId="14385418" w14:textId="77777777">
      <w:pPr>
        <w:pStyle w:val="ParaNum"/>
      </w:pPr>
      <w:r w:rsidRPr="00CE5579">
        <w:rPr>
          <w:i/>
          <w:iCs/>
        </w:rPr>
        <w:t>Additional Information</w:t>
      </w:r>
      <w:r>
        <w:t xml:space="preserve">.  For further information concerning the proceeding listed above, contact Joyce L. Bernstein, Video Division, Media Bureau, (202) 418-1647, </w:t>
      </w:r>
      <w:hyperlink r:id="rId7" w:history="1">
        <w:r w:rsidRPr="00E9483E">
          <w:rPr>
            <w:rStyle w:val="Hyperlink"/>
          </w:rPr>
          <w:t>Joyce.Bernstein@fcc.gov</w:t>
        </w:r>
      </w:hyperlink>
      <w:r>
        <w:t xml:space="preserve">. </w:t>
      </w:r>
    </w:p>
    <w:p w:rsidR="000F1FEC" w:rsidP="00AF5744" w14:paraId="4FFEC5DB" w14:textId="77777777">
      <w:pPr>
        <w:pStyle w:val="Heading1"/>
        <w:keepNext w:val="0"/>
        <w:suppressAutoHyphens w:val="0"/>
      </w:pPr>
      <w:r>
        <w:t>Ordering clauses</w:t>
      </w:r>
    </w:p>
    <w:p w:rsidR="000F1FEC" w:rsidRPr="00955003" w:rsidP="00AF5744" w14:paraId="7BF931AE"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6F1759">
        <w:rPr>
          <w:b/>
          <w:bCs/>
        </w:rPr>
        <w:t xml:space="preserve">IT IS PROPOSED TO </w:t>
      </w:r>
      <w:r>
        <w:rPr>
          <w:b/>
          <w:bCs/>
        </w:rPr>
        <w:t xml:space="preserve">GRANT WAIVERS OF THE COMMISSION’S RULES AND POLICIES TO </w:t>
      </w:r>
      <w:r w:rsidRPr="006F1759">
        <w:rPr>
          <w:b/>
          <w:bCs/>
        </w:rPr>
        <w:t>AMEND</w:t>
      </w:r>
      <w:r w:rsidRPr="009F2562">
        <w:t xml:space="preserve"> the Post-Transition Table of DTV Allotments, section 73.622(</w:t>
      </w:r>
      <w:r w:rsidRPr="009F2562">
        <w:t>i</w:t>
      </w:r>
      <w:r w:rsidRPr="009F2562">
        <w:t>)</w:t>
      </w:r>
      <w:r>
        <w:t xml:space="preserve"> of the rules</w:t>
      </w:r>
      <w:r w:rsidRPr="009F2562">
        <w:t>,</w:t>
      </w:r>
      <w:r>
        <w:t xml:space="preserve"> 47 CFR § 73.622(</w:t>
      </w:r>
      <w:r>
        <w:t>i</w:t>
      </w:r>
      <w:r>
        <w:t>),</w:t>
      </w:r>
      <w:r w:rsidRPr="009F2562">
        <w:t xml:space="preserve"> as set forth in </w:t>
      </w:r>
      <w:r>
        <w:t>this</w:t>
      </w:r>
      <w:r w:rsidRPr="009F2562">
        <w:t xml:space="preserve"> </w:t>
      </w:r>
      <w:r w:rsidRPr="00506F28">
        <w:rPr>
          <w:i/>
          <w:iCs/>
        </w:rPr>
        <w:t>NPRM</w:t>
      </w:r>
      <w:r>
        <w:t xml:space="preserve">, and </w:t>
      </w:r>
      <w:r w:rsidRPr="006F1759">
        <w:rPr>
          <w:szCs w:val="22"/>
        </w:rPr>
        <w:t xml:space="preserve">this </w:t>
      </w:r>
      <w:r w:rsidRPr="00506F28">
        <w:rPr>
          <w:i/>
          <w:iCs/>
          <w:szCs w:val="22"/>
        </w:rPr>
        <w:t>NPRM</w:t>
      </w:r>
      <w:r w:rsidRPr="006F1759">
        <w:rPr>
          <w:szCs w:val="22"/>
        </w:rPr>
        <w:t xml:space="preserve"> </w:t>
      </w:r>
      <w:r w:rsidRPr="006F1759">
        <w:rPr>
          <w:b/>
          <w:szCs w:val="22"/>
        </w:rPr>
        <w:t xml:space="preserve">IS ADOPTED.  </w:t>
      </w:r>
    </w:p>
    <w:p w:rsidR="000F1FEC" w:rsidRPr="006F1759" w:rsidP="00AF5744" w14:paraId="21F3D939" w14:textId="6D0B2BEA">
      <w:pPr>
        <w:pStyle w:val="ParaNum"/>
        <w:widowControl/>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E244B6">
        <w:rPr>
          <w:szCs w:val="22"/>
        </w:rPr>
        <w:t>60</w:t>
      </w:r>
      <w:r w:rsidRPr="00522221">
        <w:rPr>
          <w:szCs w:val="22"/>
        </w:rPr>
        <w:t xml:space="preserve"> </w:t>
      </w:r>
      <w:r>
        <w:rPr>
          <w:szCs w:val="22"/>
        </w:rPr>
        <w:t>and RM-</w:t>
      </w:r>
      <w:r w:rsidR="00E244B6">
        <w:rPr>
          <w:szCs w:val="22"/>
        </w:rPr>
        <w:t>11884</w:t>
      </w:r>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0F1FEC" w:rsidP="00AF5744" w14:paraId="22E120AC" w14:textId="77777777">
      <w:r>
        <w:tab/>
      </w:r>
      <w:r>
        <w:tab/>
      </w:r>
      <w:r>
        <w:tab/>
      </w:r>
      <w:r>
        <w:tab/>
      </w:r>
      <w:r>
        <w:tab/>
      </w:r>
      <w:r>
        <w:tab/>
        <w:t>FEDERAL COMMUNICATIONS COMMISSION</w:t>
      </w:r>
    </w:p>
    <w:p w:rsidR="000F1FEC" w:rsidP="00AF5744" w14:paraId="31AF2C78" w14:textId="77777777"/>
    <w:p w:rsidR="000F1FEC" w:rsidP="00AF5744" w14:paraId="2849C419" w14:textId="77777777"/>
    <w:p w:rsidR="000F1FEC" w:rsidP="00AF5744" w14:paraId="30F4B804" w14:textId="77777777"/>
    <w:p w:rsidR="000F1FEC" w:rsidP="00AF5744" w14:paraId="37444F7D" w14:textId="77777777"/>
    <w:p w:rsidR="000F1FEC" w:rsidP="00AF5744" w14:paraId="52AA46AD" w14:textId="77777777">
      <w:r>
        <w:tab/>
      </w:r>
      <w:r>
        <w:tab/>
      </w:r>
      <w:r>
        <w:tab/>
      </w:r>
      <w:r>
        <w:tab/>
      </w:r>
      <w:r>
        <w:tab/>
      </w:r>
      <w:r>
        <w:tab/>
        <w:t>Barbara A. Kreisman</w:t>
      </w:r>
    </w:p>
    <w:p w:rsidR="000F1FEC" w:rsidP="00AF5744" w14:paraId="696633A3" w14:textId="77777777">
      <w:r>
        <w:tab/>
      </w:r>
      <w:r>
        <w:tab/>
      </w:r>
      <w:r>
        <w:tab/>
      </w:r>
      <w:r>
        <w:tab/>
      </w:r>
      <w:r>
        <w:tab/>
      </w:r>
      <w:r>
        <w:tab/>
        <w:t>Chief, Video Division</w:t>
      </w:r>
    </w:p>
    <w:p w:rsidR="00412FC5" w:rsidRPr="000F1FEC" w:rsidP="00AF5744" w14:paraId="106888EF" w14:textId="216BB06C">
      <w:pPr>
        <w:pStyle w:val="ParaNum"/>
        <w:numPr>
          <w:ilvl w:val="0"/>
          <w:numId w:val="0"/>
        </w:numPr>
        <w:ind w:left="3600" w:firstLine="720"/>
        <w:rPr>
          <w:spacing w:val="-3"/>
          <w:szCs w:val="22"/>
        </w:rPr>
      </w:pPr>
      <w:r>
        <w:t>Media Bureau</w:t>
      </w: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B717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08EC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F1FEC" w14:paraId="4DF58EE5" w14:textId="48329C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0809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747" w14:paraId="17BB1803" w14:textId="77777777">
      <w:r>
        <w:separator/>
      </w:r>
    </w:p>
  </w:footnote>
  <w:footnote w:type="continuationSeparator" w:id="1">
    <w:p w:rsidR="00E62747" w:rsidP="00C721AC" w14:paraId="0FA675C5" w14:textId="77777777">
      <w:pPr>
        <w:spacing w:before="120"/>
        <w:rPr>
          <w:sz w:val="20"/>
        </w:rPr>
      </w:pPr>
      <w:r>
        <w:rPr>
          <w:sz w:val="20"/>
        </w:rPr>
        <w:t xml:space="preserve">(Continued from previous page)  </w:t>
      </w:r>
      <w:r>
        <w:rPr>
          <w:sz w:val="20"/>
        </w:rPr>
        <w:separator/>
      </w:r>
    </w:p>
  </w:footnote>
  <w:footnote w:type="continuationNotice" w:id="2">
    <w:p w:rsidR="00E62747" w:rsidP="00C721AC" w14:paraId="385DF91D" w14:textId="77777777">
      <w:pPr>
        <w:jc w:val="right"/>
        <w:rPr>
          <w:sz w:val="20"/>
        </w:rPr>
      </w:pPr>
      <w:r>
        <w:rPr>
          <w:sz w:val="20"/>
        </w:rPr>
        <w:t>(continued….)</w:t>
      </w:r>
    </w:p>
  </w:footnote>
  <w:footnote w:id="3">
    <w:p w:rsidR="000F1FEC" w:rsidP="00AF5744" w14:paraId="43701098" w14:textId="77777777">
      <w:pPr>
        <w:pStyle w:val="FootnoteText"/>
        <w:widowControl w:val="0"/>
      </w:pPr>
      <w:r>
        <w:rPr>
          <w:rStyle w:val="FootnoteReference"/>
        </w:rPr>
        <w:footnoteRef/>
      </w:r>
      <w:r>
        <w:t xml:space="preserve"> Gray Television Licensee, LLC Petition for Rulemaking (filed July 28, 2020), LMS File No. 0000118815.  Gray amended its Petition on October 13, 2020 to reduce the proposed tower height for KSNB-TV (Amended Petition).</w:t>
      </w:r>
    </w:p>
  </w:footnote>
  <w:footnote w:id="4">
    <w:p w:rsidR="000F1FEC" w:rsidP="00AF5744" w14:paraId="3D396033" w14:textId="461ACF79">
      <w:pPr>
        <w:rPr>
          <w:sz w:val="20"/>
        </w:rPr>
      </w:pPr>
      <w:r w:rsidRPr="00D62C5A">
        <w:rPr>
          <w:rStyle w:val="FootnoteReference"/>
        </w:rPr>
        <w:footnoteRef/>
      </w:r>
      <w:r w:rsidRPr="00D62C5A">
        <w:rPr>
          <w:sz w:val="20"/>
        </w:rP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r w:rsidRPr="000F1FEC">
        <w:rPr>
          <w:sz w:val="20"/>
        </w:rPr>
        <w:t>Pub. L. No. 112-96</w:t>
      </w:r>
      <w:r w:rsidRPr="00F14545">
        <w:rPr>
          <w:sz w:val="20"/>
        </w:rPr>
        <w:t xml:space="preserve">, §§ 6402 (codified at </w:t>
      </w:r>
      <w:r w:rsidRPr="000F1FEC">
        <w:rPr>
          <w:sz w:val="20"/>
        </w:rPr>
        <w:t>47 U.S.C. § 309(j)(8)(G)</w:t>
      </w:r>
      <w:r w:rsidRPr="00F14545">
        <w:rPr>
          <w:sz w:val="20"/>
        </w:rPr>
        <w:t xml:space="preserve">), 6403 (codified at </w:t>
      </w:r>
      <w:r w:rsidRPr="000F1FEC">
        <w:rPr>
          <w:sz w:val="20"/>
        </w:rPr>
        <w:t>47 U.S.C. § 1452</w:t>
      </w:r>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p w:rsidR="000F1FEC" w:rsidRPr="00F629D0" w:rsidP="00AF5744" w14:paraId="5D2C5B38" w14:textId="77777777">
      <w:pPr>
        <w:rPr>
          <w:sz w:val="20"/>
        </w:rPr>
      </w:pPr>
    </w:p>
  </w:footnote>
  <w:footnote w:id="5">
    <w:p w:rsidR="000F1FEC" w:rsidP="00AF5744" w14:paraId="09B45341" w14:textId="77777777">
      <w:pPr>
        <w:pStyle w:val="FootnoteText"/>
        <w:widowControl w:val="0"/>
      </w:pPr>
      <w:r>
        <w:rPr>
          <w:rStyle w:val="FootnoteReference"/>
        </w:rPr>
        <w:footnoteRef/>
      </w:r>
      <w:r>
        <w:t xml:space="preserve"> Public Notice, </w:t>
      </w:r>
      <w:r w:rsidRPr="00B27A11">
        <w:rPr>
          <w:i/>
          <w:iCs/>
        </w:rPr>
        <w:t>Freeze on the Filing of Petitions for Digital Channel Substitutions, Effective Immediately</w:t>
      </w:r>
      <w:r>
        <w:t xml:space="preserve">, 26 FCC </w:t>
      </w:r>
      <w:r>
        <w:t>Rcd</w:t>
      </w:r>
      <w:r>
        <w:t xml:space="preserve"> 7721 (MB 2011).  </w:t>
      </w:r>
    </w:p>
  </w:footnote>
  <w:footnote w:id="6">
    <w:p w:rsidR="000F1FEC" w:rsidP="00AF5744" w14:paraId="65EAAB45" w14:textId="77777777">
      <w:pPr>
        <w:pStyle w:val="FootnoteText"/>
        <w:widowControl w:val="0"/>
      </w:pPr>
      <w:r>
        <w:rPr>
          <w:rStyle w:val="FootnoteReference"/>
        </w:rPr>
        <w:footnoteRef/>
      </w:r>
      <w:r>
        <w:t xml:space="preserve"> Public Notice, </w:t>
      </w:r>
      <w:r w:rsidRPr="00B27A11">
        <w:rPr>
          <w:i/>
          <w:iCs/>
        </w:rPr>
        <w:t>Media Bureau Partially Lifts Freeze on Filing Petitions for Rulemaking to Change Full Power Stations’ Community of License</w:t>
      </w:r>
      <w:r>
        <w:t xml:space="preserve">, 33 FCC </w:t>
      </w:r>
      <w:r>
        <w:t>Rcd</w:t>
      </w:r>
      <w:r>
        <w:t xml:space="preserve"> 151 (MB 2018) (partially lifting freeze on the filing for community of license changes that do not require or involve changes in a station’s technical facilities).</w:t>
      </w:r>
    </w:p>
  </w:footnote>
  <w:footnote w:id="7">
    <w:p w:rsidR="000F1FEC" w:rsidP="00AF5744" w14:paraId="76B95AEB" w14:textId="77777777">
      <w:pPr>
        <w:pStyle w:val="FootnoteText"/>
        <w:widowControl w:val="0"/>
      </w:pPr>
      <w:r>
        <w:rPr>
          <w:rStyle w:val="FootnoteReference"/>
        </w:rPr>
        <w:footnoteRef/>
      </w:r>
      <w:r>
        <w:t xml:space="preserve"> Amended Petition at 2, n.2.</w:t>
      </w:r>
    </w:p>
  </w:footnote>
  <w:footnote w:id="8">
    <w:p w:rsidR="000F1FEC" w:rsidP="00AF5744" w14:paraId="3FE1D5F1"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See Media Bureau Lifts Freeze on the Filing of Television Station Minor Modification Applications and Rulemaking Petitions Effective Fifteen Days After Publication in the Federal Register</w:t>
      </w:r>
      <w:r>
        <w:rPr>
          <w:rFonts w:ascii="TimesNewRomanPSMT" w:hAnsi="TimesNewRomanPSMT" w:cs="TimesNewRomanPSMT"/>
        </w:rPr>
        <w:t xml:space="preserve">, Public Notice, DA 20-1269 (rel. Oct. 29, 2020). This action was effective on November 27, 2020.  </w:t>
      </w:r>
      <w:r w:rsidRPr="005F5EE7">
        <w:rPr>
          <w:rFonts w:ascii="TimesNewRomanPSMT" w:hAnsi="TimesNewRomanPSMT" w:cs="TimesNewRomanPSMT"/>
          <w:i/>
          <w:iCs/>
        </w:rPr>
        <w:t>See</w:t>
      </w:r>
      <w:r>
        <w:rPr>
          <w:rFonts w:ascii="TimesNewRomanPSMT" w:hAnsi="TimesNewRomanPSMT" w:cs="TimesNewRomanPSMT"/>
        </w:rPr>
        <w:t xml:space="preserve"> 85 FR 73706 (Nov. 19, 2020).</w:t>
      </w:r>
    </w:p>
  </w:footnote>
  <w:footnote w:id="9">
    <w:p w:rsidR="000F1FEC" w:rsidP="00AF5744" w14:paraId="55D96008" w14:textId="77777777">
      <w:pPr>
        <w:pStyle w:val="FootnoteText"/>
        <w:widowControl w:val="0"/>
      </w:pPr>
      <w:r>
        <w:rPr>
          <w:rStyle w:val="FootnoteReference"/>
        </w:rPr>
        <w:footnoteRef/>
      </w:r>
      <w:r>
        <w:t xml:space="preserve"> </w:t>
      </w:r>
      <w:r w:rsidRPr="00B12E82">
        <w:rPr>
          <w:i/>
          <w:iCs/>
        </w:rPr>
        <w:t>See infra</w:t>
      </w:r>
      <w:r>
        <w:t xml:space="preserve"> paras. 7-12.</w:t>
      </w:r>
    </w:p>
  </w:footnote>
  <w:footnote w:id="10">
    <w:p w:rsidR="000F1FEC" w:rsidP="00AF5744" w14:paraId="0F45F8D0" w14:textId="77777777">
      <w:pPr>
        <w:pStyle w:val="FootnoteText"/>
        <w:widowControl w:val="0"/>
      </w:pPr>
      <w:r>
        <w:rPr>
          <w:rStyle w:val="FootnoteReference"/>
        </w:rPr>
        <w:footnoteRef/>
      </w:r>
      <w:r>
        <w:t xml:space="preserve"> Amended Petition at 2-3.</w:t>
      </w:r>
    </w:p>
  </w:footnote>
  <w:footnote w:id="11">
    <w:p w:rsidR="000F1FEC" w:rsidP="00AF5744" w14:paraId="0A66F83E" w14:textId="77777777">
      <w:pPr>
        <w:pStyle w:val="FootnoteText"/>
        <w:widowControl w:val="0"/>
      </w:pPr>
      <w:r>
        <w:rPr>
          <w:rStyle w:val="FootnoteReference"/>
        </w:rPr>
        <w:footnoteRef/>
      </w:r>
      <w:r>
        <w:t xml:space="preserve"> Amended Petition at 3, 4; </w:t>
      </w:r>
      <w:r w:rsidRPr="00B85FE9">
        <w:rPr>
          <w:i/>
          <w:iCs/>
        </w:rPr>
        <w:t>see also</w:t>
      </w:r>
      <w:r>
        <w:t xml:space="preserve"> LMS File No. 000011857 (granted Nov. 27, 2020).</w:t>
      </w:r>
    </w:p>
  </w:footnote>
  <w:footnote w:id="12">
    <w:p w:rsidR="000F1FEC" w:rsidP="00AF5744" w14:paraId="2B4E0A3D" w14:textId="77777777">
      <w:pPr>
        <w:pStyle w:val="FootnoteText"/>
        <w:widowControl w:val="0"/>
      </w:pPr>
      <w:r>
        <w:rPr>
          <w:rStyle w:val="FootnoteReference"/>
        </w:rPr>
        <w:footnoteRef/>
      </w:r>
      <w:r>
        <w:t xml:space="preserve"> Amended Petition at 3.  Gray explains that it acquired the Superior station pursuant to a failing station waiver in 2013, that the station had been silent for extended periods before Gray’s acquisition, and that the “former owner had very limited resources” and constructed the station’s channel 4 digital facilities “with older, repurposed equipment that never worked as well as predicted using the FCC’s standard contour prediction methodologies.”  </w:t>
      </w:r>
      <w:r w:rsidRPr="00B12E82">
        <w:rPr>
          <w:i/>
          <w:iCs/>
        </w:rPr>
        <w:t>Id</w:t>
      </w:r>
      <w:r>
        <w:t>.</w:t>
      </w:r>
    </w:p>
  </w:footnote>
  <w:footnote w:id="13">
    <w:p w:rsidR="000F1FEC" w:rsidP="00AF5744" w14:paraId="6BEB83F9" w14:textId="77777777">
      <w:pPr>
        <w:pStyle w:val="FootnoteText"/>
        <w:widowControl w:val="0"/>
      </w:pPr>
      <w:r>
        <w:rPr>
          <w:rStyle w:val="FootnoteReference"/>
        </w:rPr>
        <w:footnoteRef/>
      </w:r>
      <w:r>
        <w:t xml:space="preserve"> </w:t>
      </w:r>
      <w:r w:rsidRPr="005720AE">
        <w:rPr>
          <w:i/>
          <w:iCs/>
        </w:rPr>
        <w:t>Id</w:t>
      </w:r>
      <w:r>
        <w:t xml:space="preserve">. at 4-5; </w:t>
      </w:r>
      <w:r w:rsidRPr="00EA2744">
        <w:rPr>
          <w:i/>
          <w:iCs/>
        </w:rPr>
        <w:t>see also</w:t>
      </w:r>
      <w:r>
        <w:t xml:space="preserve"> Engineering Exhibit at 2.  Gray further states that although it discovered after acquiring KSNB-TV in 2013 that the station’s digital facilities were “grossly inadequate,” it could not pursue any meaningful upgrades because of various broadcast freezes then in effect, and that “in recent years, Gray’s engineering resources have been devoted fully to the [incentive auction] repack.”  Amended Petition at 3.</w:t>
      </w:r>
    </w:p>
  </w:footnote>
  <w:footnote w:id="14">
    <w:p w:rsidR="000F1FEC" w:rsidP="00AF5744" w14:paraId="4532E20A" w14:textId="77777777">
      <w:pPr>
        <w:pStyle w:val="FootnoteText"/>
        <w:widowControl w:val="0"/>
      </w:pPr>
      <w:r>
        <w:rPr>
          <w:rStyle w:val="FootnoteReference"/>
        </w:rPr>
        <w:footnoteRef/>
      </w:r>
      <w:r>
        <w:t xml:space="preserve"> Amended Petition, Engineering Exhibit at 3; 47 CFR § 73.625(a).</w:t>
      </w:r>
    </w:p>
  </w:footnote>
  <w:footnote w:id="15">
    <w:p w:rsidR="000F1FEC" w:rsidRPr="000805A3" w:rsidP="00AF5744" w14:paraId="4C1679C4" w14:textId="77777777">
      <w:pPr>
        <w:pStyle w:val="FootnoteText"/>
        <w:widowControl w:val="0"/>
      </w:pPr>
      <w:r>
        <w:rPr>
          <w:rStyle w:val="FootnoteReference"/>
        </w:rPr>
        <w:footnoteRef/>
      </w:r>
      <w:r>
        <w:t xml:space="preserve"> Amended Petition</w:t>
      </w:r>
      <w:r>
        <w:rPr>
          <w:i/>
          <w:iCs/>
        </w:rPr>
        <w:t xml:space="preserve"> </w:t>
      </w:r>
      <w:r>
        <w:t xml:space="preserve">at 6-7.  </w:t>
      </w:r>
      <w:r>
        <w:rPr>
          <w:i/>
          <w:iCs/>
        </w:rPr>
        <w:t xml:space="preserve">See also </w:t>
      </w:r>
      <w:r w:rsidRPr="000805A3">
        <w:rPr>
          <w:i/>
          <w:iCs/>
        </w:rPr>
        <w:t>Beacon Broadcasting</w:t>
      </w:r>
      <w:r w:rsidRPr="000805A3">
        <w:t>, 2 FCC Red 3469</w:t>
      </w:r>
      <w:r>
        <w:t xml:space="preserve"> (1987), </w:t>
      </w:r>
      <w:r w:rsidRPr="00325FFB">
        <w:rPr>
          <w:i/>
          <w:iCs/>
        </w:rPr>
        <w:t>recon. denied</w:t>
      </w:r>
      <w:r>
        <w:t xml:space="preserve">, 2 FCC </w:t>
      </w:r>
      <w:r>
        <w:t>Rcd</w:t>
      </w:r>
      <w:r>
        <w:t xml:space="preserve"> 7562 (1987) </w:t>
      </w:r>
      <w:r w:rsidRPr="00364566">
        <w:t>(outlining the test for community status under section 307(b) of the Communications Act</w:t>
      </w:r>
      <w:r>
        <w:t xml:space="preserve"> of 1934, as amended</w:t>
      </w:r>
      <w:r w:rsidRPr="00364566">
        <w:t>)</w:t>
      </w:r>
      <w:r>
        <w:t>.</w:t>
      </w:r>
    </w:p>
  </w:footnote>
  <w:footnote w:id="16">
    <w:p w:rsidR="000F1FEC" w:rsidP="00AF5744" w14:paraId="154A2FC5" w14:textId="77777777">
      <w:pPr>
        <w:pStyle w:val="FootnoteText"/>
        <w:widowControl w:val="0"/>
      </w:pPr>
      <w:r>
        <w:rPr>
          <w:rStyle w:val="FootnoteReference"/>
        </w:rPr>
        <w:footnoteRef/>
      </w:r>
      <w:r>
        <w:t xml:space="preserve"> Amended Petition at 6.</w:t>
      </w:r>
    </w:p>
  </w:footnote>
  <w:footnote w:id="17">
    <w:p w:rsidR="000F1FEC" w:rsidP="00AF5744" w14:paraId="5A174AB1" w14:textId="77777777">
      <w:pPr>
        <w:pStyle w:val="FootnoteText"/>
        <w:widowControl w:val="0"/>
      </w:pPr>
      <w:r>
        <w:rPr>
          <w:rStyle w:val="FootnoteReference"/>
        </w:rPr>
        <w:footnoteRef/>
      </w:r>
      <w:r>
        <w:t xml:space="preserve"> </w:t>
      </w:r>
      <w:r w:rsidRPr="009B33B4">
        <w:rPr>
          <w:i/>
          <w:iCs/>
        </w:rPr>
        <w:t>Id</w:t>
      </w:r>
      <w:r>
        <w:t>. at 6-7.</w:t>
      </w:r>
    </w:p>
  </w:footnote>
  <w:footnote w:id="18">
    <w:p w:rsidR="000F1FEC" w:rsidP="00AF5744" w14:paraId="4A9955FF" w14:textId="77777777">
      <w:pPr>
        <w:pStyle w:val="FootnoteText"/>
        <w:widowControl w:val="0"/>
      </w:pPr>
      <w:r>
        <w:rPr>
          <w:rStyle w:val="FootnoteReference"/>
        </w:rPr>
        <w:footnoteRef/>
      </w:r>
      <w:r>
        <w:t xml:space="preserve"> </w:t>
      </w:r>
      <w:r w:rsidRPr="00965BE3">
        <w:rPr>
          <w:i/>
          <w:iCs/>
        </w:rPr>
        <w:t>Id</w:t>
      </w:r>
      <w:r>
        <w:t>.</w:t>
      </w:r>
    </w:p>
  </w:footnote>
  <w:footnote w:id="19">
    <w:p w:rsidR="000F1FEC" w:rsidP="00AF5744" w14:paraId="7784EE7A" w14:textId="77777777">
      <w:pPr>
        <w:pStyle w:val="FootnoteText"/>
        <w:widowControl w:val="0"/>
      </w:pPr>
      <w:r>
        <w:rPr>
          <w:rStyle w:val="FootnoteReference"/>
        </w:rPr>
        <w:footnoteRef/>
      </w:r>
      <w:r>
        <w:t xml:space="preserve"> </w:t>
      </w:r>
      <w:r w:rsidRPr="007F1DE6">
        <w:rPr>
          <w:i/>
          <w:iCs/>
        </w:rPr>
        <w:t>Id.</w:t>
      </w:r>
      <w:r>
        <w:t xml:space="preserve"> at 7.</w:t>
      </w:r>
    </w:p>
  </w:footnote>
  <w:footnote w:id="20">
    <w:p w:rsidR="000F1FEC" w:rsidP="00AF5744" w14:paraId="41BDAC2A" w14:textId="77777777">
      <w:pPr>
        <w:pStyle w:val="FootnoteText"/>
        <w:widowControl w:val="0"/>
      </w:pPr>
      <w:r>
        <w:rPr>
          <w:rStyle w:val="FootnoteReference"/>
        </w:rPr>
        <w:footnoteRef/>
      </w:r>
      <w:r>
        <w:t xml:space="preserve"> </w:t>
      </w:r>
      <w:r w:rsidRPr="003D3F5E">
        <w:rPr>
          <w:i/>
          <w:iCs/>
        </w:rPr>
        <w:t>Id</w:t>
      </w:r>
      <w:r>
        <w:t xml:space="preserve">. at 11-13; </w:t>
      </w:r>
      <w:r w:rsidRPr="003D3F5E">
        <w:rPr>
          <w:i/>
          <w:iCs/>
        </w:rPr>
        <w:t>see infra</w:t>
      </w:r>
      <w:r>
        <w:t xml:space="preserve"> para. 8.</w:t>
      </w:r>
    </w:p>
  </w:footnote>
  <w:footnote w:id="21">
    <w:p w:rsidR="000F1FEC" w:rsidP="00AF5744" w14:paraId="2482AC30" w14:textId="77777777">
      <w:pPr>
        <w:pStyle w:val="FootnoteText"/>
        <w:widowControl w:val="0"/>
      </w:pPr>
      <w:r>
        <w:rPr>
          <w:rStyle w:val="FootnoteReference"/>
        </w:rPr>
        <w:footnoteRef/>
      </w:r>
      <w:r>
        <w:t xml:space="preserve"> Amended Petition at 12-13.</w:t>
      </w:r>
    </w:p>
  </w:footnote>
  <w:footnote w:id="22">
    <w:p w:rsidR="000F1FEC" w:rsidP="00AF5744" w14:paraId="44147A9D" w14:textId="77777777">
      <w:pPr>
        <w:pStyle w:val="FootnoteText"/>
        <w:widowControl w:val="0"/>
      </w:pPr>
      <w:r>
        <w:rPr>
          <w:rStyle w:val="FootnoteReference"/>
        </w:rPr>
        <w:footnoteRef/>
      </w:r>
      <w:r>
        <w:t xml:space="preserve"> </w:t>
      </w:r>
      <w:r w:rsidRPr="000F1FEC">
        <w:rPr>
          <w:i/>
          <w:iCs/>
        </w:rPr>
        <w:t>I</w:t>
      </w:r>
      <w:r w:rsidRPr="0050649A">
        <w:rPr>
          <w:i/>
        </w:rPr>
        <w:t>d.</w:t>
      </w:r>
      <w:r>
        <w:t xml:space="preserve"> at 12.</w:t>
      </w:r>
    </w:p>
  </w:footnote>
  <w:footnote w:id="23">
    <w:p w:rsidR="000F1FEC" w:rsidP="00AF5744" w14:paraId="60B0B652" w14:textId="77777777">
      <w:pPr>
        <w:pStyle w:val="FootnoteText"/>
        <w:widowControl w:val="0"/>
      </w:pPr>
      <w:r>
        <w:rPr>
          <w:rStyle w:val="FootnoteReference"/>
        </w:rPr>
        <w:footnoteRef/>
      </w:r>
      <w:r>
        <w:t xml:space="preserve"> Amended Petition, Engineering Exhibit at 2.</w:t>
      </w:r>
    </w:p>
  </w:footnote>
  <w:footnote w:id="24">
    <w:p w:rsidR="000F1FEC" w:rsidP="00AF5744" w14:paraId="764F4718" w14:textId="77777777">
      <w:pPr>
        <w:pStyle w:val="FootnoteText"/>
        <w:widowControl w:val="0"/>
      </w:pPr>
      <w:r>
        <w:rPr>
          <w:rStyle w:val="FootnoteReference"/>
        </w:rPr>
        <w:footnoteRef/>
      </w:r>
      <w:r>
        <w:t xml:space="preserve"> Amended Petition at 15.</w:t>
      </w:r>
    </w:p>
  </w:footnote>
  <w:footnote w:id="25">
    <w:p w:rsidR="0063074E" w:rsidP="00AF5744" w14:paraId="308A3207" w14:textId="054A3C68">
      <w:pPr>
        <w:pStyle w:val="FootnoteText"/>
        <w:widowControl w:val="0"/>
      </w:pPr>
      <w:r>
        <w:rPr>
          <w:rStyle w:val="FootnoteReference"/>
        </w:rPr>
        <w:footnoteRef/>
      </w:r>
      <w:r>
        <w:t xml:space="preserve"> </w:t>
      </w:r>
      <w:r w:rsidRPr="0063074E">
        <w:rPr>
          <w:i/>
          <w:iCs/>
        </w:rPr>
        <w:t>Id.</w:t>
      </w:r>
    </w:p>
  </w:footnote>
  <w:footnote w:id="26">
    <w:p w:rsidR="000F1FEC" w:rsidP="00AF5744" w14:paraId="5A6765B8" w14:textId="0D963638">
      <w:pPr>
        <w:pStyle w:val="FootnoteText"/>
        <w:widowControl w:val="0"/>
      </w:pPr>
      <w:r>
        <w:rPr>
          <w:rStyle w:val="FootnoteReference"/>
        </w:rPr>
        <w:footnoteRef/>
      </w:r>
      <w:r>
        <w:t xml:space="preserve"> </w:t>
      </w:r>
      <w:r w:rsidRPr="000F1FEC">
        <w:rPr>
          <w:i/>
          <w:iCs/>
        </w:rPr>
        <w:t>Id.</w:t>
      </w:r>
      <w:r>
        <w:t xml:space="preserve"> at 16; Engineering Exhibit at 3.</w:t>
      </w:r>
    </w:p>
  </w:footnote>
  <w:footnote w:id="27">
    <w:p w:rsidR="000F1FEC" w:rsidP="00AF5744" w14:paraId="4BB62360" w14:textId="56AAACFA">
      <w:pPr>
        <w:pStyle w:val="FootnoteText"/>
        <w:widowControl w:val="0"/>
      </w:pPr>
      <w:r>
        <w:rPr>
          <w:rStyle w:val="FootnoteReference"/>
        </w:rPr>
        <w:footnoteRef/>
      </w:r>
      <w:r>
        <w:t xml:space="preserve"> Amended Petition at 16; </w:t>
      </w:r>
      <w:r w:rsidRPr="00EA2A05">
        <w:rPr>
          <w:i/>
          <w:iCs/>
        </w:rPr>
        <w:t>see also</w:t>
      </w:r>
      <w:r w:rsidRPr="0050649A">
        <w:rPr>
          <w:i/>
        </w:rPr>
        <w:t xml:space="preserve"> </w:t>
      </w:r>
      <w:r>
        <w:t>Amended Petition, Engineering Exhibit at 3-5 and Figures 2, 3.  Gray also states that “[b]</w:t>
      </w:r>
      <w:r>
        <w:t>ecause</w:t>
      </w:r>
      <w:r>
        <w:t xml:space="preserve"> so few viewers are able to receive KSNB with an over-the-air antenna, Gray has been broadcasting KSNB’s programming on multicast channels for KOLN and satellite stations KGIN [CBS/NBC, Grand Island, Nebraska] and KNHL [</w:t>
      </w:r>
      <w:r>
        <w:t>MyNetwork</w:t>
      </w:r>
      <w:r>
        <w:t>/NBC/CW, Hastings, Nebraska].”  Amended Petition at n.7.</w:t>
      </w:r>
    </w:p>
  </w:footnote>
  <w:footnote w:id="28">
    <w:p w:rsidR="000F1FEC" w:rsidRPr="00762A73" w:rsidP="00AF5744" w14:paraId="25780A6B" w14:textId="4C2672F6">
      <w:pPr>
        <w:pStyle w:val="FootnoteText"/>
        <w:widowControl w:val="0"/>
      </w:pPr>
      <w:r w:rsidRPr="00762A73">
        <w:rPr>
          <w:rStyle w:val="FootnoteReference"/>
        </w:rPr>
        <w:footnoteRef/>
      </w:r>
      <w:r w:rsidRPr="00762A73">
        <w:t xml:space="preserve"> 47 CFR § 1.420(</w:t>
      </w:r>
      <w:r w:rsidRPr="00762A73">
        <w:t>i</w:t>
      </w:r>
      <w:r w:rsidRPr="00762A73">
        <w:t>)</w:t>
      </w:r>
      <w:r>
        <w:t xml:space="preserve">; </w:t>
      </w:r>
      <w:hyperlink r:id="rId1" w:history="1">
        <w:r w:rsidRPr="006D321A">
          <w:rPr>
            <w:i/>
            <w:iCs/>
            <w:snapToGrid w:val="0"/>
            <w:kern w:val="28"/>
          </w:rPr>
          <w:t>Modification of FM and TV Authorizations to Specify a New Community of License</w:t>
        </w:r>
        <w:r w:rsidRPr="006D321A">
          <w:rPr>
            <w:snapToGrid w:val="0"/>
            <w:kern w:val="28"/>
          </w:rPr>
          <w:t xml:space="preserve">, </w:t>
        </w:r>
        <w:r w:rsidR="004060C3">
          <w:rPr>
            <w:snapToGrid w:val="0"/>
            <w:kern w:val="28"/>
          </w:rPr>
          <w:t>MM Docket No. 88</w:t>
        </w:r>
        <w:r w:rsidR="00B51854">
          <w:rPr>
            <w:snapToGrid w:val="0"/>
            <w:kern w:val="28"/>
          </w:rPr>
          <w:t>-</w:t>
        </w:r>
        <w:r w:rsidR="004060C3">
          <w:rPr>
            <w:snapToGrid w:val="0"/>
            <w:kern w:val="28"/>
          </w:rPr>
          <w:t xml:space="preserve">526, </w:t>
        </w:r>
        <w:r w:rsidRPr="006D321A">
          <w:rPr>
            <w:snapToGrid w:val="0"/>
            <w:kern w:val="28"/>
          </w:rPr>
          <w:t xml:space="preserve">Report and Order, 4 FCC </w:t>
        </w:r>
        <w:r w:rsidRPr="006D321A">
          <w:rPr>
            <w:snapToGrid w:val="0"/>
            <w:kern w:val="28"/>
          </w:rPr>
          <w:t>Rcd</w:t>
        </w:r>
        <w:r w:rsidRPr="006D321A">
          <w:rPr>
            <w:snapToGrid w:val="0"/>
            <w:kern w:val="28"/>
          </w:rPr>
          <w:t xml:space="preserve"> 4870</w:t>
        </w:r>
        <w:r>
          <w:rPr>
            <w:snapToGrid w:val="0"/>
            <w:kern w:val="28"/>
          </w:rPr>
          <w:t>, 4873, para. 22</w:t>
        </w:r>
        <w:r w:rsidRPr="006D321A">
          <w:rPr>
            <w:snapToGrid w:val="0"/>
            <w:kern w:val="28"/>
          </w:rPr>
          <w:t xml:space="preserve"> (1989)</w:t>
        </w:r>
      </w:hyperlink>
      <w:r>
        <w:rPr>
          <w:snapToGrid w:val="0"/>
          <w:kern w:val="28"/>
        </w:rPr>
        <w:t xml:space="preserve"> </w:t>
      </w:r>
      <w:r w:rsidRPr="00762A73">
        <w:t>(</w:t>
      </w:r>
      <w:r>
        <w:rPr>
          <w:i/>
        </w:rPr>
        <w:t>Change in Community R</w:t>
      </w:r>
      <w:r w:rsidRPr="00762A73">
        <w:rPr>
          <w:i/>
        </w:rPr>
        <w:t>&amp;O</w:t>
      </w:r>
      <w:r w:rsidRPr="00762A73">
        <w:t>)</w:t>
      </w:r>
      <w:r w:rsidRPr="006D321A">
        <w:rPr>
          <w:snapToGrid w:val="0"/>
          <w:kern w:val="28"/>
        </w:rPr>
        <w:t>, </w:t>
      </w:r>
      <w:r w:rsidRPr="006D321A">
        <w:rPr>
          <w:i/>
          <w:iCs/>
          <w:snapToGrid w:val="0"/>
          <w:kern w:val="28"/>
        </w:rPr>
        <w:t>recon. granted in part</w:t>
      </w:r>
      <w:r w:rsidRPr="006D321A">
        <w:rPr>
          <w:snapToGrid w:val="0"/>
          <w:kern w:val="28"/>
        </w:rPr>
        <w:t>, </w:t>
      </w:r>
      <w:hyperlink r:id="rId2" w:history="1">
        <w:r w:rsidRPr="006D321A">
          <w:rPr>
            <w:snapToGrid w:val="0"/>
            <w:kern w:val="28"/>
          </w:rPr>
          <w:t xml:space="preserve">5 FCC </w:t>
        </w:r>
        <w:r w:rsidRPr="006D321A">
          <w:rPr>
            <w:snapToGrid w:val="0"/>
            <w:kern w:val="28"/>
          </w:rPr>
          <w:t>Rcd</w:t>
        </w:r>
        <w:r w:rsidRPr="006D321A">
          <w:rPr>
            <w:snapToGrid w:val="0"/>
            <w:kern w:val="28"/>
          </w:rPr>
          <w:t xml:space="preserve"> 7094 (1990)</w:t>
        </w:r>
      </w:hyperlink>
      <w:r>
        <w:rPr>
          <w:snapToGrid w:val="0"/>
          <w:kern w:val="28"/>
        </w:rPr>
        <w:t xml:space="preserve"> </w:t>
      </w:r>
      <w:r w:rsidRPr="00762A73">
        <w:t>(</w:t>
      </w:r>
      <w:r>
        <w:rPr>
          <w:i/>
        </w:rPr>
        <w:t>Recon M</w:t>
      </w:r>
      <w:r w:rsidRPr="00762A73">
        <w:rPr>
          <w:i/>
        </w:rPr>
        <w:t>O&amp;O</w:t>
      </w:r>
      <w:r w:rsidRPr="00762A73">
        <w:t>)</w:t>
      </w:r>
      <w:r w:rsidRPr="006D321A">
        <w:rPr>
          <w:snapToGrid w:val="0"/>
          <w:kern w:val="28"/>
        </w:rPr>
        <w:t>.</w:t>
      </w:r>
    </w:p>
  </w:footnote>
  <w:footnote w:id="29">
    <w:p w:rsidR="000F1FEC" w:rsidRPr="00762A73" w:rsidP="00AF5744" w14:paraId="09347DF8" w14:textId="77777777">
      <w:pPr>
        <w:pStyle w:val="FootnoteText"/>
        <w:widowControl w:val="0"/>
      </w:pPr>
      <w:r w:rsidRPr="00762A73">
        <w:rPr>
          <w:rStyle w:val="FootnoteReference"/>
        </w:rPr>
        <w:footnoteRef/>
      </w:r>
      <w:r w:rsidRPr="0003403B">
        <w:rPr>
          <w:i/>
        </w:rPr>
        <w:t xml:space="preserve"> </w:t>
      </w:r>
      <w:r w:rsidRPr="00762A73">
        <w:rPr>
          <w:i/>
        </w:rPr>
        <w:t>Change in Community RO&amp;O</w:t>
      </w:r>
      <w:r>
        <w:t>,</w:t>
      </w:r>
      <w:r w:rsidRPr="00762A73">
        <w:rPr>
          <w:i/>
        </w:rPr>
        <w:t xml:space="preserve"> </w:t>
      </w:r>
      <w:r>
        <w:t xml:space="preserve">4 </w:t>
      </w:r>
      <w:r w:rsidRPr="00762A73">
        <w:t xml:space="preserve">FCC </w:t>
      </w:r>
      <w:r w:rsidRPr="00762A73">
        <w:t>Rcd</w:t>
      </w:r>
      <w:r>
        <w:t xml:space="preserve"> at 4874, para. 28</w:t>
      </w:r>
      <w:r w:rsidRPr="00762A73">
        <w:rPr>
          <w:i/>
        </w:rPr>
        <w:t>.</w:t>
      </w:r>
    </w:p>
  </w:footnote>
  <w:footnote w:id="30">
    <w:p w:rsidR="000F1FEC" w:rsidP="00AF5744" w14:paraId="3DD1576E" w14:textId="77777777">
      <w:pPr>
        <w:pStyle w:val="FootnoteText"/>
        <w:widowControl w:val="0"/>
      </w:pPr>
      <w:r>
        <w:rPr>
          <w:rStyle w:val="FootnoteReference"/>
        </w:rPr>
        <w:footnoteRef/>
      </w:r>
      <w:r>
        <w:t xml:space="preserve"> </w:t>
      </w:r>
      <w:r w:rsidRPr="00E65D0E">
        <w:rPr>
          <w:i/>
          <w:iCs/>
        </w:rPr>
        <w:t>Recon MO&amp;O</w:t>
      </w:r>
      <w:r>
        <w:t xml:space="preserve">, 5 FCC </w:t>
      </w:r>
      <w:r>
        <w:t>Rcd</w:t>
      </w:r>
      <w:r>
        <w:t xml:space="preserve"> at 7096, para. 17.</w:t>
      </w:r>
    </w:p>
  </w:footnote>
  <w:footnote w:id="31">
    <w:p w:rsidR="000F1FEC" w:rsidP="00AF5744" w14:paraId="2313E39D" w14:textId="77777777">
      <w:pPr>
        <w:pStyle w:val="FootnoteText"/>
        <w:widowControl w:val="0"/>
      </w:pPr>
      <w:r>
        <w:rPr>
          <w:rStyle w:val="FootnoteReference"/>
        </w:rPr>
        <w:footnoteRef/>
      </w:r>
      <w:r>
        <w:t xml:space="preserve"> </w:t>
      </w:r>
      <w:r w:rsidRPr="00E65D0E">
        <w:rPr>
          <w:i/>
          <w:iCs/>
        </w:rPr>
        <w:t>Id</w:t>
      </w:r>
      <w:r>
        <w:t>.</w:t>
      </w:r>
    </w:p>
  </w:footnote>
  <w:footnote w:id="32">
    <w:p w:rsidR="000F1FEC" w:rsidP="00AF5744" w14:paraId="4D0FD0E8" w14:textId="77777777">
      <w:pPr>
        <w:pStyle w:val="FootnoteText"/>
        <w:widowControl w:val="0"/>
      </w:pPr>
      <w:r>
        <w:rPr>
          <w:rStyle w:val="FootnoteReference"/>
        </w:rPr>
        <w:footnoteRef/>
      </w:r>
      <w:r>
        <w:t xml:space="preserve"> </w:t>
      </w:r>
      <w:r w:rsidRPr="00762A73">
        <w:rPr>
          <w:i/>
        </w:rPr>
        <w:t xml:space="preserve">Amendment of Section 3.606 of the Commission’s Rules and Regulations, </w:t>
      </w:r>
      <w:r w:rsidRPr="00762A73">
        <w:t>Sixth Report and Order, 41 F.C.C. 148, 167-173 (1952) (</w:t>
      </w:r>
      <w:r w:rsidRPr="00762A73">
        <w:rPr>
          <w:i/>
        </w:rPr>
        <w:t xml:space="preserve">Sixth Report </w:t>
      </w:r>
      <w:r>
        <w:rPr>
          <w:i/>
        </w:rPr>
        <w:t>a</w:t>
      </w:r>
      <w:r w:rsidRPr="00762A73">
        <w:rPr>
          <w:i/>
        </w:rPr>
        <w:t>nd Order</w:t>
      </w:r>
      <w:r w:rsidRPr="00762A73">
        <w:t>)</w:t>
      </w:r>
      <w:r w:rsidRPr="00762A73">
        <w:rPr>
          <w:i/>
        </w:rPr>
        <w:t>.</w:t>
      </w:r>
    </w:p>
  </w:footnote>
  <w:footnote w:id="33">
    <w:p w:rsidR="000F1FEC" w:rsidP="00AF5744" w14:paraId="72CE2A12" w14:textId="77777777">
      <w:pPr>
        <w:pStyle w:val="FootnoteText"/>
        <w:widowControl w:val="0"/>
      </w:pPr>
      <w:r>
        <w:rPr>
          <w:rStyle w:val="FootnoteReference"/>
        </w:rPr>
        <w:footnoteRef/>
      </w:r>
      <w:r>
        <w:t xml:space="preserve"> </w:t>
      </w:r>
      <w:r w:rsidRPr="00F10363">
        <w:rPr>
          <w:i/>
          <w:iCs/>
        </w:rPr>
        <w:t>See</w:t>
      </w:r>
      <w:r>
        <w:t xml:space="preserve"> Amended Petition at 7.</w:t>
      </w:r>
    </w:p>
  </w:footnote>
  <w:footnote w:id="34">
    <w:p w:rsidR="000F1FEC" w:rsidP="00AF5744" w14:paraId="6A30F3EA" w14:textId="5010E761">
      <w:pPr>
        <w:pStyle w:val="FootnoteText"/>
        <w:widowControl w:val="0"/>
      </w:pPr>
      <w:r>
        <w:rPr>
          <w:rStyle w:val="FootnoteReference"/>
        </w:rPr>
        <w:footnoteRef/>
      </w:r>
      <w:r>
        <w:t xml:space="preserve"> </w:t>
      </w:r>
      <w:r w:rsidRPr="00227D96">
        <w:rPr>
          <w:i/>
          <w:iCs/>
        </w:rPr>
        <w:t xml:space="preserve">See </w:t>
      </w:r>
      <w:r w:rsidRPr="004060C3" w:rsidR="004060C3">
        <w:rPr>
          <w:i/>
          <w:iCs/>
        </w:rPr>
        <w:t>id.</w:t>
      </w:r>
      <w:r>
        <w:t xml:space="preserve"> at nn.10 &amp; 15.</w:t>
      </w:r>
    </w:p>
  </w:footnote>
  <w:footnote w:id="35">
    <w:p w:rsidR="000F1FEC" w:rsidP="00AF5744" w14:paraId="730A501D" w14:textId="77777777">
      <w:pPr>
        <w:pStyle w:val="FootnoteText"/>
        <w:widowControl w:val="0"/>
      </w:pPr>
      <w:r>
        <w:rPr>
          <w:rStyle w:val="FootnoteReference"/>
        </w:rPr>
        <w:footnoteRef/>
      </w:r>
      <w:r>
        <w:t xml:space="preserve"> </w:t>
      </w:r>
      <w:r w:rsidRPr="005572FE">
        <w:rPr>
          <w:i/>
          <w:iCs/>
        </w:rPr>
        <w:t>Id</w:t>
      </w:r>
      <w:r>
        <w:t>. at n.10.</w:t>
      </w:r>
    </w:p>
  </w:footnote>
  <w:footnote w:id="36">
    <w:p w:rsidR="000F1FEC" w:rsidRPr="00B961FD" w:rsidP="00AF5744" w14:paraId="6DB06F41" w14:textId="074744F9">
      <w:pPr>
        <w:pStyle w:val="FootnoteText"/>
        <w:widowControl w:val="0"/>
      </w:pPr>
      <w:r w:rsidRPr="00B961FD">
        <w:rPr>
          <w:rStyle w:val="FootnoteReference"/>
        </w:rPr>
        <w:footnoteRef/>
      </w:r>
      <w:r w:rsidRPr="00B961FD">
        <w:t xml:space="preserve"> 47 CFR § 1.3</w:t>
      </w:r>
      <w:r w:rsidR="004060C3">
        <w:t>.</w:t>
      </w:r>
    </w:p>
  </w:footnote>
  <w:footnote w:id="37">
    <w:p w:rsidR="000F1FEC" w:rsidRPr="004060C3" w:rsidP="00AF5744" w14:paraId="24A9013C" w14:textId="542DB8AE">
      <w:pPr>
        <w:pStyle w:val="FootnoteText"/>
        <w:widowControl w:val="0"/>
      </w:pPr>
      <w:r w:rsidRPr="00B961FD">
        <w:rPr>
          <w:rStyle w:val="FootnoteReference"/>
        </w:rPr>
        <w:footnoteRef/>
      </w:r>
      <w:r w:rsidRPr="00B961FD">
        <w:t xml:space="preserve"> </w:t>
      </w:r>
      <w:r w:rsidRPr="004060C3" w:rsidR="004060C3">
        <w:rPr>
          <w:i/>
          <w:iCs/>
        </w:rPr>
        <w:t>Id</w:t>
      </w:r>
      <w:r w:rsidR="004060C3">
        <w:rPr>
          <w:i/>
          <w:iCs/>
        </w:rPr>
        <w:t>.</w:t>
      </w:r>
    </w:p>
  </w:footnote>
  <w:footnote w:id="38">
    <w:p w:rsidR="000F1FEC" w:rsidRPr="00B961FD" w:rsidP="00AF5744" w14:paraId="02A10E94" w14:textId="4DE2FCFA">
      <w:pPr>
        <w:pStyle w:val="FootnoteText"/>
        <w:widowControl w:val="0"/>
      </w:pPr>
      <w:r w:rsidRPr="00B961FD">
        <w:rPr>
          <w:rStyle w:val="FootnoteReference"/>
        </w:rPr>
        <w:footnoteRef/>
      </w:r>
      <w:r w:rsidRPr="00B961FD">
        <w:t xml:space="preserve"> </w:t>
      </w:r>
      <w:r w:rsidRPr="0039000F">
        <w:rPr>
          <w:i/>
          <w:iCs/>
        </w:rPr>
        <w:t>See Northeast Cellular Tel. Co., LP v. FCC</w:t>
      </w:r>
      <w:r w:rsidRPr="0039000F">
        <w:t>, 897 F. 2d 1164, 1166 (D.C. Cir. 1990)</w:t>
      </w:r>
      <w:r w:rsidR="004060C3">
        <w:t>.</w:t>
      </w:r>
    </w:p>
  </w:footnote>
  <w:footnote w:id="39">
    <w:p w:rsidR="000F1FEC" w:rsidRPr="00B961FD" w:rsidP="00AF5744" w14:paraId="77B8E495" w14:textId="21BCAD5F">
      <w:pPr>
        <w:pStyle w:val="FootnoteText"/>
        <w:widowControl w:val="0"/>
      </w:pPr>
      <w:r w:rsidRPr="00B961FD">
        <w:rPr>
          <w:rStyle w:val="FootnoteReference"/>
        </w:rPr>
        <w:footnoteRef/>
      </w:r>
      <w:r w:rsidRPr="00B961FD">
        <w:rPr>
          <w:rStyle w:val="FootnoteReference"/>
        </w:rPr>
        <w:t xml:space="preserve"> </w:t>
      </w:r>
      <w:r w:rsidR="004060C3">
        <w:rPr>
          <w:i/>
        </w:rPr>
        <w:t>Id.</w:t>
      </w:r>
      <w:r w:rsidRPr="00B961FD">
        <w:t xml:space="preserve"> at 1166.</w:t>
      </w:r>
      <w:r w:rsidRPr="004060C3" w:rsidR="004060C3">
        <w:rPr>
          <w:i/>
        </w:rPr>
        <w:t xml:space="preserve"> </w:t>
      </w:r>
      <w:r w:rsidRPr="00533AF9" w:rsidR="004060C3">
        <w:rPr>
          <w:i/>
        </w:rPr>
        <w:t>See</w:t>
      </w:r>
      <w:r w:rsidRPr="00533AF9" w:rsidR="004060C3">
        <w:t xml:space="preserve"> </w:t>
      </w:r>
      <w:r w:rsidRPr="00533AF9" w:rsidR="004060C3">
        <w:rPr>
          <w:i/>
        </w:rPr>
        <w:t>WAIT Radio v. FCC</w:t>
      </w:r>
      <w:r w:rsidRPr="00533AF9" w:rsidR="004060C3">
        <w:t>, 418 F.2d 1153, 1159 (D.C. Cir. 1969);</w:t>
      </w:r>
      <w:r w:rsidR="004060C3">
        <w:t xml:space="preserve"> </w:t>
      </w:r>
      <w:r w:rsidRPr="006318E3" w:rsidR="004060C3">
        <w:rPr>
          <w:i/>
        </w:rPr>
        <w:t>NetworkIP</w:t>
      </w:r>
      <w:r w:rsidRPr="006318E3" w:rsidR="004060C3">
        <w:rPr>
          <w:i/>
        </w:rPr>
        <w:t xml:space="preserve"> v. FCC</w:t>
      </w:r>
      <w:r w:rsidRPr="009402A3" w:rsidR="004060C3">
        <w:rPr>
          <w:iCs/>
        </w:rPr>
        <w:t>, 548 F.3d 116, 125-28 (D.C. Cir. 2008)</w:t>
      </w:r>
      <w:r w:rsidR="004060C3">
        <w:rPr>
          <w:iCs/>
        </w:rPr>
        <w:t>.</w:t>
      </w:r>
    </w:p>
  </w:footnote>
  <w:footnote w:id="40">
    <w:p w:rsidR="000F1FEC" w:rsidRPr="0063074E" w:rsidP="00AF5744" w14:paraId="0B261767" w14:textId="5F030055">
      <w:pPr>
        <w:pStyle w:val="FootnoteText"/>
        <w:widowControl w:val="0"/>
        <w:rPr>
          <w:iCs/>
        </w:rPr>
      </w:pPr>
      <w:r>
        <w:rPr>
          <w:rStyle w:val="FootnoteReference"/>
        </w:rPr>
        <w:footnoteRef/>
      </w:r>
      <w:r>
        <w:t xml:space="preserve"> Amended Petition at 8-9, citing </w:t>
      </w:r>
      <w:r w:rsidRPr="00762A73">
        <w:rPr>
          <w:i/>
        </w:rPr>
        <w:t>Change in Community R&amp;O</w:t>
      </w:r>
      <w:r w:rsidR="0063074E">
        <w:t xml:space="preserve"> at 4870, para. 1.</w:t>
      </w:r>
    </w:p>
  </w:footnote>
  <w:footnote w:id="41">
    <w:p w:rsidR="000F1FEC" w:rsidP="00AF5744" w14:paraId="4F5C8AC8" w14:textId="4AC6BF04">
      <w:pPr>
        <w:pStyle w:val="FootnoteText"/>
        <w:widowControl w:val="0"/>
      </w:pPr>
      <w:r>
        <w:rPr>
          <w:rStyle w:val="FootnoteReference"/>
        </w:rPr>
        <w:footnoteRef/>
      </w:r>
      <w:r>
        <w:t xml:space="preserve"> Amended Petition at 9, citing </w:t>
      </w:r>
      <w:r w:rsidRPr="00871AA4">
        <w:rPr>
          <w:i/>
          <w:iCs/>
        </w:rPr>
        <w:t>Change in Community R&amp;O</w:t>
      </w:r>
      <w:r>
        <w:t xml:space="preserve">, 4 FCC </w:t>
      </w:r>
      <w:r>
        <w:t>Rcd</w:t>
      </w:r>
      <w:r>
        <w:t xml:space="preserve"> at 487</w:t>
      </w:r>
      <w:r w:rsidR="0075008E">
        <w:t>2-7</w:t>
      </w:r>
      <w:r>
        <w:t>3, paras. 22, 24.</w:t>
      </w:r>
      <w:r w:rsidR="00AF5744">
        <w:t xml:space="preserve">  The Commission went on to state that this approach with regards to mutually exclusivity is not precluded by the</w:t>
      </w:r>
      <w:r w:rsidRPr="0075008E" w:rsidR="00AF5744">
        <w:t xml:space="preserve"> </w:t>
      </w:r>
      <w:r w:rsidRPr="00BB7541" w:rsidR="00AF5744">
        <w:rPr>
          <w:i/>
          <w:iCs/>
        </w:rPr>
        <w:t>Ashbacker</w:t>
      </w:r>
      <w:r w:rsidRPr="0075008E" w:rsidR="00AF5744">
        <w:t xml:space="preserve"> doctrine</w:t>
      </w:r>
      <w:r w:rsidR="00AF5744">
        <w:t xml:space="preserve">, which </w:t>
      </w:r>
      <w:r w:rsidRPr="0075008E" w:rsidR="00AF5744">
        <w:t>does not mandate mutual exclusivity</w:t>
      </w:r>
      <w:r w:rsidR="00AF5744">
        <w:t>.</w:t>
      </w:r>
      <w:r>
        <w:t xml:space="preserve"> </w:t>
      </w:r>
      <w:r w:rsidRPr="00AF5744" w:rsidR="00AF5744">
        <w:t xml:space="preserve">Amended Petition at 9, citing </w:t>
      </w:r>
      <w:r w:rsidRPr="00AF5744" w:rsidR="00AF5744">
        <w:rPr>
          <w:i/>
          <w:iCs/>
        </w:rPr>
        <w:t>Ashbacker</w:t>
      </w:r>
      <w:r w:rsidRPr="00AF5744" w:rsidR="00AF5744">
        <w:rPr>
          <w:i/>
          <w:iCs/>
        </w:rPr>
        <w:t xml:space="preserve"> Radio Corp. v. FCC</w:t>
      </w:r>
      <w:r w:rsidRPr="00AF5744" w:rsidR="00AF5744">
        <w:t>, 326 U.S. 327 (1945)</w:t>
      </w:r>
      <w:r w:rsidR="00AF5744">
        <w:t xml:space="preserve"> </w:t>
      </w:r>
      <w:r w:rsidRPr="00AF5744" w:rsidR="00AF5744">
        <w:t xml:space="preserve">and </w:t>
      </w:r>
      <w:r w:rsidRPr="00AF5744" w:rsidR="00AF5744">
        <w:rPr>
          <w:i/>
          <w:iCs/>
        </w:rPr>
        <w:t>Change in Community R&amp;O</w:t>
      </w:r>
      <w:r w:rsidRPr="00AF5744" w:rsidR="00AF5744">
        <w:t xml:space="preserve">, 4 FCC </w:t>
      </w:r>
      <w:r w:rsidRPr="00AF5744" w:rsidR="00AF5744">
        <w:t>Rcd</w:t>
      </w:r>
      <w:r w:rsidRPr="00AF5744" w:rsidR="00AF5744">
        <w:t xml:space="preserve"> at 4873, para. 23.</w:t>
      </w:r>
      <w:r w:rsidR="00AF5744">
        <w:t xml:space="preserve">  Thus, Gray contends that “mutual exclusivity is not a statutory requirement or other </w:t>
      </w:r>
      <w:r w:rsidR="00AF5744">
        <w:t>unwaivable</w:t>
      </w:r>
      <w:r w:rsidR="00AF5744">
        <w:t xml:space="preserve"> obligation.”  </w:t>
      </w:r>
      <w:r w:rsidRPr="00BB7541" w:rsidR="00AF5744">
        <w:t>Amended Petition at 9.</w:t>
      </w:r>
    </w:p>
  </w:footnote>
  <w:footnote w:id="42">
    <w:p w:rsidR="000F1FEC" w:rsidP="00AF5744" w14:paraId="2C44F59F" w14:textId="2CE0B0E0">
      <w:pPr>
        <w:pStyle w:val="FootnoteText"/>
        <w:widowControl w:val="0"/>
      </w:pPr>
      <w:r>
        <w:rPr>
          <w:rStyle w:val="FootnoteReference"/>
        </w:rPr>
        <w:footnoteRef/>
      </w:r>
      <w:r>
        <w:t xml:space="preserve"> Amended Petition, Engineering Exhibit</w:t>
      </w:r>
      <w:r w:rsidR="004060C3">
        <w:t xml:space="preserve"> (</w:t>
      </w:r>
      <w:r>
        <w:t>showing channels potentially available for allotment at Superior (Table 2 – five VHF and 13 UHF), York (Table 3 – four VHF and 10 UHF), and Lincoln, Nebraska (Table 4 – four VHF and five UHF)</w:t>
      </w:r>
      <w:r w:rsidR="004060C3">
        <w:t>)</w:t>
      </w:r>
      <w:r>
        <w:t xml:space="preserve">. </w:t>
      </w:r>
    </w:p>
  </w:footnote>
  <w:footnote w:id="43">
    <w:p w:rsidR="000F1FEC" w:rsidP="00AF5744" w14:paraId="6C8F9BDE" w14:textId="42EE4DCD">
      <w:pPr>
        <w:pStyle w:val="FootnoteText"/>
        <w:widowControl w:val="0"/>
      </w:pPr>
      <w:r>
        <w:rPr>
          <w:rStyle w:val="FootnoteReference"/>
        </w:rPr>
        <w:footnoteRef/>
      </w:r>
      <w:r>
        <w:t xml:space="preserve"> </w:t>
      </w:r>
      <w:r w:rsidRPr="00955003">
        <w:rPr>
          <w:i/>
          <w:iCs/>
        </w:rPr>
        <w:t xml:space="preserve">See supra </w:t>
      </w:r>
      <w:r>
        <w:t>n</w:t>
      </w:r>
      <w:r w:rsidR="004060C3">
        <w:t xml:space="preserve">ote </w:t>
      </w:r>
      <w:r>
        <w:t>2.</w:t>
      </w:r>
    </w:p>
  </w:footnote>
  <w:footnote w:id="44">
    <w:p w:rsidR="00C14944" w:rsidRPr="00BE3330" w:rsidP="00AF5744" w14:paraId="62DAE991" w14:textId="77777777">
      <w:pPr>
        <w:pStyle w:val="FootnoteText"/>
        <w:widowControl w:val="0"/>
      </w:pPr>
      <w:r>
        <w:rPr>
          <w:rStyle w:val="FootnoteReference"/>
        </w:rPr>
        <w:footnoteRef/>
      </w:r>
      <w:r>
        <w:t xml:space="preserve"> 47 CFR § 73.625(a).</w:t>
      </w:r>
      <w:bookmarkStart w:id="2" w:name="SR;334"/>
      <w:bookmarkEnd w:id="2"/>
    </w:p>
  </w:footnote>
  <w:footnote w:id="45">
    <w:p w:rsidR="000F1FEC" w:rsidP="00AF5744" w14:paraId="3CAEED1F" w14:textId="77777777">
      <w:pPr>
        <w:pStyle w:val="FootnoteText"/>
        <w:widowControl w:val="0"/>
      </w:pPr>
      <w:r w:rsidRPr="003F7A73">
        <w:rPr>
          <w:rStyle w:val="FootnoteReference"/>
        </w:rPr>
        <w:footnoteRef/>
      </w:r>
      <w:r w:rsidRPr="003F7A73">
        <w:t xml:space="preserve"> 47 CFR §§ 73.616, 73.623.</w:t>
      </w:r>
    </w:p>
  </w:footnote>
  <w:footnote w:id="46">
    <w:p w:rsidR="000F1FEC" w:rsidP="00AF5744" w14:paraId="1DCBA1EB" w14:textId="621EBBA1">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Report and Order, </w:t>
      </w:r>
      <w:r w:rsidR="00CD358A">
        <w:t>MB Dock No. 07-</w:t>
      </w:r>
      <w:r w:rsidR="00C14944">
        <w:t>729,</w:t>
      </w:r>
      <w:r w:rsidRPr="00C43C45">
        <w:t xml:space="preserve"> FCC </w:t>
      </w:r>
      <w:r w:rsidRPr="00C43C45">
        <w:t>Rcd</w:t>
      </w:r>
      <w:r w:rsidRPr="00C43C45">
        <w:t xml:space="preserve"> 8192, 8194</w:t>
      </w:r>
      <w:r>
        <w:t>, para. 9</w:t>
      </w:r>
      <w:r w:rsidRPr="00C43C45">
        <w:t xml:space="preserve"> (</w:t>
      </w:r>
      <w:r w:rsidR="00C14944">
        <w:t>Aud. Div.</w:t>
      </w:r>
      <w:r w:rsidRPr="00C43C45">
        <w:t xml:space="preserve"> 2009).</w:t>
      </w:r>
    </w:p>
  </w:footnote>
  <w:footnote w:id="47">
    <w:p w:rsidR="000F1FEC" w:rsidP="00AF5744" w14:paraId="280F7E2D" w14:textId="77777777">
      <w:pPr>
        <w:pStyle w:val="FootnoteText"/>
        <w:widowControl w:val="0"/>
      </w:pPr>
      <w:r>
        <w:rPr>
          <w:rStyle w:val="FootnoteReference"/>
        </w:rPr>
        <w:footnoteRef/>
      </w:r>
      <w:r>
        <w:t xml:space="preserve"> </w:t>
      </w:r>
      <w:r w:rsidRPr="0025083E">
        <w:t>47 CFR § 1.420(j).</w:t>
      </w:r>
    </w:p>
  </w:footnote>
  <w:footnote w:id="48">
    <w:p w:rsidR="000F1FEC" w:rsidP="00AF5744" w14:paraId="75685AF6" w14:textId="77777777">
      <w:pPr>
        <w:pStyle w:val="FootnoteText"/>
        <w:widowControl w:val="0"/>
      </w:pPr>
      <w:r>
        <w:rPr>
          <w:rStyle w:val="FootnoteReference"/>
        </w:rPr>
        <w:footnoteRef/>
      </w:r>
      <w:r>
        <w:t xml:space="preserve"> </w:t>
      </w:r>
      <w:r w:rsidRPr="003B6FA0">
        <w:t xml:space="preserve">47 CFR </w:t>
      </w:r>
      <w:r>
        <w:t xml:space="preserve">§ </w:t>
      </w:r>
      <w:r w:rsidRPr="003B6FA0">
        <w:t>1.420(d)</w:t>
      </w:r>
      <w:r>
        <w:t>.</w:t>
      </w:r>
    </w:p>
  </w:footnote>
  <w:footnote w:id="49">
    <w:p w:rsidR="000F1FEC" w:rsidP="00AF5744" w14:paraId="3F768EAC" w14:textId="77777777">
      <w:pPr>
        <w:pStyle w:val="FootnoteText"/>
        <w:widowControl w:val="0"/>
      </w:pPr>
      <w:r>
        <w:rPr>
          <w:rStyle w:val="FootnoteReference"/>
        </w:rPr>
        <w:footnoteRef/>
      </w:r>
      <w:r>
        <w:t xml:space="preserve"> </w:t>
      </w:r>
      <w:r w:rsidRPr="005F375B">
        <w:t>47 CFR § 1.420(</w:t>
      </w:r>
      <w:r>
        <w:t>g)(2)</w:t>
      </w:r>
      <w:r w:rsidRPr="005F375B">
        <w:t>.</w:t>
      </w:r>
    </w:p>
  </w:footnote>
  <w:footnote w:id="50">
    <w:p w:rsidR="000F1FEC" w:rsidP="00AF5744" w14:paraId="424C2757" w14:textId="77777777">
      <w:pPr>
        <w:pStyle w:val="FootnoteText"/>
        <w:widowControl w:val="0"/>
      </w:pPr>
      <w:r>
        <w:rPr>
          <w:rStyle w:val="FootnoteReference"/>
        </w:rPr>
        <w:footnoteRef/>
      </w:r>
      <w:r>
        <w:t xml:space="preserve"> </w:t>
      </w:r>
      <w:r w:rsidRPr="003B6FA0">
        <w:t>47 CFR §§ 1.415, 1.419,</w:t>
      </w:r>
      <w:r>
        <w:t xml:space="preserve"> and 1.420.</w:t>
      </w:r>
    </w:p>
  </w:footnote>
  <w:footnote w:id="51">
    <w:p w:rsidR="000F1FEC" w:rsidRPr="006F1759" w:rsidP="00AF5744" w14:paraId="7E8DF9B0"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52">
    <w:p w:rsidR="000F1FEC" w:rsidP="00AF5744" w14:paraId="27B0C0E9"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53">
    <w:p w:rsidR="000F1FEC" w:rsidP="00AF5744" w14:paraId="42E57ABE" w14:textId="77777777">
      <w:pPr>
        <w:pStyle w:val="FootnoteText"/>
        <w:widowControl w:val="0"/>
      </w:pPr>
      <w:r>
        <w:rPr>
          <w:rStyle w:val="FootnoteReference"/>
        </w:rPr>
        <w:footnoteRef/>
      </w:r>
      <w:r>
        <w:t xml:space="preserve"> 47 CFR § 1.420.</w:t>
      </w:r>
    </w:p>
  </w:footnote>
  <w:footnote w:id="54">
    <w:p w:rsidR="000F1FEC" w:rsidP="00AF5744" w14:paraId="78A2AB87"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 xml:space="preserve">§ </w:t>
      </w:r>
      <w:r w:rsidRPr="005E3497">
        <w:t>1.420(a), (b) and (c)</w:t>
      </w:r>
      <w:r>
        <w:t>.</w:t>
      </w:r>
    </w:p>
  </w:footnote>
  <w:footnote w:id="55">
    <w:p w:rsidR="000F1FEC" w:rsidRPr="00522221" w:rsidP="00AF5744" w14:paraId="139B5873"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56">
    <w:p w:rsidR="000F1FEC" w:rsidP="00AF5744" w14:paraId="499CF7BD" w14:textId="77777777">
      <w:pPr>
        <w:pStyle w:val="FootnoteText"/>
        <w:widowControl w:val="0"/>
      </w:pPr>
      <w:r>
        <w:rPr>
          <w:rStyle w:val="FootnoteReference"/>
        </w:rPr>
        <w:footnoteRef/>
      </w:r>
      <w:r>
        <w:t xml:space="preserve"> 47 CFR § 1.1208.</w:t>
      </w:r>
    </w:p>
  </w:footnote>
  <w:footnote w:id="57">
    <w:p w:rsidR="000F1FEC" w:rsidP="00AF5744" w14:paraId="25D8DDD6" w14:textId="77777777">
      <w:pPr>
        <w:pStyle w:val="FootnoteText"/>
        <w:widowControl w:val="0"/>
      </w:pPr>
      <w:r>
        <w:rPr>
          <w:rStyle w:val="FootnoteReference"/>
        </w:rPr>
        <w:footnoteRef/>
      </w:r>
      <w:r>
        <w:t xml:space="preserve"> 47 CFR § 1.1204(a)(10).</w:t>
      </w:r>
    </w:p>
  </w:footnote>
  <w:footnote w:id="58">
    <w:p w:rsidR="000F1FEC" w:rsidP="00AF5744" w14:paraId="0BC31BDC"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w:t>
      </w:r>
      <w:r>
        <w:t xml:space="preserve"> </w:t>
      </w:r>
      <w:r w:rsidRPr="00F30797">
        <w:t xml:space="preserve">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59">
    <w:p w:rsidR="000F1FEC" w:rsidP="00AF5744" w14:paraId="5710747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60">
    <w:p w:rsidR="000F1FEC" w:rsidP="00AF5744" w14:paraId="2D5156F2"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61">
    <w:p w:rsidR="000F1FEC" w:rsidP="00AF5744" w14:paraId="2481479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62">
    <w:p w:rsidR="000F1FEC" w:rsidP="00AF5744" w14:paraId="0EA48F94"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D62" w14:paraId="186144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8727D3" w14:textId="33ADB47D">
    <w:pPr>
      <w:pStyle w:val="Header"/>
      <w:rPr>
        <w:b w:val="0"/>
      </w:rPr>
    </w:pPr>
    <w:r>
      <w:tab/>
      <w:t>Federal Communications Commission</w:t>
    </w:r>
    <w:r>
      <w:tab/>
    </w:r>
    <w:r w:rsidR="00E244B6">
      <w:t xml:space="preserve">DA </w:t>
    </w:r>
    <w:r w:rsidR="00E244B6">
      <w:t>21-20</w:t>
    </w:r>
    <w:r w:rsidR="00753D62">
      <w:t>3</w:t>
    </w:r>
    <w:bookmarkStart w:id="5" w:name="_GoBack"/>
    <w:bookmarkEnd w:id="5"/>
  </w:p>
  <w:p w:rsidR="00D25FB5" w14:paraId="480FA165" w14:textId="6D705F7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AAF6E1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B39BE3" w14:textId="750C82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53D62">
      <w:rPr>
        <w:spacing w:val="-2"/>
      </w:rPr>
      <w:t>DA 21-203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4B470E6"/>
    <w:multiLevelType w:val="hybridMultilevel"/>
    <w:tmpl w:val="8F54132E"/>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5B61AE6"/>
    <w:multiLevelType w:val="hybridMultilevel"/>
    <w:tmpl w:val="B3100A04"/>
    <w:lvl w:ilvl="0">
      <w:start w:val="1776"/>
      <w:numFmt w:val="decimal"/>
      <w:lvlText w:val="%1"/>
      <w:lvlJc w:val="left"/>
      <w:pPr>
        <w:ind w:left="1200" w:hanging="4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0"/>
      <w:numFmt w:val="decimal"/>
      <w:pStyle w:val="Paranum0"/>
      <w:lvlJc w:val="left"/>
    </w:lvl>
  </w:abstractNum>
  <w:abstractNum w:abstractNumId="12">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12"/>
  </w:num>
  <w:num w:numId="8">
    <w:abstractNumId w:val="13"/>
  </w:num>
  <w:num w:numId="9">
    <w:abstractNumId w:val="1"/>
  </w:num>
  <w:num w:numId="10">
    <w:abstractNumId w:val="14"/>
  </w:num>
  <w:num w:numId="11">
    <w:abstractNumId w:val="7"/>
  </w:num>
  <w:num w:numId="12">
    <w:abstractNumId w:val="5"/>
  </w:num>
  <w:num w:numId="13">
    <w:abstractNumId w:val="9"/>
  </w:num>
  <w:num w:numId="14">
    <w:abstractNumId w:val="10"/>
    <w:lvlOverride w:ilvl="0">
      <w:startOverride w:val="1"/>
    </w:lvlOverride>
  </w:num>
  <w:num w:numId="15">
    <w:abstractNumId w:val="11"/>
  </w:num>
  <w:num w:numId="16">
    <w:abstractNumId w:val="10"/>
    <w:lvlOverride w:ilvl="0">
      <w:startOverride w:val="1"/>
    </w:lvlOverride>
  </w:num>
  <w:num w:numId="17">
    <w:abstractNumId w:val="10"/>
    <w:lvlOverride w:ilvl="0">
      <w:startOverride w:val="1"/>
    </w:lvlOverride>
  </w:num>
  <w:num w:numId="18">
    <w:abstractNumId w:val="6"/>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EC"/>
    <w:rsid w:val="00002267"/>
    <w:rsid w:val="00004E82"/>
    <w:rsid w:val="000050BB"/>
    <w:rsid w:val="0000693A"/>
    <w:rsid w:val="000076D9"/>
    <w:rsid w:val="00010D45"/>
    <w:rsid w:val="000118D7"/>
    <w:rsid w:val="0001217D"/>
    <w:rsid w:val="000138B8"/>
    <w:rsid w:val="00016DEE"/>
    <w:rsid w:val="0002538E"/>
    <w:rsid w:val="00025AC8"/>
    <w:rsid w:val="00025E41"/>
    <w:rsid w:val="00032308"/>
    <w:rsid w:val="00033410"/>
    <w:rsid w:val="00033A54"/>
    <w:rsid w:val="0003403B"/>
    <w:rsid w:val="00035133"/>
    <w:rsid w:val="0003601C"/>
    <w:rsid w:val="00036039"/>
    <w:rsid w:val="00036115"/>
    <w:rsid w:val="00037F90"/>
    <w:rsid w:val="000402B1"/>
    <w:rsid w:val="00041C85"/>
    <w:rsid w:val="0004236A"/>
    <w:rsid w:val="000451D8"/>
    <w:rsid w:val="00045C74"/>
    <w:rsid w:val="000475A6"/>
    <w:rsid w:val="000508A5"/>
    <w:rsid w:val="00050A9D"/>
    <w:rsid w:val="000525F5"/>
    <w:rsid w:val="0005460E"/>
    <w:rsid w:val="00062988"/>
    <w:rsid w:val="000636BB"/>
    <w:rsid w:val="00064F8A"/>
    <w:rsid w:val="0006510E"/>
    <w:rsid w:val="00065A29"/>
    <w:rsid w:val="00065D6E"/>
    <w:rsid w:val="00072368"/>
    <w:rsid w:val="00072551"/>
    <w:rsid w:val="0007270F"/>
    <w:rsid w:val="00074192"/>
    <w:rsid w:val="000805A3"/>
    <w:rsid w:val="00082BB8"/>
    <w:rsid w:val="00083BA0"/>
    <w:rsid w:val="00087084"/>
    <w:rsid w:val="000875BF"/>
    <w:rsid w:val="00092804"/>
    <w:rsid w:val="00093FAF"/>
    <w:rsid w:val="0009457D"/>
    <w:rsid w:val="000955F4"/>
    <w:rsid w:val="00096D8C"/>
    <w:rsid w:val="000A0099"/>
    <w:rsid w:val="000A0131"/>
    <w:rsid w:val="000A0623"/>
    <w:rsid w:val="000A154A"/>
    <w:rsid w:val="000A35D1"/>
    <w:rsid w:val="000A40E8"/>
    <w:rsid w:val="000A5B7C"/>
    <w:rsid w:val="000A6720"/>
    <w:rsid w:val="000A72DA"/>
    <w:rsid w:val="000B21D8"/>
    <w:rsid w:val="000B3E34"/>
    <w:rsid w:val="000B5B62"/>
    <w:rsid w:val="000B5F4E"/>
    <w:rsid w:val="000B74EA"/>
    <w:rsid w:val="000C0A47"/>
    <w:rsid w:val="000C0B65"/>
    <w:rsid w:val="000C14BF"/>
    <w:rsid w:val="000C1A49"/>
    <w:rsid w:val="000D2074"/>
    <w:rsid w:val="000D509C"/>
    <w:rsid w:val="000D50FE"/>
    <w:rsid w:val="000E05FE"/>
    <w:rsid w:val="000E1AA7"/>
    <w:rsid w:val="000E2D19"/>
    <w:rsid w:val="000E3CB9"/>
    <w:rsid w:val="000E3D42"/>
    <w:rsid w:val="000E3F06"/>
    <w:rsid w:val="000E51CA"/>
    <w:rsid w:val="000F1FEC"/>
    <w:rsid w:val="000F3D99"/>
    <w:rsid w:val="000F497C"/>
    <w:rsid w:val="000F4E0F"/>
    <w:rsid w:val="000F5EFD"/>
    <w:rsid w:val="000F73DD"/>
    <w:rsid w:val="001021CC"/>
    <w:rsid w:val="00105057"/>
    <w:rsid w:val="00111429"/>
    <w:rsid w:val="00114231"/>
    <w:rsid w:val="00115166"/>
    <w:rsid w:val="00115C5E"/>
    <w:rsid w:val="00116909"/>
    <w:rsid w:val="00117C6B"/>
    <w:rsid w:val="00121B85"/>
    <w:rsid w:val="00122BD5"/>
    <w:rsid w:val="001230D1"/>
    <w:rsid w:val="00125EF0"/>
    <w:rsid w:val="00130102"/>
    <w:rsid w:val="00130AA2"/>
    <w:rsid w:val="00132588"/>
    <w:rsid w:val="00133461"/>
    <w:rsid w:val="00133F79"/>
    <w:rsid w:val="001349BA"/>
    <w:rsid w:val="00135AF8"/>
    <w:rsid w:val="00135FCB"/>
    <w:rsid w:val="001364E3"/>
    <w:rsid w:val="00144B55"/>
    <w:rsid w:val="0014592D"/>
    <w:rsid w:val="0015058D"/>
    <w:rsid w:val="00151B98"/>
    <w:rsid w:val="00156B25"/>
    <w:rsid w:val="001627E1"/>
    <w:rsid w:val="00165EA0"/>
    <w:rsid w:val="0017340B"/>
    <w:rsid w:val="00173A3E"/>
    <w:rsid w:val="00180F7C"/>
    <w:rsid w:val="0018191D"/>
    <w:rsid w:val="00185375"/>
    <w:rsid w:val="00186CB6"/>
    <w:rsid w:val="00187B55"/>
    <w:rsid w:val="001929F8"/>
    <w:rsid w:val="001947B7"/>
    <w:rsid w:val="00194A66"/>
    <w:rsid w:val="00197AC4"/>
    <w:rsid w:val="001A44F5"/>
    <w:rsid w:val="001A55B6"/>
    <w:rsid w:val="001A670D"/>
    <w:rsid w:val="001A6B07"/>
    <w:rsid w:val="001A7095"/>
    <w:rsid w:val="001B1699"/>
    <w:rsid w:val="001B2B68"/>
    <w:rsid w:val="001B4D5D"/>
    <w:rsid w:val="001B63AE"/>
    <w:rsid w:val="001B7024"/>
    <w:rsid w:val="001C120E"/>
    <w:rsid w:val="001C1B0C"/>
    <w:rsid w:val="001C5898"/>
    <w:rsid w:val="001C6F24"/>
    <w:rsid w:val="001D0428"/>
    <w:rsid w:val="001D1734"/>
    <w:rsid w:val="001D35B8"/>
    <w:rsid w:val="001D55B5"/>
    <w:rsid w:val="001D601F"/>
    <w:rsid w:val="001D6BCF"/>
    <w:rsid w:val="001E0155"/>
    <w:rsid w:val="001E01CA"/>
    <w:rsid w:val="001E087C"/>
    <w:rsid w:val="001E26E4"/>
    <w:rsid w:val="001F14D7"/>
    <w:rsid w:val="001F250D"/>
    <w:rsid w:val="0020281D"/>
    <w:rsid w:val="00202AF5"/>
    <w:rsid w:val="00202EBC"/>
    <w:rsid w:val="00204BF3"/>
    <w:rsid w:val="0020686D"/>
    <w:rsid w:val="0020762A"/>
    <w:rsid w:val="002107CD"/>
    <w:rsid w:val="00213726"/>
    <w:rsid w:val="00221348"/>
    <w:rsid w:val="002228A1"/>
    <w:rsid w:val="0022695F"/>
    <w:rsid w:val="00226D0F"/>
    <w:rsid w:val="00227D96"/>
    <w:rsid w:val="00227E60"/>
    <w:rsid w:val="00234436"/>
    <w:rsid w:val="00236EA4"/>
    <w:rsid w:val="0023735B"/>
    <w:rsid w:val="00237E6C"/>
    <w:rsid w:val="002427BA"/>
    <w:rsid w:val="00242C70"/>
    <w:rsid w:val="0025083E"/>
    <w:rsid w:val="0025144F"/>
    <w:rsid w:val="00253104"/>
    <w:rsid w:val="002545CD"/>
    <w:rsid w:val="0025742E"/>
    <w:rsid w:val="0025758F"/>
    <w:rsid w:val="00264939"/>
    <w:rsid w:val="002666A9"/>
    <w:rsid w:val="00267044"/>
    <w:rsid w:val="002705D0"/>
    <w:rsid w:val="00272BF0"/>
    <w:rsid w:val="00275CF5"/>
    <w:rsid w:val="00280048"/>
    <w:rsid w:val="002801D6"/>
    <w:rsid w:val="00280596"/>
    <w:rsid w:val="0028157D"/>
    <w:rsid w:val="00282E92"/>
    <w:rsid w:val="0028301F"/>
    <w:rsid w:val="00283451"/>
    <w:rsid w:val="00285017"/>
    <w:rsid w:val="00290740"/>
    <w:rsid w:val="00291C3D"/>
    <w:rsid w:val="0029277B"/>
    <w:rsid w:val="0029443C"/>
    <w:rsid w:val="00294ABC"/>
    <w:rsid w:val="00294E88"/>
    <w:rsid w:val="002A2D2E"/>
    <w:rsid w:val="002A58C1"/>
    <w:rsid w:val="002A5D97"/>
    <w:rsid w:val="002A5FA2"/>
    <w:rsid w:val="002B0155"/>
    <w:rsid w:val="002B122A"/>
    <w:rsid w:val="002B18A4"/>
    <w:rsid w:val="002B2338"/>
    <w:rsid w:val="002B6229"/>
    <w:rsid w:val="002C00E8"/>
    <w:rsid w:val="002C5DC6"/>
    <w:rsid w:val="002C7686"/>
    <w:rsid w:val="002C7C13"/>
    <w:rsid w:val="002D0CFA"/>
    <w:rsid w:val="002D0E63"/>
    <w:rsid w:val="002D1EFD"/>
    <w:rsid w:val="002D6B54"/>
    <w:rsid w:val="002E0171"/>
    <w:rsid w:val="002E3561"/>
    <w:rsid w:val="002E7FAA"/>
    <w:rsid w:val="002F0041"/>
    <w:rsid w:val="002F2E11"/>
    <w:rsid w:val="002F3B0A"/>
    <w:rsid w:val="002F61E3"/>
    <w:rsid w:val="00302F2E"/>
    <w:rsid w:val="0030733C"/>
    <w:rsid w:val="003103D3"/>
    <w:rsid w:val="003107EF"/>
    <w:rsid w:val="0031634D"/>
    <w:rsid w:val="00317281"/>
    <w:rsid w:val="003179B7"/>
    <w:rsid w:val="00325CFB"/>
    <w:rsid w:val="00325FFB"/>
    <w:rsid w:val="00326680"/>
    <w:rsid w:val="003306EE"/>
    <w:rsid w:val="00331337"/>
    <w:rsid w:val="00331D74"/>
    <w:rsid w:val="003356DC"/>
    <w:rsid w:val="00335E11"/>
    <w:rsid w:val="00336C14"/>
    <w:rsid w:val="00341124"/>
    <w:rsid w:val="00341BB1"/>
    <w:rsid w:val="00343749"/>
    <w:rsid w:val="00345118"/>
    <w:rsid w:val="0034693F"/>
    <w:rsid w:val="00350511"/>
    <w:rsid w:val="003522B8"/>
    <w:rsid w:val="00357FF2"/>
    <w:rsid w:val="003627AF"/>
    <w:rsid w:val="00362C78"/>
    <w:rsid w:val="00363709"/>
    <w:rsid w:val="00364566"/>
    <w:rsid w:val="003660ED"/>
    <w:rsid w:val="00366E1B"/>
    <w:rsid w:val="003679FC"/>
    <w:rsid w:val="00376551"/>
    <w:rsid w:val="00377F12"/>
    <w:rsid w:val="00380926"/>
    <w:rsid w:val="00381256"/>
    <w:rsid w:val="00381FBF"/>
    <w:rsid w:val="00386516"/>
    <w:rsid w:val="00386C3A"/>
    <w:rsid w:val="0039000F"/>
    <w:rsid w:val="00394DD2"/>
    <w:rsid w:val="003A3E8C"/>
    <w:rsid w:val="003A3F64"/>
    <w:rsid w:val="003A68DA"/>
    <w:rsid w:val="003A7408"/>
    <w:rsid w:val="003B0550"/>
    <w:rsid w:val="003B134A"/>
    <w:rsid w:val="003B5366"/>
    <w:rsid w:val="003B57B7"/>
    <w:rsid w:val="003B6431"/>
    <w:rsid w:val="003B694F"/>
    <w:rsid w:val="003B6EE1"/>
    <w:rsid w:val="003B6FA0"/>
    <w:rsid w:val="003B7F5E"/>
    <w:rsid w:val="003C262C"/>
    <w:rsid w:val="003C2889"/>
    <w:rsid w:val="003C434F"/>
    <w:rsid w:val="003C5A1F"/>
    <w:rsid w:val="003D3F5E"/>
    <w:rsid w:val="003E161E"/>
    <w:rsid w:val="003E402D"/>
    <w:rsid w:val="003E7DE8"/>
    <w:rsid w:val="003F171C"/>
    <w:rsid w:val="003F2CDB"/>
    <w:rsid w:val="003F47A5"/>
    <w:rsid w:val="003F7A73"/>
    <w:rsid w:val="00400751"/>
    <w:rsid w:val="004060C3"/>
    <w:rsid w:val="004068A0"/>
    <w:rsid w:val="00407EFE"/>
    <w:rsid w:val="00412FC5"/>
    <w:rsid w:val="00413522"/>
    <w:rsid w:val="0041468C"/>
    <w:rsid w:val="0041534D"/>
    <w:rsid w:val="00415677"/>
    <w:rsid w:val="00417026"/>
    <w:rsid w:val="00417050"/>
    <w:rsid w:val="00421D72"/>
    <w:rsid w:val="00422276"/>
    <w:rsid w:val="00423E2B"/>
    <w:rsid w:val="004242F1"/>
    <w:rsid w:val="00426011"/>
    <w:rsid w:val="0042656F"/>
    <w:rsid w:val="004275A5"/>
    <w:rsid w:val="00430B23"/>
    <w:rsid w:val="00431BD6"/>
    <w:rsid w:val="00433668"/>
    <w:rsid w:val="0043470F"/>
    <w:rsid w:val="00435C44"/>
    <w:rsid w:val="0043617E"/>
    <w:rsid w:val="004375C2"/>
    <w:rsid w:val="00440A8F"/>
    <w:rsid w:val="00441493"/>
    <w:rsid w:val="00441AD1"/>
    <w:rsid w:val="00445A00"/>
    <w:rsid w:val="004466F1"/>
    <w:rsid w:val="00446948"/>
    <w:rsid w:val="00451B0F"/>
    <w:rsid w:val="004534B2"/>
    <w:rsid w:val="00457DFE"/>
    <w:rsid w:val="00460344"/>
    <w:rsid w:val="00461330"/>
    <w:rsid w:val="004624EC"/>
    <w:rsid w:val="004627DE"/>
    <w:rsid w:val="00465B25"/>
    <w:rsid w:val="004674DC"/>
    <w:rsid w:val="004725B6"/>
    <w:rsid w:val="00475EC0"/>
    <w:rsid w:val="00476A84"/>
    <w:rsid w:val="004823C3"/>
    <w:rsid w:val="004871EA"/>
    <w:rsid w:val="004874E9"/>
    <w:rsid w:val="00492BCD"/>
    <w:rsid w:val="004936F2"/>
    <w:rsid w:val="00496737"/>
    <w:rsid w:val="004A048B"/>
    <w:rsid w:val="004A107D"/>
    <w:rsid w:val="004A195F"/>
    <w:rsid w:val="004A2BF9"/>
    <w:rsid w:val="004B161A"/>
    <w:rsid w:val="004B1FF1"/>
    <w:rsid w:val="004B5464"/>
    <w:rsid w:val="004C2EE3"/>
    <w:rsid w:val="004C2F37"/>
    <w:rsid w:val="004C3D24"/>
    <w:rsid w:val="004C51F6"/>
    <w:rsid w:val="004C7606"/>
    <w:rsid w:val="004D1AEB"/>
    <w:rsid w:val="004D1E39"/>
    <w:rsid w:val="004D3E90"/>
    <w:rsid w:val="004D6269"/>
    <w:rsid w:val="004E1A5A"/>
    <w:rsid w:val="004E2A6C"/>
    <w:rsid w:val="004E3740"/>
    <w:rsid w:val="004E4A22"/>
    <w:rsid w:val="004E4B9B"/>
    <w:rsid w:val="004E54F8"/>
    <w:rsid w:val="004E5B1F"/>
    <w:rsid w:val="004F0363"/>
    <w:rsid w:val="004F2A71"/>
    <w:rsid w:val="004F432E"/>
    <w:rsid w:val="004F5F2B"/>
    <w:rsid w:val="004F72C3"/>
    <w:rsid w:val="004F7F73"/>
    <w:rsid w:val="004F7F74"/>
    <w:rsid w:val="00500D11"/>
    <w:rsid w:val="00501CA9"/>
    <w:rsid w:val="00502F47"/>
    <w:rsid w:val="00503331"/>
    <w:rsid w:val="005040B1"/>
    <w:rsid w:val="00504CDB"/>
    <w:rsid w:val="00504F87"/>
    <w:rsid w:val="005052EA"/>
    <w:rsid w:val="0050649A"/>
    <w:rsid w:val="00506F28"/>
    <w:rsid w:val="00507278"/>
    <w:rsid w:val="00507D4D"/>
    <w:rsid w:val="00511968"/>
    <w:rsid w:val="005127EE"/>
    <w:rsid w:val="00512A4A"/>
    <w:rsid w:val="00513726"/>
    <w:rsid w:val="005144FD"/>
    <w:rsid w:val="00515372"/>
    <w:rsid w:val="00516A1A"/>
    <w:rsid w:val="005202CC"/>
    <w:rsid w:val="00522221"/>
    <w:rsid w:val="005223E1"/>
    <w:rsid w:val="00530230"/>
    <w:rsid w:val="00531BB2"/>
    <w:rsid w:val="00533AF9"/>
    <w:rsid w:val="00533C5C"/>
    <w:rsid w:val="0054292D"/>
    <w:rsid w:val="0054295D"/>
    <w:rsid w:val="00542D07"/>
    <w:rsid w:val="00543ED0"/>
    <w:rsid w:val="00543F61"/>
    <w:rsid w:val="005442FD"/>
    <w:rsid w:val="005448B8"/>
    <w:rsid w:val="00547D07"/>
    <w:rsid w:val="005504A0"/>
    <w:rsid w:val="0055086F"/>
    <w:rsid w:val="00550A38"/>
    <w:rsid w:val="0055150B"/>
    <w:rsid w:val="005517BB"/>
    <w:rsid w:val="00552577"/>
    <w:rsid w:val="0055614C"/>
    <w:rsid w:val="005572FE"/>
    <w:rsid w:val="00561788"/>
    <w:rsid w:val="00566D06"/>
    <w:rsid w:val="00570D70"/>
    <w:rsid w:val="005720AE"/>
    <w:rsid w:val="005727EA"/>
    <w:rsid w:val="00574AA0"/>
    <w:rsid w:val="0057743E"/>
    <w:rsid w:val="00580E19"/>
    <w:rsid w:val="00580E82"/>
    <w:rsid w:val="005868D4"/>
    <w:rsid w:val="00592034"/>
    <w:rsid w:val="005942EA"/>
    <w:rsid w:val="00594AFB"/>
    <w:rsid w:val="00597183"/>
    <w:rsid w:val="00597BC9"/>
    <w:rsid w:val="005A3409"/>
    <w:rsid w:val="005A3668"/>
    <w:rsid w:val="005A53E1"/>
    <w:rsid w:val="005B1DAB"/>
    <w:rsid w:val="005C5D84"/>
    <w:rsid w:val="005C69DE"/>
    <w:rsid w:val="005C776D"/>
    <w:rsid w:val="005D0656"/>
    <w:rsid w:val="005D0AAE"/>
    <w:rsid w:val="005D14A6"/>
    <w:rsid w:val="005D3374"/>
    <w:rsid w:val="005D4835"/>
    <w:rsid w:val="005D5EF3"/>
    <w:rsid w:val="005D70DB"/>
    <w:rsid w:val="005D71EF"/>
    <w:rsid w:val="005D796A"/>
    <w:rsid w:val="005E14C2"/>
    <w:rsid w:val="005E1F53"/>
    <w:rsid w:val="005E270E"/>
    <w:rsid w:val="005E3497"/>
    <w:rsid w:val="005E3B17"/>
    <w:rsid w:val="005E4D14"/>
    <w:rsid w:val="005E5A34"/>
    <w:rsid w:val="005F023D"/>
    <w:rsid w:val="005F0CF0"/>
    <w:rsid w:val="005F0F99"/>
    <w:rsid w:val="005F2358"/>
    <w:rsid w:val="005F36E6"/>
    <w:rsid w:val="005F375B"/>
    <w:rsid w:val="005F3970"/>
    <w:rsid w:val="005F5EE7"/>
    <w:rsid w:val="006018F8"/>
    <w:rsid w:val="00602495"/>
    <w:rsid w:val="00602DC6"/>
    <w:rsid w:val="00604891"/>
    <w:rsid w:val="00607BA5"/>
    <w:rsid w:val="00610ED2"/>
    <w:rsid w:val="0061180A"/>
    <w:rsid w:val="00612D04"/>
    <w:rsid w:val="00614C2E"/>
    <w:rsid w:val="00620852"/>
    <w:rsid w:val="00624660"/>
    <w:rsid w:val="00626EB6"/>
    <w:rsid w:val="006300B9"/>
    <w:rsid w:val="0063074E"/>
    <w:rsid w:val="006310E5"/>
    <w:rsid w:val="006318E3"/>
    <w:rsid w:val="00634457"/>
    <w:rsid w:val="0063727B"/>
    <w:rsid w:val="006407ED"/>
    <w:rsid w:val="00640B5C"/>
    <w:rsid w:val="00641671"/>
    <w:rsid w:val="00642E2D"/>
    <w:rsid w:val="0065028B"/>
    <w:rsid w:val="006512E8"/>
    <w:rsid w:val="00652FCA"/>
    <w:rsid w:val="00655D03"/>
    <w:rsid w:val="00662B95"/>
    <w:rsid w:val="00666050"/>
    <w:rsid w:val="00666FFC"/>
    <w:rsid w:val="006676BD"/>
    <w:rsid w:val="00667FB4"/>
    <w:rsid w:val="00671F04"/>
    <w:rsid w:val="00673866"/>
    <w:rsid w:val="00682EC3"/>
    <w:rsid w:val="00683388"/>
    <w:rsid w:val="00683F84"/>
    <w:rsid w:val="0068468B"/>
    <w:rsid w:val="0068723C"/>
    <w:rsid w:val="006873FB"/>
    <w:rsid w:val="00693D8E"/>
    <w:rsid w:val="0069494C"/>
    <w:rsid w:val="006A1D9F"/>
    <w:rsid w:val="006A293B"/>
    <w:rsid w:val="006A684B"/>
    <w:rsid w:val="006A6A81"/>
    <w:rsid w:val="006A6DF8"/>
    <w:rsid w:val="006B4214"/>
    <w:rsid w:val="006B4F67"/>
    <w:rsid w:val="006B58DB"/>
    <w:rsid w:val="006B6A70"/>
    <w:rsid w:val="006C2F45"/>
    <w:rsid w:val="006C681E"/>
    <w:rsid w:val="006D321A"/>
    <w:rsid w:val="006D5295"/>
    <w:rsid w:val="006D5BE0"/>
    <w:rsid w:val="006D629D"/>
    <w:rsid w:val="006E2CA0"/>
    <w:rsid w:val="006E462E"/>
    <w:rsid w:val="006E4B32"/>
    <w:rsid w:val="006F08B2"/>
    <w:rsid w:val="006F1759"/>
    <w:rsid w:val="006F3838"/>
    <w:rsid w:val="006F61BD"/>
    <w:rsid w:val="006F7393"/>
    <w:rsid w:val="00700491"/>
    <w:rsid w:val="007004D4"/>
    <w:rsid w:val="00701799"/>
    <w:rsid w:val="0070224F"/>
    <w:rsid w:val="007113CB"/>
    <w:rsid w:val="007115F7"/>
    <w:rsid w:val="00711648"/>
    <w:rsid w:val="0071630D"/>
    <w:rsid w:val="00721482"/>
    <w:rsid w:val="00721E22"/>
    <w:rsid w:val="0072791A"/>
    <w:rsid w:val="007327C8"/>
    <w:rsid w:val="0073303D"/>
    <w:rsid w:val="007338C0"/>
    <w:rsid w:val="00734FB3"/>
    <w:rsid w:val="00735680"/>
    <w:rsid w:val="00736D9B"/>
    <w:rsid w:val="00736E4C"/>
    <w:rsid w:val="007371D3"/>
    <w:rsid w:val="007374DE"/>
    <w:rsid w:val="00742566"/>
    <w:rsid w:val="00742AA8"/>
    <w:rsid w:val="00743039"/>
    <w:rsid w:val="00743B8E"/>
    <w:rsid w:val="0074651F"/>
    <w:rsid w:val="0075008E"/>
    <w:rsid w:val="00750441"/>
    <w:rsid w:val="00753D62"/>
    <w:rsid w:val="00756C70"/>
    <w:rsid w:val="00760856"/>
    <w:rsid w:val="00762A73"/>
    <w:rsid w:val="007640DD"/>
    <w:rsid w:val="00764193"/>
    <w:rsid w:val="00764495"/>
    <w:rsid w:val="007675D1"/>
    <w:rsid w:val="00770AD4"/>
    <w:rsid w:val="00772BA4"/>
    <w:rsid w:val="00773B59"/>
    <w:rsid w:val="00776160"/>
    <w:rsid w:val="00777F16"/>
    <w:rsid w:val="00777FE0"/>
    <w:rsid w:val="007813BF"/>
    <w:rsid w:val="00782011"/>
    <w:rsid w:val="0078284B"/>
    <w:rsid w:val="0078296F"/>
    <w:rsid w:val="00783BAD"/>
    <w:rsid w:val="00783DF9"/>
    <w:rsid w:val="00785689"/>
    <w:rsid w:val="00787DB6"/>
    <w:rsid w:val="0079037A"/>
    <w:rsid w:val="00791903"/>
    <w:rsid w:val="00792C74"/>
    <w:rsid w:val="00795877"/>
    <w:rsid w:val="00795998"/>
    <w:rsid w:val="00796595"/>
    <w:rsid w:val="0079754B"/>
    <w:rsid w:val="007A1E6D"/>
    <w:rsid w:val="007A36FA"/>
    <w:rsid w:val="007A434A"/>
    <w:rsid w:val="007A606F"/>
    <w:rsid w:val="007B0EB2"/>
    <w:rsid w:val="007B1900"/>
    <w:rsid w:val="007B6E83"/>
    <w:rsid w:val="007C5A69"/>
    <w:rsid w:val="007D0578"/>
    <w:rsid w:val="007D10B5"/>
    <w:rsid w:val="007D5A1D"/>
    <w:rsid w:val="007D65FF"/>
    <w:rsid w:val="007D721E"/>
    <w:rsid w:val="007D7460"/>
    <w:rsid w:val="007D7E74"/>
    <w:rsid w:val="007E0A4B"/>
    <w:rsid w:val="007E370E"/>
    <w:rsid w:val="007E6019"/>
    <w:rsid w:val="007E606D"/>
    <w:rsid w:val="007E7646"/>
    <w:rsid w:val="007E7A9F"/>
    <w:rsid w:val="007F1D63"/>
    <w:rsid w:val="007F1DE6"/>
    <w:rsid w:val="007F4DD6"/>
    <w:rsid w:val="008004C2"/>
    <w:rsid w:val="00801D84"/>
    <w:rsid w:val="008068F8"/>
    <w:rsid w:val="00807024"/>
    <w:rsid w:val="008074C4"/>
    <w:rsid w:val="00807A23"/>
    <w:rsid w:val="00810859"/>
    <w:rsid w:val="00810B6F"/>
    <w:rsid w:val="0081153F"/>
    <w:rsid w:val="00813BC2"/>
    <w:rsid w:val="0081452B"/>
    <w:rsid w:val="008204E2"/>
    <w:rsid w:val="008210B7"/>
    <w:rsid w:val="00822CE0"/>
    <w:rsid w:val="00824F9F"/>
    <w:rsid w:val="00830753"/>
    <w:rsid w:val="008325C0"/>
    <w:rsid w:val="00834664"/>
    <w:rsid w:val="008357C0"/>
    <w:rsid w:val="00840618"/>
    <w:rsid w:val="00840FF0"/>
    <w:rsid w:val="00841793"/>
    <w:rsid w:val="00841AB1"/>
    <w:rsid w:val="00844DE1"/>
    <w:rsid w:val="008451BE"/>
    <w:rsid w:val="008470CB"/>
    <w:rsid w:val="00850D3A"/>
    <w:rsid w:val="008510E2"/>
    <w:rsid w:val="00851176"/>
    <w:rsid w:val="00853E63"/>
    <w:rsid w:val="00856666"/>
    <w:rsid w:val="0086004E"/>
    <w:rsid w:val="008645A7"/>
    <w:rsid w:val="00866C6D"/>
    <w:rsid w:val="00870AF3"/>
    <w:rsid w:val="00871AA4"/>
    <w:rsid w:val="0087394A"/>
    <w:rsid w:val="00876CBB"/>
    <w:rsid w:val="00877BC3"/>
    <w:rsid w:val="00881476"/>
    <w:rsid w:val="0089451B"/>
    <w:rsid w:val="00897256"/>
    <w:rsid w:val="0089735C"/>
    <w:rsid w:val="008A3EC2"/>
    <w:rsid w:val="008A5C21"/>
    <w:rsid w:val="008A6E0F"/>
    <w:rsid w:val="008B2C6F"/>
    <w:rsid w:val="008B5484"/>
    <w:rsid w:val="008B74AE"/>
    <w:rsid w:val="008C5CCD"/>
    <w:rsid w:val="008C5FDE"/>
    <w:rsid w:val="008C68F1"/>
    <w:rsid w:val="008C7BC9"/>
    <w:rsid w:val="008D1444"/>
    <w:rsid w:val="008D4507"/>
    <w:rsid w:val="008D50CF"/>
    <w:rsid w:val="008D617A"/>
    <w:rsid w:val="008D658C"/>
    <w:rsid w:val="008E06C8"/>
    <w:rsid w:val="008E1E5D"/>
    <w:rsid w:val="008E3145"/>
    <w:rsid w:val="008E4184"/>
    <w:rsid w:val="008E7E2A"/>
    <w:rsid w:val="008F0402"/>
    <w:rsid w:val="008F0EE8"/>
    <w:rsid w:val="008F1517"/>
    <w:rsid w:val="008F26B4"/>
    <w:rsid w:val="0090164F"/>
    <w:rsid w:val="00902A10"/>
    <w:rsid w:val="00902B66"/>
    <w:rsid w:val="00905841"/>
    <w:rsid w:val="00907913"/>
    <w:rsid w:val="00913C84"/>
    <w:rsid w:val="0092094D"/>
    <w:rsid w:val="0092167B"/>
    <w:rsid w:val="00921803"/>
    <w:rsid w:val="00926503"/>
    <w:rsid w:val="0092663C"/>
    <w:rsid w:val="00931457"/>
    <w:rsid w:val="00931DF0"/>
    <w:rsid w:val="00931FDE"/>
    <w:rsid w:val="00932D93"/>
    <w:rsid w:val="009346C3"/>
    <w:rsid w:val="00936AA6"/>
    <w:rsid w:val="00937D1F"/>
    <w:rsid w:val="009400D0"/>
    <w:rsid w:val="009402A3"/>
    <w:rsid w:val="009409CC"/>
    <w:rsid w:val="00942EA3"/>
    <w:rsid w:val="009444DA"/>
    <w:rsid w:val="00945046"/>
    <w:rsid w:val="00946E3C"/>
    <w:rsid w:val="009531E0"/>
    <w:rsid w:val="0095489E"/>
    <w:rsid w:val="00955003"/>
    <w:rsid w:val="009554E1"/>
    <w:rsid w:val="00955E88"/>
    <w:rsid w:val="0096073E"/>
    <w:rsid w:val="00960AD2"/>
    <w:rsid w:val="009618E5"/>
    <w:rsid w:val="0096594A"/>
    <w:rsid w:val="00965BE3"/>
    <w:rsid w:val="009662B5"/>
    <w:rsid w:val="0097100D"/>
    <w:rsid w:val="009726B2"/>
    <w:rsid w:val="009726D8"/>
    <w:rsid w:val="00974C47"/>
    <w:rsid w:val="00975A1E"/>
    <w:rsid w:val="0097677E"/>
    <w:rsid w:val="00980BA4"/>
    <w:rsid w:val="009858E1"/>
    <w:rsid w:val="009859B4"/>
    <w:rsid w:val="00985E47"/>
    <w:rsid w:val="00985F7E"/>
    <w:rsid w:val="00987B91"/>
    <w:rsid w:val="00990149"/>
    <w:rsid w:val="0099056F"/>
    <w:rsid w:val="009931F8"/>
    <w:rsid w:val="009979C9"/>
    <w:rsid w:val="009A0E87"/>
    <w:rsid w:val="009A1BF7"/>
    <w:rsid w:val="009B2385"/>
    <w:rsid w:val="009B33B4"/>
    <w:rsid w:val="009B33F4"/>
    <w:rsid w:val="009B5249"/>
    <w:rsid w:val="009B585D"/>
    <w:rsid w:val="009B6152"/>
    <w:rsid w:val="009B6D5A"/>
    <w:rsid w:val="009B70FA"/>
    <w:rsid w:val="009C1C72"/>
    <w:rsid w:val="009C23C4"/>
    <w:rsid w:val="009D395B"/>
    <w:rsid w:val="009D3FFC"/>
    <w:rsid w:val="009D4DCA"/>
    <w:rsid w:val="009D7308"/>
    <w:rsid w:val="009E0DD1"/>
    <w:rsid w:val="009E2E69"/>
    <w:rsid w:val="009E35FD"/>
    <w:rsid w:val="009E5896"/>
    <w:rsid w:val="009F015E"/>
    <w:rsid w:val="009F2562"/>
    <w:rsid w:val="009F57AD"/>
    <w:rsid w:val="009F58D4"/>
    <w:rsid w:val="009F6BFA"/>
    <w:rsid w:val="009F76DB"/>
    <w:rsid w:val="00A0781C"/>
    <w:rsid w:val="00A13FF8"/>
    <w:rsid w:val="00A16DBC"/>
    <w:rsid w:val="00A21BB6"/>
    <w:rsid w:val="00A21E15"/>
    <w:rsid w:val="00A25603"/>
    <w:rsid w:val="00A26B94"/>
    <w:rsid w:val="00A27FA8"/>
    <w:rsid w:val="00A319BD"/>
    <w:rsid w:val="00A32C3B"/>
    <w:rsid w:val="00A32F46"/>
    <w:rsid w:val="00A34022"/>
    <w:rsid w:val="00A403FA"/>
    <w:rsid w:val="00A4259C"/>
    <w:rsid w:val="00A45F4F"/>
    <w:rsid w:val="00A559BF"/>
    <w:rsid w:val="00A55C57"/>
    <w:rsid w:val="00A56385"/>
    <w:rsid w:val="00A57E67"/>
    <w:rsid w:val="00A600A9"/>
    <w:rsid w:val="00A63B34"/>
    <w:rsid w:val="00A668A6"/>
    <w:rsid w:val="00A7010F"/>
    <w:rsid w:val="00A730AE"/>
    <w:rsid w:val="00A748F1"/>
    <w:rsid w:val="00A74C58"/>
    <w:rsid w:val="00A75DF9"/>
    <w:rsid w:val="00A75FA7"/>
    <w:rsid w:val="00A77877"/>
    <w:rsid w:val="00A8054D"/>
    <w:rsid w:val="00A8203F"/>
    <w:rsid w:val="00A82728"/>
    <w:rsid w:val="00A84F24"/>
    <w:rsid w:val="00A86189"/>
    <w:rsid w:val="00A91C03"/>
    <w:rsid w:val="00A920F9"/>
    <w:rsid w:val="00A928A3"/>
    <w:rsid w:val="00A92AE2"/>
    <w:rsid w:val="00A94305"/>
    <w:rsid w:val="00AA55B7"/>
    <w:rsid w:val="00AA5B9E"/>
    <w:rsid w:val="00AA5CC2"/>
    <w:rsid w:val="00AA6B6A"/>
    <w:rsid w:val="00AB0CFA"/>
    <w:rsid w:val="00AB133F"/>
    <w:rsid w:val="00AB2407"/>
    <w:rsid w:val="00AB2E01"/>
    <w:rsid w:val="00AB53DF"/>
    <w:rsid w:val="00AB55E4"/>
    <w:rsid w:val="00AB75C8"/>
    <w:rsid w:val="00AB7938"/>
    <w:rsid w:val="00AC000D"/>
    <w:rsid w:val="00AD1309"/>
    <w:rsid w:val="00AD3F16"/>
    <w:rsid w:val="00AD45C6"/>
    <w:rsid w:val="00AD6F8B"/>
    <w:rsid w:val="00AE0940"/>
    <w:rsid w:val="00AE0FA6"/>
    <w:rsid w:val="00AE1085"/>
    <w:rsid w:val="00AE2D32"/>
    <w:rsid w:val="00AE4483"/>
    <w:rsid w:val="00AE78D5"/>
    <w:rsid w:val="00AE7B0E"/>
    <w:rsid w:val="00AF0869"/>
    <w:rsid w:val="00AF0A74"/>
    <w:rsid w:val="00AF0D37"/>
    <w:rsid w:val="00AF503B"/>
    <w:rsid w:val="00AF549D"/>
    <w:rsid w:val="00AF5744"/>
    <w:rsid w:val="00AF5A10"/>
    <w:rsid w:val="00B00F70"/>
    <w:rsid w:val="00B07E5C"/>
    <w:rsid w:val="00B1119B"/>
    <w:rsid w:val="00B12E82"/>
    <w:rsid w:val="00B1303A"/>
    <w:rsid w:val="00B1783B"/>
    <w:rsid w:val="00B2159A"/>
    <w:rsid w:val="00B227D6"/>
    <w:rsid w:val="00B236F2"/>
    <w:rsid w:val="00B2379C"/>
    <w:rsid w:val="00B2718C"/>
    <w:rsid w:val="00B27A11"/>
    <w:rsid w:val="00B3622A"/>
    <w:rsid w:val="00B378FD"/>
    <w:rsid w:val="00B404FC"/>
    <w:rsid w:val="00B40680"/>
    <w:rsid w:val="00B42B47"/>
    <w:rsid w:val="00B4487F"/>
    <w:rsid w:val="00B507F1"/>
    <w:rsid w:val="00B50951"/>
    <w:rsid w:val="00B51854"/>
    <w:rsid w:val="00B52C7E"/>
    <w:rsid w:val="00B6018A"/>
    <w:rsid w:val="00B61C14"/>
    <w:rsid w:val="00B6329E"/>
    <w:rsid w:val="00B63499"/>
    <w:rsid w:val="00B717BC"/>
    <w:rsid w:val="00B71C1A"/>
    <w:rsid w:val="00B7278B"/>
    <w:rsid w:val="00B76230"/>
    <w:rsid w:val="00B80055"/>
    <w:rsid w:val="00B811F7"/>
    <w:rsid w:val="00B819BE"/>
    <w:rsid w:val="00B826B7"/>
    <w:rsid w:val="00B85FE9"/>
    <w:rsid w:val="00B87078"/>
    <w:rsid w:val="00B87A8E"/>
    <w:rsid w:val="00B95EF7"/>
    <w:rsid w:val="00B961FD"/>
    <w:rsid w:val="00BA1A9F"/>
    <w:rsid w:val="00BA25F8"/>
    <w:rsid w:val="00BA31DE"/>
    <w:rsid w:val="00BA5DC6"/>
    <w:rsid w:val="00BA6196"/>
    <w:rsid w:val="00BA789D"/>
    <w:rsid w:val="00BB328E"/>
    <w:rsid w:val="00BB3A74"/>
    <w:rsid w:val="00BB5DAD"/>
    <w:rsid w:val="00BB7541"/>
    <w:rsid w:val="00BC198C"/>
    <w:rsid w:val="00BC31BA"/>
    <w:rsid w:val="00BC645C"/>
    <w:rsid w:val="00BC6D8C"/>
    <w:rsid w:val="00BD1914"/>
    <w:rsid w:val="00BD2E13"/>
    <w:rsid w:val="00BD425A"/>
    <w:rsid w:val="00BD68FD"/>
    <w:rsid w:val="00BE2BF1"/>
    <w:rsid w:val="00BE3330"/>
    <w:rsid w:val="00BE747C"/>
    <w:rsid w:val="00BF0D33"/>
    <w:rsid w:val="00BF2842"/>
    <w:rsid w:val="00BF3A30"/>
    <w:rsid w:val="00BF482F"/>
    <w:rsid w:val="00BF6E00"/>
    <w:rsid w:val="00C01B0B"/>
    <w:rsid w:val="00C02DDB"/>
    <w:rsid w:val="00C0524F"/>
    <w:rsid w:val="00C14944"/>
    <w:rsid w:val="00C21E29"/>
    <w:rsid w:val="00C2257C"/>
    <w:rsid w:val="00C24F8B"/>
    <w:rsid w:val="00C2553B"/>
    <w:rsid w:val="00C2620A"/>
    <w:rsid w:val="00C32B9D"/>
    <w:rsid w:val="00C334F2"/>
    <w:rsid w:val="00C34006"/>
    <w:rsid w:val="00C356B6"/>
    <w:rsid w:val="00C36B4C"/>
    <w:rsid w:val="00C37516"/>
    <w:rsid w:val="00C426B1"/>
    <w:rsid w:val="00C43C45"/>
    <w:rsid w:val="00C5677C"/>
    <w:rsid w:val="00C57982"/>
    <w:rsid w:val="00C61AC5"/>
    <w:rsid w:val="00C61CB9"/>
    <w:rsid w:val="00C628BD"/>
    <w:rsid w:val="00C632B6"/>
    <w:rsid w:val="00C63CAC"/>
    <w:rsid w:val="00C644C4"/>
    <w:rsid w:val="00C66160"/>
    <w:rsid w:val="00C714AD"/>
    <w:rsid w:val="00C721AC"/>
    <w:rsid w:val="00C72F01"/>
    <w:rsid w:val="00C7372D"/>
    <w:rsid w:val="00C7377F"/>
    <w:rsid w:val="00C737A3"/>
    <w:rsid w:val="00C76715"/>
    <w:rsid w:val="00C767AE"/>
    <w:rsid w:val="00C77C8F"/>
    <w:rsid w:val="00C816F7"/>
    <w:rsid w:val="00C87BA3"/>
    <w:rsid w:val="00C90D6A"/>
    <w:rsid w:val="00C935A7"/>
    <w:rsid w:val="00CA0FC5"/>
    <w:rsid w:val="00CA247E"/>
    <w:rsid w:val="00CA2EF7"/>
    <w:rsid w:val="00CA4976"/>
    <w:rsid w:val="00CA49E6"/>
    <w:rsid w:val="00CA55E7"/>
    <w:rsid w:val="00CA5F24"/>
    <w:rsid w:val="00CA6D21"/>
    <w:rsid w:val="00CB475F"/>
    <w:rsid w:val="00CC01F9"/>
    <w:rsid w:val="00CC136E"/>
    <w:rsid w:val="00CC45C9"/>
    <w:rsid w:val="00CC72B6"/>
    <w:rsid w:val="00CD2A27"/>
    <w:rsid w:val="00CD2FA8"/>
    <w:rsid w:val="00CD358A"/>
    <w:rsid w:val="00CD41F5"/>
    <w:rsid w:val="00CD42B0"/>
    <w:rsid w:val="00CD4F9A"/>
    <w:rsid w:val="00CE1F7C"/>
    <w:rsid w:val="00CE360E"/>
    <w:rsid w:val="00CE3D90"/>
    <w:rsid w:val="00CE4440"/>
    <w:rsid w:val="00CE5579"/>
    <w:rsid w:val="00CE55D1"/>
    <w:rsid w:val="00CF09ED"/>
    <w:rsid w:val="00CF0B5C"/>
    <w:rsid w:val="00CF19AB"/>
    <w:rsid w:val="00CF1CDF"/>
    <w:rsid w:val="00CF64A1"/>
    <w:rsid w:val="00CF7116"/>
    <w:rsid w:val="00CF74AE"/>
    <w:rsid w:val="00CF76A1"/>
    <w:rsid w:val="00CF7ADD"/>
    <w:rsid w:val="00D0043B"/>
    <w:rsid w:val="00D00D83"/>
    <w:rsid w:val="00D01849"/>
    <w:rsid w:val="00D0218D"/>
    <w:rsid w:val="00D16EDD"/>
    <w:rsid w:val="00D1775D"/>
    <w:rsid w:val="00D20D1C"/>
    <w:rsid w:val="00D20F48"/>
    <w:rsid w:val="00D23350"/>
    <w:rsid w:val="00D23CFB"/>
    <w:rsid w:val="00D25FB5"/>
    <w:rsid w:val="00D26956"/>
    <w:rsid w:val="00D27033"/>
    <w:rsid w:val="00D32085"/>
    <w:rsid w:val="00D35647"/>
    <w:rsid w:val="00D40C1D"/>
    <w:rsid w:val="00D44223"/>
    <w:rsid w:val="00D461ED"/>
    <w:rsid w:val="00D50EFA"/>
    <w:rsid w:val="00D52899"/>
    <w:rsid w:val="00D52EF5"/>
    <w:rsid w:val="00D55756"/>
    <w:rsid w:val="00D62B11"/>
    <w:rsid w:val="00D62C5A"/>
    <w:rsid w:val="00D65BFD"/>
    <w:rsid w:val="00D6774C"/>
    <w:rsid w:val="00D702F7"/>
    <w:rsid w:val="00D72361"/>
    <w:rsid w:val="00D76DCE"/>
    <w:rsid w:val="00D81627"/>
    <w:rsid w:val="00D91383"/>
    <w:rsid w:val="00D9267F"/>
    <w:rsid w:val="00D93A01"/>
    <w:rsid w:val="00D9413C"/>
    <w:rsid w:val="00D95EC9"/>
    <w:rsid w:val="00DA219E"/>
    <w:rsid w:val="00DA2529"/>
    <w:rsid w:val="00DA4B93"/>
    <w:rsid w:val="00DB11AA"/>
    <w:rsid w:val="00DB130A"/>
    <w:rsid w:val="00DB2D18"/>
    <w:rsid w:val="00DB2EBB"/>
    <w:rsid w:val="00DB3345"/>
    <w:rsid w:val="00DB3EF7"/>
    <w:rsid w:val="00DB64ED"/>
    <w:rsid w:val="00DC0B8A"/>
    <w:rsid w:val="00DC0BE7"/>
    <w:rsid w:val="00DC10A1"/>
    <w:rsid w:val="00DC17C6"/>
    <w:rsid w:val="00DC2C3A"/>
    <w:rsid w:val="00DC2F3A"/>
    <w:rsid w:val="00DC3D05"/>
    <w:rsid w:val="00DC655F"/>
    <w:rsid w:val="00DC76CF"/>
    <w:rsid w:val="00DD0836"/>
    <w:rsid w:val="00DD0B59"/>
    <w:rsid w:val="00DD1759"/>
    <w:rsid w:val="00DD3249"/>
    <w:rsid w:val="00DD41C0"/>
    <w:rsid w:val="00DD5496"/>
    <w:rsid w:val="00DD7B81"/>
    <w:rsid w:val="00DD7EBD"/>
    <w:rsid w:val="00DE119E"/>
    <w:rsid w:val="00DE3592"/>
    <w:rsid w:val="00DE62DA"/>
    <w:rsid w:val="00DE72A7"/>
    <w:rsid w:val="00DF0996"/>
    <w:rsid w:val="00DF3050"/>
    <w:rsid w:val="00DF4A24"/>
    <w:rsid w:val="00DF554C"/>
    <w:rsid w:val="00DF62B6"/>
    <w:rsid w:val="00DF7305"/>
    <w:rsid w:val="00E00392"/>
    <w:rsid w:val="00E011BB"/>
    <w:rsid w:val="00E015CB"/>
    <w:rsid w:val="00E02AAF"/>
    <w:rsid w:val="00E07225"/>
    <w:rsid w:val="00E07C55"/>
    <w:rsid w:val="00E13606"/>
    <w:rsid w:val="00E13B5A"/>
    <w:rsid w:val="00E15D2D"/>
    <w:rsid w:val="00E208EC"/>
    <w:rsid w:val="00E244B6"/>
    <w:rsid w:val="00E24DD4"/>
    <w:rsid w:val="00E27087"/>
    <w:rsid w:val="00E348E1"/>
    <w:rsid w:val="00E42B8C"/>
    <w:rsid w:val="00E43B88"/>
    <w:rsid w:val="00E43F10"/>
    <w:rsid w:val="00E4684A"/>
    <w:rsid w:val="00E474DB"/>
    <w:rsid w:val="00E5079D"/>
    <w:rsid w:val="00E5314F"/>
    <w:rsid w:val="00E5409F"/>
    <w:rsid w:val="00E57745"/>
    <w:rsid w:val="00E60EAA"/>
    <w:rsid w:val="00E62494"/>
    <w:rsid w:val="00E62747"/>
    <w:rsid w:val="00E6330D"/>
    <w:rsid w:val="00E646BC"/>
    <w:rsid w:val="00E65D0E"/>
    <w:rsid w:val="00E664A3"/>
    <w:rsid w:val="00E66905"/>
    <w:rsid w:val="00E676A2"/>
    <w:rsid w:val="00E71E3B"/>
    <w:rsid w:val="00E73565"/>
    <w:rsid w:val="00E75AD1"/>
    <w:rsid w:val="00E767CB"/>
    <w:rsid w:val="00E81544"/>
    <w:rsid w:val="00E875A1"/>
    <w:rsid w:val="00E87A36"/>
    <w:rsid w:val="00E90343"/>
    <w:rsid w:val="00E90ACE"/>
    <w:rsid w:val="00E945F7"/>
    <w:rsid w:val="00E9483E"/>
    <w:rsid w:val="00E94A7E"/>
    <w:rsid w:val="00E95192"/>
    <w:rsid w:val="00E95DCA"/>
    <w:rsid w:val="00E9647C"/>
    <w:rsid w:val="00EA1377"/>
    <w:rsid w:val="00EA2744"/>
    <w:rsid w:val="00EA2A05"/>
    <w:rsid w:val="00EB061E"/>
    <w:rsid w:val="00EB1227"/>
    <w:rsid w:val="00EB275F"/>
    <w:rsid w:val="00EC383A"/>
    <w:rsid w:val="00EC3F75"/>
    <w:rsid w:val="00EC5169"/>
    <w:rsid w:val="00EC6CDF"/>
    <w:rsid w:val="00ED02E5"/>
    <w:rsid w:val="00ED1283"/>
    <w:rsid w:val="00ED15B4"/>
    <w:rsid w:val="00ED63CE"/>
    <w:rsid w:val="00ED7C28"/>
    <w:rsid w:val="00EE20D4"/>
    <w:rsid w:val="00EE5939"/>
    <w:rsid w:val="00EE63C7"/>
    <w:rsid w:val="00EE6488"/>
    <w:rsid w:val="00EF1CD7"/>
    <w:rsid w:val="00EF6EDD"/>
    <w:rsid w:val="00EF7AC0"/>
    <w:rsid w:val="00F00606"/>
    <w:rsid w:val="00F00995"/>
    <w:rsid w:val="00F021FA"/>
    <w:rsid w:val="00F04E7C"/>
    <w:rsid w:val="00F0612D"/>
    <w:rsid w:val="00F10363"/>
    <w:rsid w:val="00F14545"/>
    <w:rsid w:val="00F222B8"/>
    <w:rsid w:val="00F25AFC"/>
    <w:rsid w:val="00F265BC"/>
    <w:rsid w:val="00F30797"/>
    <w:rsid w:val="00F314DE"/>
    <w:rsid w:val="00F3284D"/>
    <w:rsid w:val="00F369B9"/>
    <w:rsid w:val="00F36CBE"/>
    <w:rsid w:val="00F4125A"/>
    <w:rsid w:val="00F4277B"/>
    <w:rsid w:val="00F429DA"/>
    <w:rsid w:val="00F43AB4"/>
    <w:rsid w:val="00F44087"/>
    <w:rsid w:val="00F4456E"/>
    <w:rsid w:val="00F4465A"/>
    <w:rsid w:val="00F44755"/>
    <w:rsid w:val="00F46F56"/>
    <w:rsid w:val="00F541C1"/>
    <w:rsid w:val="00F54258"/>
    <w:rsid w:val="00F555E0"/>
    <w:rsid w:val="00F55CEC"/>
    <w:rsid w:val="00F560D9"/>
    <w:rsid w:val="00F61A6A"/>
    <w:rsid w:val="00F629D0"/>
    <w:rsid w:val="00F62E97"/>
    <w:rsid w:val="00F64209"/>
    <w:rsid w:val="00F64762"/>
    <w:rsid w:val="00F65A3D"/>
    <w:rsid w:val="00F66972"/>
    <w:rsid w:val="00F67629"/>
    <w:rsid w:val="00F67F84"/>
    <w:rsid w:val="00F706E9"/>
    <w:rsid w:val="00F70B78"/>
    <w:rsid w:val="00F757B9"/>
    <w:rsid w:val="00F900AA"/>
    <w:rsid w:val="00F91625"/>
    <w:rsid w:val="00F93BF5"/>
    <w:rsid w:val="00F9412C"/>
    <w:rsid w:val="00FA419F"/>
    <w:rsid w:val="00FA65E9"/>
    <w:rsid w:val="00FA68CE"/>
    <w:rsid w:val="00FA6F20"/>
    <w:rsid w:val="00FB276E"/>
    <w:rsid w:val="00FB3C67"/>
    <w:rsid w:val="00FB75D8"/>
    <w:rsid w:val="00FC3DC2"/>
    <w:rsid w:val="00FC781B"/>
    <w:rsid w:val="00FD3946"/>
    <w:rsid w:val="00FD43A2"/>
    <w:rsid w:val="00FD4BA6"/>
    <w:rsid w:val="00FD6C72"/>
    <w:rsid w:val="00FD6DFA"/>
    <w:rsid w:val="00FD7CCB"/>
    <w:rsid w:val="00FE0F59"/>
    <w:rsid w:val="00FE499B"/>
    <w:rsid w:val="00FE5965"/>
    <w:rsid w:val="00FF6F15"/>
    <w:rsid w:val="00FF7D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E0789D-6B4F-4DF9-B473-5AAED927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62747"/>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Footnote Text Char1 Char,Footnote Text Char2 Char,Footnote Text Char4 Char1 Char Char,Footnote Text Char4 Char1 Char Char Char Char Char,Footnote Text Char7 Char Char,f Char,fn Char"/>
    <w:link w:val="FootnoteText"/>
    <w:rsid w:val="000F1FEC"/>
  </w:style>
  <w:style w:type="character" w:customStyle="1" w:styleId="ParaNumChar">
    <w:name w:val="ParaNum Char"/>
    <w:link w:val="ParaNum"/>
    <w:rsid w:val="000F1FEC"/>
    <w:rPr>
      <w:snapToGrid w:val="0"/>
      <w:kern w:val="28"/>
      <w:sz w:val="22"/>
    </w:rPr>
  </w:style>
  <w:style w:type="paragraph" w:customStyle="1" w:styleId="AppNum">
    <w:name w:val="App Num"/>
    <w:basedOn w:val="Normal"/>
    <w:rsid w:val="000F1FEC"/>
    <w:pPr>
      <w:numPr>
        <w:numId w:val="7"/>
      </w:numPr>
    </w:pPr>
    <w:rPr>
      <w:rFonts w:ascii="Courier New" w:hAnsi="Courier New"/>
      <w:kern w:val="0"/>
      <w:sz w:val="24"/>
    </w:rPr>
  </w:style>
  <w:style w:type="character" w:styleId="Emphasis">
    <w:name w:val="Emphasis"/>
    <w:uiPriority w:val="20"/>
    <w:qFormat/>
    <w:rsid w:val="000F1FEC"/>
    <w:rPr>
      <w:i/>
      <w:iCs/>
    </w:rPr>
  </w:style>
  <w:style w:type="paragraph" w:styleId="ListParagraph">
    <w:name w:val="List Paragraph"/>
    <w:basedOn w:val="Normal"/>
    <w:uiPriority w:val="34"/>
    <w:qFormat/>
    <w:rsid w:val="000F1FEC"/>
    <w:pPr>
      <w:ind w:left="720"/>
      <w:contextualSpacing/>
    </w:pPr>
  </w:style>
  <w:style w:type="character" w:styleId="CommentReference">
    <w:name w:val="annotation reference"/>
    <w:basedOn w:val="DefaultParagraphFont"/>
    <w:rsid w:val="00E62747"/>
    <w:rPr>
      <w:sz w:val="16"/>
      <w:szCs w:val="16"/>
    </w:rPr>
  </w:style>
  <w:style w:type="paragraph" w:styleId="CommentText">
    <w:name w:val="annotation text"/>
    <w:basedOn w:val="Normal"/>
    <w:link w:val="CommentTextChar"/>
    <w:rsid w:val="00E62747"/>
    <w:rPr>
      <w:sz w:val="20"/>
    </w:rPr>
  </w:style>
  <w:style w:type="character" w:customStyle="1" w:styleId="CommentTextChar">
    <w:name w:val="Comment Text Char"/>
    <w:basedOn w:val="DefaultParagraphFont"/>
    <w:link w:val="CommentText"/>
    <w:rsid w:val="000F1FEC"/>
    <w:rPr>
      <w:snapToGrid w:val="0"/>
      <w:kern w:val="28"/>
    </w:rPr>
  </w:style>
  <w:style w:type="paragraph" w:styleId="CommentSubject">
    <w:name w:val="annotation subject"/>
    <w:basedOn w:val="CommentText"/>
    <w:next w:val="CommentText"/>
    <w:link w:val="CommentSubjectChar"/>
    <w:rsid w:val="00E62747"/>
    <w:rPr>
      <w:b/>
      <w:bCs/>
    </w:rPr>
  </w:style>
  <w:style w:type="character" w:customStyle="1" w:styleId="CommentSubjectChar">
    <w:name w:val="Comment Subject Char"/>
    <w:basedOn w:val="CommentTextChar"/>
    <w:link w:val="CommentSubject"/>
    <w:rsid w:val="000F1FEC"/>
    <w:rPr>
      <w:b/>
      <w:bCs/>
      <w:snapToGrid w:val="0"/>
      <w:kern w:val="28"/>
    </w:rPr>
  </w:style>
  <w:style w:type="paragraph" w:styleId="BalloonText">
    <w:name w:val="Balloon Text"/>
    <w:basedOn w:val="Normal"/>
    <w:link w:val="BalloonTextChar"/>
    <w:rsid w:val="000F1FEC"/>
    <w:rPr>
      <w:rFonts w:ascii="Segoe UI" w:hAnsi="Segoe UI" w:cs="Segoe UI"/>
      <w:sz w:val="18"/>
      <w:szCs w:val="18"/>
    </w:rPr>
  </w:style>
  <w:style w:type="character" w:customStyle="1" w:styleId="BalloonTextChar">
    <w:name w:val="Balloon Text Char"/>
    <w:basedOn w:val="DefaultParagraphFont"/>
    <w:link w:val="BalloonText"/>
    <w:rsid w:val="000F1FEC"/>
    <w:rPr>
      <w:rFonts w:ascii="Segoe UI" w:hAnsi="Segoe UI" w:cs="Segoe UI"/>
      <w:snapToGrid w:val="0"/>
      <w:kern w:val="28"/>
      <w:sz w:val="18"/>
      <w:szCs w:val="18"/>
    </w:rPr>
  </w:style>
  <w:style w:type="paragraph" w:customStyle="1" w:styleId="Paranum0">
    <w:name w:val="Paranum"/>
    <w:rsid w:val="00E62747"/>
    <w:pPr>
      <w:numPr>
        <w:numId w:val="15"/>
      </w:numPr>
      <w:tabs>
        <w:tab w:val="left" w:pos="1440"/>
      </w:tabs>
      <w:spacing w:after="240"/>
      <w:jc w:val="both"/>
    </w:pPr>
    <w:rPr>
      <w:sz w:val="22"/>
    </w:rPr>
  </w:style>
  <w:style w:type="paragraph" w:styleId="Revision">
    <w:name w:val="Revision"/>
    <w:hidden/>
    <w:uiPriority w:val="99"/>
    <w:semiHidden/>
    <w:rsid w:val="00E62747"/>
    <w:rPr>
      <w:snapToGrid w:val="0"/>
      <w:kern w:val="28"/>
      <w:sz w:val="22"/>
    </w:rPr>
  </w:style>
  <w:style w:type="character" w:customStyle="1" w:styleId="UnresolvedMention1">
    <w:name w:val="Unresolved Mention1"/>
    <w:basedOn w:val="DefaultParagraphFont"/>
    <w:uiPriority w:val="99"/>
    <w:semiHidden/>
    <w:unhideWhenUsed/>
    <w:rsid w:val="00E62747"/>
    <w:rPr>
      <w:color w:val="808080"/>
      <w:shd w:val="clear" w:color="auto" w:fill="E6E6E6"/>
    </w:rPr>
  </w:style>
  <w:style w:type="paragraph" w:styleId="BodyText">
    <w:name w:val="Body Text"/>
    <w:basedOn w:val="Normal"/>
    <w:link w:val="BodyTextChar"/>
    <w:rsid w:val="00E62747"/>
    <w:pPr>
      <w:widowControl/>
      <w:spacing w:after="240"/>
      <w:jc w:val="both"/>
    </w:pPr>
    <w:rPr>
      <w:snapToGrid/>
      <w:kern w:val="0"/>
    </w:rPr>
  </w:style>
  <w:style w:type="character" w:customStyle="1" w:styleId="BodyTextChar">
    <w:name w:val="Body Text Char"/>
    <w:basedOn w:val="DefaultParagraphFont"/>
    <w:link w:val="BodyText"/>
    <w:rsid w:val="00E62747"/>
    <w:rPr>
      <w:sz w:val="22"/>
    </w:rPr>
  </w:style>
  <w:style w:type="character" w:styleId="FollowedHyperlink">
    <w:name w:val="FollowedHyperlink"/>
    <w:basedOn w:val="DefaultParagraphFont"/>
    <w:unhideWhenUsed/>
    <w:rsid w:val="00E62747"/>
    <w:rPr>
      <w:color w:val="954F72" w:themeColor="followedHyperlink"/>
      <w:u w:val="single"/>
    </w:rPr>
  </w:style>
  <w:style w:type="character" w:customStyle="1" w:styleId="UnresolvedMention2">
    <w:name w:val="Unresolved Mention2"/>
    <w:basedOn w:val="DefaultParagraphFont"/>
    <w:uiPriority w:val="99"/>
    <w:semiHidden/>
    <w:unhideWhenUsed/>
    <w:rsid w:val="00E62747"/>
    <w:rPr>
      <w:color w:val="808080"/>
      <w:shd w:val="clear" w:color="auto" w:fill="E6E6E6"/>
    </w:rPr>
  </w:style>
  <w:style w:type="character" w:customStyle="1" w:styleId="UnresolvedMention">
    <w:name w:val="Unresolved Mention"/>
    <w:basedOn w:val="DefaultParagraphFont"/>
    <w:uiPriority w:val="99"/>
    <w:semiHidden/>
    <w:unhideWhenUsed/>
    <w:rsid w:val="00E62747"/>
    <w:rPr>
      <w:color w:val="605E5C"/>
      <w:shd w:val="clear" w:color="auto" w:fill="E1DFDD"/>
    </w:rPr>
  </w:style>
  <w:style w:type="character" w:customStyle="1" w:styleId="ParaNumChar1">
    <w:name w:val="ParaNum Char1"/>
    <w:locked/>
    <w:rsid w:val="00E62747"/>
    <w:rPr>
      <w:snapToGrid w:val="0"/>
      <w:kern w:val="28"/>
      <w:sz w:val="22"/>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rsid w:val="00E6274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