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6E8489B1" w14:textId="349C602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893F8F">
        <w:rPr>
          <w:b/>
          <w:szCs w:val="22"/>
        </w:rPr>
        <w:t>20</w:t>
      </w:r>
    </w:p>
    <w:p w:rsidR="006076B9" w:rsidP="007D67D9" w14:paraId="6DA34BF3" w14:textId="1FE260AF">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9D2C06">
        <w:rPr>
          <w:b/>
          <w:szCs w:val="22"/>
        </w:rPr>
        <w:t>January 6,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0B8F362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w:t>
      </w:r>
      <w:r w:rsidR="009D2C06">
        <w:rPr>
          <w:b/>
          <w:kern w:val="0"/>
          <w:szCs w:val="22"/>
        </w:rPr>
        <w:t>408</w:t>
      </w:r>
      <w:r w:rsidR="008E6520">
        <w:rPr>
          <w:b/>
          <w:kern w:val="0"/>
          <w:szCs w:val="22"/>
        </w:rPr>
        <w:t>, 20-</w:t>
      </w:r>
      <w:r w:rsidR="009D2C06">
        <w:rPr>
          <w:b/>
          <w:kern w:val="0"/>
          <w:szCs w:val="22"/>
        </w:rPr>
        <w:t>409</w:t>
      </w:r>
      <w:r w:rsidR="0006712A">
        <w:rPr>
          <w:b/>
          <w:kern w:val="0"/>
          <w:szCs w:val="22"/>
        </w:rPr>
        <w:t xml:space="preserve">, </w:t>
      </w:r>
      <w:r w:rsidR="00C756F7">
        <w:rPr>
          <w:b/>
          <w:kern w:val="0"/>
          <w:szCs w:val="22"/>
        </w:rPr>
        <w:t xml:space="preserve">&amp; </w:t>
      </w:r>
      <w:bookmarkStart w:id="0" w:name="_GoBack"/>
      <w:bookmarkEnd w:id="0"/>
      <w:r w:rsidR="001629F4">
        <w:rPr>
          <w:b/>
          <w:kern w:val="0"/>
          <w:szCs w:val="22"/>
        </w:rPr>
        <w:t>20-</w:t>
      </w:r>
      <w:r w:rsidR="009D2C06">
        <w:rPr>
          <w:b/>
          <w:kern w:val="0"/>
          <w:szCs w:val="22"/>
        </w:rPr>
        <w:t>410</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3624B0B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9D2C06">
        <w:rPr>
          <w:b/>
          <w:kern w:val="0"/>
          <w:szCs w:val="22"/>
        </w:rPr>
        <w:t>January 21,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0F80531D">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D2C06">
        <w:rPr>
          <w:rFonts w:eastAsia="MS Mincho"/>
          <w:b/>
          <w:szCs w:val="22"/>
        </w:rPr>
        <w:t>February</w:t>
      </w:r>
      <w:r w:rsidR="00E7308B">
        <w:rPr>
          <w:rFonts w:eastAsia="MS Mincho"/>
          <w:b/>
          <w:szCs w:val="22"/>
        </w:rPr>
        <w:t xml:space="preserve"> </w:t>
      </w:r>
      <w:r w:rsidR="009D2C06">
        <w:rPr>
          <w:rFonts w:eastAsia="MS Mincho"/>
          <w:b/>
          <w:szCs w:val="22"/>
        </w:rPr>
        <w:t>6</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51BABD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9D2C06">
        <w:rPr>
          <w:b/>
          <w:szCs w:val="22"/>
        </w:rPr>
        <w:t xml:space="preserve">January </w:t>
      </w:r>
      <w:r w:rsidR="001E5245">
        <w:rPr>
          <w:b/>
          <w:szCs w:val="22"/>
        </w:rPr>
        <w:t>21</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490A6C" w14:paraId="7660E7C8" w14:textId="1B56F0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 xml:space="preserve">Commercial overnight mail </w:t>
      </w:r>
      <w:r w:rsidR="00D97F9E">
        <w:rPr>
          <w:szCs w:val="22"/>
        </w:rPr>
        <w:t xml:space="preserve">and </w:t>
      </w:r>
      <w:r w:rsidRPr="00EF493C" w:rsidR="00EF493C">
        <w:rPr>
          <w:szCs w:val="22"/>
        </w:rPr>
        <w:t xml:space="preserve">U.S. Postal Service </w:t>
      </w:r>
      <w:r w:rsidR="00D97F9E">
        <w:rPr>
          <w:szCs w:val="22"/>
        </w:rPr>
        <w:t xml:space="preserve">first-class, </w:t>
      </w:r>
      <w:r w:rsidRPr="00EF493C" w:rsidR="00EF493C">
        <w:rPr>
          <w:szCs w:val="22"/>
        </w:rPr>
        <w:t>Express Mail and Priority Mail must be sent to 9050 Junction Drive, Annapolis Junction, MD 20701.</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176260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9F8103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05D57" w:rsidRPr="00005D57" w:rsidP="00005D57" w14:paraId="36CCFA25" w14:textId="1298639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Applicant(s): Windstream Services II, LLC, Choice One Communications of Maine, Inc., </w:t>
      </w:r>
      <w:r w:rsidRPr="00005D57">
        <w:rPr>
          <w:b/>
          <w:szCs w:val="22"/>
        </w:rPr>
        <w:t>Conversent</w:t>
      </w:r>
      <w:r w:rsidRPr="00005D57">
        <w:rPr>
          <w:b/>
          <w:szCs w:val="22"/>
        </w:rPr>
        <w:t xml:space="preserve"> Communications of Maine, </w:t>
      </w:r>
      <w:r w:rsidR="00486D8B">
        <w:rPr>
          <w:b/>
          <w:szCs w:val="22"/>
        </w:rPr>
        <w:t>LLC.</w:t>
      </w:r>
      <w:r w:rsidRPr="00005D57">
        <w:rPr>
          <w:b/>
          <w:szCs w:val="22"/>
        </w:rPr>
        <w:t xml:space="preserve"> and CTC Communications Corp.</w:t>
      </w:r>
    </w:p>
    <w:p w:rsidR="00005D57" w:rsidRPr="00005D57" w:rsidP="00005D57" w14:paraId="70A51BB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WC Docket No. 20-408, Comp. Pol. File No. 1658</w:t>
      </w:r>
    </w:p>
    <w:p w:rsidR="00005D57" w:rsidRPr="00005D57" w:rsidP="00005D57" w14:paraId="0924C66C" w14:textId="4452A4D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Link – </w:t>
      </w:r>
      <w:hyperlink r:id="rId8" w:history="1">
        <w:r w:rsidRPr="00005D57">
          <w:rPr>
            <w:rStyle w:val="Hyperlink"/>
            <w:bCs/>
            <w:szCs w:val="22"/>
          </w:rPr>
          <w:t>https://www.fcc.gov/ecfs/search/filings?proceedings_name=20-408&amp;sort=date_disseminated,DESC</w:t>
        </w:r>
      </w:hyperlink>
    </w:p>
    <w:p w:rsidR="00005D57" w:rsidRPr="00005D57" w:rsidP="00005D57" w14:paraId="62DCE4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005D57">
        <w:rPr>
          <w:bCs/>
          <w:szCs w:val="22"/>
        </w:rPr>
        <w:t>DS0/POTS, DS0/DSL and/or DS1/1.5Mb T-1 Voice, Data and Integrated services</w:t>
      </w:r>
    </w:p>
    <w:p w:rsidR="00005D57" w:rsidRPr="00005D57" w:rsidP="00005D57" w14:paraId="4F42052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Service Area(s) – </w:t>
      </w:r>
      <w:r w:rsidRPr="00005D57">
        <w:rPr>
          <w:bCs/>
          <w:szCs w:val="22"/>
        </w:rPr>
        <w:t>Portland and South Portland, Maine</w:t>
      </w:r>
    </w:p>
    <w:p w:rsidR="00005D57" w:rsidRPr="00005D57" w:rsidP="00005D57" w14:paraId="32CBA47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on or after February 6, 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005D57" w:rsidP="00005D57" w14:paraId="20B5642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Note: </w:t>
      </w:r>
      <w:r w:rsidRPr="00005D57">
        <w:rPr>
          <w:bCs/>
          <w:szCs w:val="22"/>
        </w:rPr>
        <w:t>On January 6, 2021, Windstream filed a supplemental letter clarifying that the Service Areas impacted by this planned discontinuance will continue to have access to TDM-based voice services through another provider in the territory.  Windstream also acknowledges, in its supplemental filing, that the proposed discontinuance is not a technology transition and it clarifies the nature of the Affected Services.</w:t>
      </w:r>
      <w:r w:rsidRPr="00005D57">
        <w:rPr>
          <w:b/>
          <w:szCs w:val="22"/>
        </w:rPr>
        <w:t xml:space="preserve">   </w:t>
      </w:r>
    </w:p>
    <w:p w:rsidR="00005D57" w:rsidRPr="00005D57" w:rsidP="00005D57" w14:paraId="69D0E06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05D57" w:rsidRPr="00005D57" w:rsidP="00005D57" w14:paraId="0D3E736B"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Applicant(s):  Windstream Services II, LLC and </w:t>
      </w:r>
      <w:r w:rsidRPr="00005D57">
        <w:rPr>
          <w:b/>
          <w:szCs w:val="22"/>
        </w:rPr>
        <w:t>McLeodUSA</w:t>
      </w:r>
      <w:r w:rsidRPr="00005D57">
        <w:rPr>
          <w:b/>
          <w:szCs w:val="22"/>
        </w:rPr>
        <w:t xml:space="preserve"> Telecommunications Services, LLC</w:t>
      </w:r>
    </w:p>
    <w:p w:rsidR="00005D57" w:rsidRPr="00005D57" w:rsidP="00005D57" w14:paraId="2FDE7DB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WC Docket No. 20-409, Comp. Pol. File No. 1659</w:t>
      </w:r>
    </w:p>
    <w:p w:rsidR="00005D57" w:rsidRPr="00005D57" w:rsidP="00005D57" w14:paraId="058A28B5" w14:textId="523F232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Link – </w:t>
      </w:r>
      <w:hyperlink r:id="rId9" w:history="1">
        <w:r w:rsidRPr="00005D57">
          <w:rPr>
            <w:rStyle w:val="Hyperlink"/>
            <w:bCs/>
            <w:szCs w:val="22"/>
          </w:rPr>
          <w:t>https://www.fcc.gov/ecfs/search/filings?proceedings_name=20-409&amp;sort=date_disseminated,DESC</w:t>
        </w:r>
      </w:hyperlink>
    </w:p>
    <w:p w:rsidR="00005D57" w:rsidRPr="00005D57" w:rsidP="00005D57" w14:paraId="20485CF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005D57">
        <w:rPr>
          <w:bCs/>
          <w:szCs w:val="22"/>
        </w:rPr>
        <w:t>DS0/POTS, DS0/DSL and/or DS1/1.5Mb T-1 Voice, Data and Integrated services</w:t>
      </w:r>
    </w:p>
    <w:p w:rsidR="00005D57" w:rsidRPr="00005D57" w:rsidP="00005D57" w14:paraId="1322D5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005D57">
        <w:rPr>
          <w:bCs/>
          <w:szCs w:val="22"/>
        </w:rPr>
        <w:t>DePere</w:t>
      </w:r>
      <w:r w:rsidRPr="00005D57">
        <w:rPr>
          <w:bCs/>
          <w:szCs w:val="22"/>
        </w:rPr>
        <w:t xml:space="preserve">, Green Bay, Hobart and </w:t>
      </w:r>
      <w:r w:rsidRPr="00005D57">
        <w:rPr>
          <w:bCs/>
          <w:szCs w:val="22"/>
        </w:rPr>
        <w:t>Suamico</w:t>
      </w:r>
      <w:r w:rsidRPr="00005D57">
        <w:rPr>
          <w:bCs/>
          <w:szCs w:val="22"/>
        </w:rPr>
        <w:t>, Wisconsin</w:t>
      </w:r>
    </w:p>
    <w:p w:rsidR="00005D57" w:rsidRPr="00005D57" w:rsidP="00005D57" w14:paraId="3A5740A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Cs/>
          <w:szCs w:val="22"/>
        </w:rPr>
        <w:t>Authorized Date(s) – on or after February 6, 2021</w:t>
      </w:r>
    </w:p>
    <w:p w:rsidR="00005D57" w:rsidRPr="00005D57" w:rsidP="00005D57" w14:paraId="4059506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005D57" w:rsidP="00005D57" w14:paraId="3D6EE05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Note:</w:t>
      </w:r>
      <w:r w:rsidRPr="00005D57">
        <w:rPr>
          <w:bCs/>
          <w:szCs w:val="22"/>
        </w:rPr>
        <w:t xml:space="preserve"> On January 6, 2021, Windstream filed a supplemental letter clarifying that the Service Areas impacted by this planned discontinuance will continue to have access to TDM-based voice services through another provider in the territory.  Windstream also acknowledges, in its supplemental filing, that the proposed discontinuance is not a technology transition and it clarifies the nature of the Affected Services.   </w:t>
      </w:r>
    </w:p>
    <w:p w:rsidR="00005D57" w:rsidRPr="00005D57" w:rsidP="00005D57" w14:paraId="61A1C17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05D57" w:rsidRPr="00005D57" w:rsidP="00005D57" w14:paraId="15882490"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Applicant(s):  Windstream Services II, LLC and Windstream </w:t>
      </w:r>
      <w:r w:rsidRPr="00005D57">
        <w:rPr>
          <w:b/>
          <w:szCs w:val="22"/>
        </w:rPr>
        <w:t>NuVox</w:t>
      </w:r>
      <w:r w:rsidRPr="00005D57">
        <w:rPr>
          <w:b/>
          <w:szCs w:val="22"/>
        </w:rPr>
        <w:t>, LLC</w:t>
      </w:r>
    </w:p>
    <w:p w:rsidR="00005D57" w:rsidRPr="00005D57" w:rsidP="00005D57" w14:paraId="22EF677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WC Docket No. 20-410, Comp. Pol. File No. 1660</w:t>
      </w:r>
    </w:p>
    <w:p w:rsidR="00005D57" w:rsidRPr="00005D57" w:rsidP="00005D57" w14:paraId="556191E1" w14:textId="00F12B9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Link – </w:t>
      </w:r>
      <w:hyperlink r:id="rId10" w:history="1">
        <w:r w:rsidRPr="00005D57">
          <w:rPr>
            <w:rStyle w:val="Hyperlink"/>
            <w:bCs/>
            <w:szCs w:val="22"/>
          </w:rPr>
          <w:t>https://www.fcc.gov/ecfs/search/filings?proceedings_name=20-410&amp;sort=date_disseminated,DESC</w:t>
        </w:r>
      </w:hyperlink>
    </w:p>
    <w:p w:rsidR="00005D57" w:rsidRPr="00005D57" w:rsidP="00005D57" w14:paraId="1B26476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005D57">
        <w:rPr>
          <w:bCs/>
          <w:szCs w:val="22"/>
        </w:rPr>
        <w:t>DS0/POTS, DS0/DSL and/or DS1/1.5Mb T-1 Voice, Data and Integrated services</w:t>
      </w:r>
    </w:p>
    <w:p w:rsidR="00005D57" w:rsidRPr="00005D57" w:rsidP="00005D57" w14:paraId="268EB6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005D57">
        <w:rPr>
          <w:bCs/>
          <w:szCs w:val="22"/>
        </w:rPr>
        <w:t>Augusta, Georgia; Asheville, North Carolina and Columbia, South Carolina</w:t>
      </w:r>
    </w:p>
    <w:p w:rsidR="00005D57" w:rsidRPr="00005D57" w:rsidP="00005D57" w14:paraId="4BEFC22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Authorized Date(s) – </w:t>
      </w:r>
      <w:r w:rsidRPr="00005D57">
        <w:rPr>
          <w:bCs/>
          <w:szCs w:val="22"/>
        </w:rPr>
        <w:t>on or after March 5, 2021</w:t>
      </w:r>
    </w:p>
    <w:p w:rsidR="00005D57" w:rsidRPr="00005D57" w:rsidP="00005D57" w14:paraId="47F90C6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005D57" w:rsidP="00005D57" w14:paraId="385E3711" w14:textId="0590670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Note: </w:t>
      </w:r>
      <w:r w:rsidRPr="00005D57">
        <w:rPr>
          <w:bCs/>
          <w:szCs w:val="22"/>
        </w:rPr>
        <w:t>On January 6, 2021, Windstream filed a supplemental letter clarifying that the Service Areas impacted by this planned discontinuance will continue to have access to TDM-based voice services through another provider in the territory.  Windstream also acknowledges, in its supplemental filing, that the proposed discontinuance is not a technology transition and it clarifies the nature of the Affected Services.</w:t>
      </w:r>
      <w:r w:rsidRPr="00005D57">
        <w:rPr>
          <w:b/>
          <w:szCs w:val="22"/>
        </w:rPr>
        <w:t xml:space="preserve"> </w:t>
      </w:r>
    </w:p>
    <w:bookmarkEnd w:id="2"/>
    <w:sectPr w:rsidSect="009A0CEF">
      <w:headerReference w:type="default" r:id="rId11"/>
      <w:footerReference w:type="default" r:id="rId12"/>
      <w:headerReference w:type="first" r:id="rId13"/>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6B1021E4">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42B8978">
    <w:pPr>
      <w:pStyle w:val="Header"/>
    </w:pPr>
    <w:r>
      <w:tab/>
    </w:r>
    <w:r>
      <w:ptab w:relativeTo="margin" w:alignment="right" w:leader="none"/>
    </w:r>
    <w:r>
      <w:t xml:space="preserve">DA </w:t>
    </w:r>
    <w:r w:rsidR="00D26EA7">
      <w:t>2</w:t>
    </w:r>
    <w:r w:rsidR="009D2C06">
      <w:t>1</w:t>
    </w:r>
    <w:r w:rsidR="00C8526E">
      <w:t>-</w:t>
    </w:r>
    <w:r w:rsidR="00893F8F">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145074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29F4"/>
    <w:rsid w:val="00164FDC"/>
    <w:rsid w:val="001655F0"/>
    <w:rsid w:val="001658BC"/>
    <w:rsid w:val="00167476"/>
    <w:rsid w:val="00171A7F"/>
    <w:rsid w:val="00173EB0"/>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0-410&amp;sort=date_disseminated,DESC"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408&amp;sort=date_disseminated,DESC" TargetMode="External" /><Relationship Id="rId9" Type="http://schemas.openxmlformats.org/officeDocument/2006/relationships/hyperlink" Target="https://www.fcc.gov/ecfs/search/filings?proceedings_name=20-409&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