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13EF3" w:rsidRPr="006D5400" w:rsidP="000C5F32" w14:paraId="2525DF6C" w14:textId="77777777">
      <w:pPr>
        <w:pStyle w:val="Title"/>
        <w:rPr>
          <w:szCs w:val="22"/>
        </w:rPr>
      </w:pPr>
      <w:r w:rsidRPr="006D5400">
        <w:rPr>
          <w:szCs w:val="22"/>
        </w:rPr>
        <w:t>Before the</w:t>
      </w:r>
    </w:p>
    <w:p w:rsidR="00313EF3" w:rsidRPr="006D5400" w14:paraId="38F8EB08" w14:textId="77777777">
      <w:pPr>
        <w:pStyle w:val="Subtitle"/>
        <w:ind w:firstLine="0"/>
        <w:rPr>
          <w:szCs w:val="22"/>
        </w:rPr>
      </w:pPr>
      <w:r w:rsidRPr="006D5400">
        <w:rPr>
          <w:szCs w:val="22"/>
        </w:rPr>
        <w:t>Federal Communications Commission</w:t>
      </w:r>
    </w:p>
    <w:p w:rsidR="00313EF3" w:rsidRPr="006D5400" w14:paraId="405D5F9B" w14:textId="77777777">
      <w:pPr>
        <w:jc w:val="center"/>
        <w:rPr>
          <w:b/>
          <w:szCs w:val="22"/>
        </w:rPr>
      </w:pPr>
      <w:r w:rsidRPr="006D5400">
        <w:rPr>
          <w:b/>
          <w:szCs w:val="22"/>
        </w:rPr>
        <w:t>Washington, D.C. 20554</w:t>
      </w:r>
    </w:p>
    <w:p w:rsidR="00313EF3" w:rsidRPr="006D5400" w14:paraId="5929A502" w14:textId="77777777">
      <w:pPr>
        <w:tabs>
          <w:tab w:val="left" w:pos="-720"/>
        </w:tabs>
        <w:suppressAutoHyphens/>
        <w:spacing w:line="227" w:lineRule="auto"/>
        <w:rPr>
          <w:spacing w:val="-2"/>
          <w:szCs w:val="22"/>
        </w:rPr>
      </w:pPr>
    </w:p>
    <w:p w:rsidR="00313EF3" w:rsidRPr="006D5400" w14:paraId="2DAC268D"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030B9D5D" w14:textId="77777777" w:rsidTr="00DE1F08">
        <w:tblPrEx>
          <w:tblW w:w="0" w:type="auto"/>
          <w:tblLayout w:type="fixed"/>
          <w:tblLook w:val="0000"/>
        </w:tblPrEx>
        <w:tc>
          <w:tcPr>
            <w:tcW w:w="4698" w:type="dxa"/>
          </w:tcPr>
          <w:p w:rsidR="00313EF3" w:rsidRPr="006D5400" w14:paraId="404FCD7C"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508AD4DA" w14:textId="77777777">
            <w:pPr>
              <w:tabs>
                <w:tab w:val="center" w:pos="4680"/>
              </w:tabs>
              <w:suppressAutoHyphens/>
              <w:rPr>
                <w:spacing w:val="-2"/>
                <w:szCs w:val="22"/>
              </w:rPr>
            </w:pPr>
          </w:p>
          <w:p w:rsidR="00422B9B" w:rsidRPr="006D5400" w:rsidP="00422B9B" w14:paraId="7914A1FB" w14:textId="3939C3F6">
            <w:pPr>
              <w:tabs>
                <w:tab w:val="center" w:pos="4680"/>
              </w:tabs>
              <w:suppressAutoHyphens/>
              <w:rPr>
                <w:szCs w:val="22"/>
              </w:rPr>
            </w:pPr>
            <w:r>
              <w:rPr>
                <w:szCs w:val="22"/>
              </w:rPr>
              <w:t>Frontier Communications</w:t>
            </w:r>
          </w:p>
          <w:p w:rsidR="001C67AE" w:rsidRPr="006D5400" w:rsidP="00422B9B" w14:paraId="279724E1" w14:textId="77777777">
            <w:pPr>
              <w:tabs>
                <w:tab w:val="center" w:pos="4680"/>
              </w:tabs>
              <w:suppressAutoHyphens/>
              <w:rPr>
                <w:szCs w:val="22"/>
              </w:rPr>
            </w:pPr>
          </w:p>
          <w:p w:rsidR="00313EF3" w:rsidRPr="006D5400" w14:paraId="6C6E879B" w14:textId="77777777">
            <w:pPr>
              <w:pStyle w:val="TOAHeading"/>
              <w:tabs>
                <w:tab w:val="center" w:pos="4680"/>
                <w:tab w:val="clear" w:pos="9360"/>
              </w:tabs>
              <w:rPr>
                <w:szCs w:val="22"/>
              </w:rPr>
            </w:pPr>
            <w:r w:rsidRPr="006D5400">
              <w:rPr>
                <w:szCs w:val="22"/>
              </w:rPr>
              <w:t xml:space="preserve">Complaint Regarding </w:t>
            </w:r>
          </w:p>
          <w:p w:rsidR="00313EF3" w:rsidRPr="006D5400" w14:paraId="6755242A" w14:textId="77777777">
            <w:pPr>
              <w:pStyle w:val="TOAHeading"/>
              <w:tabs>
                <w:tab w:val="center" w:pos="4680"/>
                <w:tab w:val="clear" w:pos="9360"/>
              </w:tabs>
              <w:rPr>
                <w:szCs w:val="22"/>
              </w:rPr>
            </w:pPr>
            <w:r w:rsidRPr="006D5400">
              <w:rPr>
                <w:szCs w:val="22"/>
              </w:rPr>
              <w:t>Unauthorized Change of</w:t>
            </w:r>
          </w:p>
          <w:p w:rsidR="00313EF3" w:rsidRPr="006D5400" w14:paraId="48595DF6"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27768621" w14:textId="77777777">
            <w:pPr>
              <w:tabs>
                <w:tab w:val="center" w:pos="4680"/>
              </w:tabs>
              <w:suppressAutoHyphens/>
              <w:rPr>
                <w:b/>
                <w:spacing w:val="-2"/>
                <w:szCs w:val="22"/>
              </w:rPr>
            </w:pPr>
            <w:r w:rsidRPr="006D5400">
              <w:rPr>
                <w:b/>
                <w:spacing w:val="-2"/>
                <w:szCs w:val="22"/>
              </w:rPr>
              <w:t>)</w:t>
            </w:r>
          </w:p>
          <w:p w:rsidR="00313EF3" w:rsidRPr="006D5400" w14:paraId="090458B6" w14:textId="77777777">
            <w:pPr>
              <w:tabs>
                <w:tab w:val="center" w:pos="4680"/>
              </w:tabs>
              <w:suppressAutoHyphens/>
              <w:rPr>
                <w:b/>
                <w:spacing w:val="-2"/>
                <w:szCs w:val="22"/>
              </w:rPr>
            </w:pPr>
            <w:r w:rsidRPr="006D5400">
              <w:rPr>
                <w:b/>
                <w:spacing w:val="-2"/>
                <w:szCs w:val="22"/>
              </w:rPr>
              <w:t>)</w:t>
            </w:r>
          </w:p>
          <w:p w:rsidR="00313EF3" w:rsidRPr="006D5400" w14:paraId="06CC04DA" w14:textId="77777777">
            <w:pPr>
              <w:tabs>
                <w:tab w:val="center" w:pos="4680"/>
              </w:tabs>
              <w:suppressAutoHyphens/>
              <w:rPr>
                <w:b/>
                <w:spacing w:val="-2"/>
                <w:szCs w:val="22"/>
              </w:rPr>
            </w:pPr>
            <w:r w:rsidRPr="006D5400">
              <w:rPr>
                <w:b/>
                <w:spacing w:val="-2"/>
                <w:szCs w:val="22"/>
              </w:rPr>
              <w:t>)</w:t>
            </w:r>
          </w:p>
          <w:p w:rsidR="00313EF3" w:rsidRPr="006D5400" w14:paraId="5BE2E4A7" w14:textId="77777777">
            <w:pPr>
              <w:tabs>
                <w:tab w:val="center" w:pos="4680"/>
              </w:tabs>
              <w:suppressAutoHyphens/>
              <w:rPr>
                <w:b/>
                <w:spacing w:val="-2"/>
                <w:szCs w:val="22"/>
              </w:rPr>
            </w:pPr>
            <w:r w:rsidRPr="006D5400">
              <w:rPr>
                <w:b/>
                <w:spacing w:val="-2"/>
                <w:szCs w:val="22"/>
              </w:rPr>
              <w:t>)</w:t>
            </w:r>
          </w:p>
          <w:p w:rsidR="00313EF3" w:rsidRPr="006D5400" w14:paraId="2A6AC31F" w14:textId="77777777">
            <w:pPr>
              <w:tabs>
                <w:tab w:val="center" w:pos="4680"/>
              </w:tabs>
              <w:suppressAutoHyphens/>
              <w:rPr>
                <w:b/>
                <w:spacing w:val="-2"/>
                <w:szCs w:val="22"/>
              </w:rPr>
            </w:pPr>
            <w:r w:rsidRPr="006D5400">
              <w:rPr>
                <w:b/>
                <w:spacing w:val="-2"/>
                <w:szCs w:val="22"/>
              </w:rPr>
              <w:t>)</w:t>
            </w:r>
          </w:p>
          <w:p w:rsidR="00313EF3" w:rsidRPr="006D5400" w14:paraId="5CCC37AE" w14:textId="77777777">
            <w:pPr>
              <w:tabs>
                <w:tab w:val="center" w:pos="4680"/>
              </w:tabs>
              <w:suppressAutoHyphens/>
              <w:rPr>
                <w:b/>
                <w:spacing w:val="-2"/>
                <w:szCs w:val="22"/>
              </w:rPr>
            </w:pPr>
            <w:r w:rsidRPr="006D5400">
              <w:rPr>
                <w:b/>
                <w:spacing w:val="-2"/>
                <w:szCs w:val="22"/>
              </w:rPr>
              <w:t>)</w:t>
            </w:r>
          </w:p>
          <w:p w:rsidR="00313EF3" w:rsidRPr="006D5400" w14:paraId="2180E9A0" w14:textId="77777777">
            <w:pPr>
              <w:tabs>
                <w:tab w:val="center" w:pos="4680"/>
              </w:tabs>
              <w:suppressAutoHyphens/>
              <w:rPr>
                <w:b/>
                <w:spacing w:val="-2"/>
                <w:szCs w:val="22"/>
              </w:rPr>
            </w:pPr>
            <w:r w:rsidRPr="006D5400">
              <w:rPr>
                <w:b/>
                <w:spacing w:val="-2"/>
                <w:szCs w:val="22"/>
              </w:rPr>
              <w:t>)</w:t>
            </w:r>
          </w:p>
          <w:p w:rsidR="00DE1F08" w:rsidRPr="006D5400" w14:paraId="698F69AD" w14:textId="77777777">
            <w:pPr>
              <w:tabs>
                <w:tab w:val="center" w:pos="4680"/>
              </w:tabs>
              <w:suppressAutoHyphens/>
              <w:rPr>
                <w:b/>
                <w:spacing w:val="-2"/>
                <w:szCs w:val="22"/>
              </w:rPr>
            </w:pPr>
          </w:p>
          <w:p w:rsidR="00E84E6A" w:rsidRPr="006D5400" w14:paraId="3DD607C9" w14:textId="77777777">
            <w:pPr>
              <w:tabs>
                <w:tab w:val="center" w:pos="4680"/>
              </w:tabs>
              <w:suppressAutoHyphens/>
              <w:rPr>
                <w:b/>
                <w:spacing w:val="-2"/>
                <w:szCs w:val="22"/>
              </w:rPr>
            </w:pPr>
          </w:p>
        </w:tc>
        <w:tc>
          <w:tcPr>
            <w:tcW w:w="4248" w:type="dxa"/>
          </w:tcPr>
          <w:p w:rsidR="00313EF3" w:rsidRPr="006D5400" w14:paraId="56F5801C" w14:textId="77777777">
            <w:pPr>
              <w:tabs>
                <w:tab w:val="center" w:pos="4680"/>
              </w:tabs>
              <w:suppressAutoHyphens/>
              <w:rPr>
                <w:spacing w:val="-2"/>
                <w:szCs w:val="22"/>
              </w:rPr>
            </w:pPr>
          </w:p>
          <w:p w:rsidR="00313EF3" w:rsidRPr="006D5400" w14:paraId="2340A710" w14:textId="77777777">
            <w:pPr>
              <w:tabs>
                <w:tab w:val="center" w:pos="4680"/>
              </w:tabs>
              <w:suppressAutoHyphens/>
              <w:rPr>
                <w:spacing w:val="-2"/>
                <w:szCs w:val="22"/>
              </w:rPr>
            </w:pPr>
          </w:p>
          <w:p w:rsidR="00697A80" w:rsidRPr="006D5400" w:rsidP="00C81A17" w14:paraId="0255D214" w14:textId="71C7B89B">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606537">
              <w:rPr>
                <w:szCs w:val="22"/>
              </w:rPr>
              <w:t>4</w:t>
            </w:r>
            <w:r w:rsidR="008B5464">
              <w:rPr>
                <w:szCs w:val="22"/>
              </w:rPr>
              <w:t>470547</w:t>
            </w:r>
          </w:p>
          <w:p w:rsidR="00DE1F08" w:rsidRPr="006D5400" w:rsidP="00DE1F08" w14:paraId="316904C3" w14:textId="77777777">
            <w:pPr>
              <w:rPr>
                <w:szCs w:val="22"/>
              </w:rPr>
            </w:pPr>
            <w:r w:rsidRPr="006D5400">
              <w:rPr>
                <w:szCs w:val="22"/>
              </w:rPr>
              <w:t xml:space="preserve">              </w:t>
            </w:r>
            <w:r w:rsidRPr="006D5400" w:rsidR="000715F6">
              <w:rPr>
                <w:szCs w:val="22"/>
              </w:rPr>
              <w:t xml:space="preserve">             </w:t>
            </w:r>
          </w:p>
          <w:p w:rsidR="00E84E6A" w:rsidRPr="006D5400" w:rsidP="00E84E6A" w14:paraId="24E868DD" w14:textId="77777777">
            <w:pPr>
              <w:rPr>
                <w:szCs w:val="22"/>
              </w:rPr>
            </w:pPr>
          </w:p>
        </w:tc>
      </w:tr>
    </w:tbl>
    <w:p w:rsidR="00313EF3" w:rsidRPr="006D5400" w:rsidP="00CD6BB8" w14:paraId="6FA0994D" w14:textId="77777777">
      <w:pPr>
        <w:jc w:val="center"/>
        <w:rPr>
          <w:b/>
          <w:szCs w:val="22"/>
        </w:rPr>
      </w:pPr>
      <w:r w:rsidRPr="006D5400">
        <w:rPr>
          <w:b/>
          <w:szCs w:val="22"/>
        </w:rPr>
        <w:t>O</w:t>
      </w:r>
      <w:r w:rsidRPr="006D5400">
        <w:rPr>
          <w:b/>
          <w:szCs w:val="22"/>
        </w:rPr>
        <w:t>RDER</w:t>
      </w:r>
    </w:p>
    <w:p w:rsidR="00313EF3" w:rsidRPr="006D5400" w14:paraId="7F2618BB" w14:textId="77777777">
      <w:pPr>
        <w:tabs>
          <w:tab w:val="left" w:pos="-720"/>
        </w:tabs>
        <w:suppressAutoHyphens/>
        <w:spacing w:line="227" w:lineRule="auto"/>
        <w:ind w:left="720"/>
        <w:rPr>
          <w:spacing w:val="-2"/>
          <w:szCs w:val="22"/>
        </w:rPr>
      </w:pPr>
    </w:p>
    <w:p w:rsidR="00313EF3" w:rsidRPr="009C3ADD" w14:paraId="738FB524" w14:textId="0EFAE9B5">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8B4543">
        <w:rPr>
          <w:b/>
          <w:spacing w:val="-2"/>
          <w:szCs w:val="22"/>
        </w:rPr>
        <w:t>February 22</w:t>
      </w:r>
      <w:r w:rsidR="003D5C00">
        <w:rPr>
          <w:b/>
          <w:spacing w:val="-2"/>
          <w:szCs w:val="22"/>
        </w:rPr>
        <w:t>,</w:t>
      </w:r>
      <w:r w:rsidRPr="006D5400" w:rsidR="00236AA1">
        <w:rPr>
          <w:b/>
          <w:spacing w:val="-2"/>
          <w:szCs w:val="22"/>
        </w:rPr>
        <w:t xml:space="preserve"> </w:t>
      </w:r>
      <w:r w:rsidRPr="006D5400" w:rsidR="00454DF3">
        <w:rPr>
          <w:b/>
          <w:spacing w:val="-2"/>
          <w:szCs w:val="22"/>
        </w:rPr>
        <w:t>20</w:t>
      </w:r>
      <w:r w:rsidR="003A5B5A">
        <w:rPr>
          <w:b/>
          <w:spacing w:val="-2"/>
          <w:szCs w:val="22"/>
        </w:rPr>
        <w:t>2</w:t>
      </w:r>
      <w:r w:rsidR="00606537">
        <w:rPr>
          <w:b/>
          <w:spacing w:val="-2"/>
          <w:szCs w:val="22"/>
        </w:rPr>
        <w:t>1</w:t>
      </w:r>
      <w:r w:rsidRPr="006D5400">
        <w:rPr>
          <w:b/>
          <w:spacing w:val="-2"/>
          <w:szCs w:val="22"/>
        </w:rPr>
        <w:tab/>
        <w:t>Released:</w:t>
      </w:r>
      <w:r w:rsidRPr="006D5400" w:rsidR="00676CB9">
        <w:rPr>
          <w:b/>
          <w:spacing w:val="-2"/>
          <w:szCs w:val="22"/>
        </w:rPr>
        <w:t xml:space="preserve"> </w:t>
      </w:r>
      <w:r w:rsidR="001E68F1">
        <w:rPr>
          <w:b/>
          <w:spacing w:val="-2"/>
          <w:szCs w:val="22"/>
        </w:rPr>
        <w:t xml:space="preserve"> </w:t>
      </w:r>
      <w:r w:rsidR="008B4543">
        <w:rPr>
          <w:b/>
          <w:spacing w:val="-2"/>
          <w:szCs w:val="22"/>
        </w:rPr>
        <w:t>February 23</w:t>
      </w:r>
      <w:r w:rsidRPr="006D5400" w:rsidR="00236AA1">
        <w:rPr>
          <w:b/>
          <w:spacing w:val="-2"/>
          <w:szCs w:val="22"/>
        </w:rPr>
        <w:t xml:space="preserve">, </w:t>
      </w:r>
      <w:r w:rsidRPr="006D5400">
        <w:rPr>
          <w:b/>
          <w:spacing w:val="-2"/>
          <w:szCs w:val="22"/>
        </w:rPr>
        <w:t>20</w:t>
      </w:r>
      <w:r w:rsidR="003A5B5A">
        <w:rPr>
          <w:b/>
          <w:spacing w:val="-2"/>
          <w:szCs w:val="22"/>
        </w:rPr>
        <w:t>2</w:t>
      </w:r>
      <w:r w:rsidR="00606537">
        <w:rPr>
          <w:b/>
          <w:spacing w:val="-2"/>
          <w:szCs w:val="22"/>
        </w:rPr>
        <w:t>1</w:t>
      </w:r>
    </w:p>
    <w:p w:rsidR="00313EF3" w:rsidRPr="006D5400" w14:paraId="6B2525FA" w14:textId="77777777">
      <w:pPr>
        <w:rPr>
          <w:szCs w:val="22"/>
        </w:rPr>
      </w:pPr>
    </w:p>
    <w:p w:rsidR="00313EF3" w:rsidRPr="006D5400" w:rsidP="0062716E" w14:paraId="0B2EEA6D" w14:textId="258E9C9A">
      <w:pPr>
        <w:spacing w:after="120"/>
        <w:rPr>
          <w:szCs w:val="22"/>
        </w:rPr>
      </w:pPr>
      <w:r w:rsidRPr="006D5400">
        <w:rPr>
          <w:szCs w:val="22"/>
        </w:rPr>
        <w:t xml:space="preserve">By the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21E3FBCA" w14:textId="3FCC3EFE">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A10E59">
        <w:rPr>
          <w:szCs w:val="22"/>
        </w:rPr>
        <w:t>a</w:t>
      </w:r>
      <w:r w:rsidRPr="006D5400">
        <w:rPr>
          <w:szCs w:val="22"/>
        </w:rPr>
        <w:t xml:space="preserve"> complaint alleging that</w:t>
      </w:r>
      <w:r w:rsidRPr="006D5400" w:rsidR="00DD5275">
        <w:rPr>
          <w:szCs w:val="22"/>
        </w:rPr>
        <w:t xml:space="preserve"> </w:t>
      </w:r>
      <w:r w:rsidR="008B5464">
        <w:rPr>
          <w:szCs w:val="22"/>
        </w:rPr>
        <w:t>Frontier Communications</w:t>
      </w:r>
      <w:r w:rsidR="00D15EED">
        <w:rPr>
          <w:szCs w:val="22"/>
        </w:rPr>
        <w:t xml:space="preserve"> (</w:t>
      </w:r>
      <w:r w:rsidR="008B5464">
        <w:rPr>
          <w:szCs w:val="22"/>
        </w:rPr>
        <w:t>Frontier</w:t>
      </w:r>
      <w:r w:rsidR="00D15EED">
        <w:rPr>
          <w:szCs w:val="22"/>
        </w:rPr>
        <w:t>)</w:t>
      </w:r>
      <w:r w:rsidR="009C3ADD">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w:t>
      </w:r>
      <w:r w:rsidR="005500D5">
        <w:rPr>
          <w:szCs w:val="22"/>
        </w:rPr>
        <w:t>find</w:t>
      </w:r>
      <w:r w:rsidRPr="006D5400">
        <w:rPr>
          <w:szCs w:val="22"/>
        </w:rPr>
        <w:t xml:space="preserve"> that</w:t>
      </w:r>
      <w:r w:rsidRPr="006D5400" w:rsidR="004914A3">
        <w:rPr>
          <w:szCs w:val="22"/>
        </w:rPr>
        <w:t xml:space="preserve"> </w:t>
      </w:r>
      <w:r w:rsidR="008B5464">
        <w:rPr>
          <w:szCs w:val="22"/>
        </w:rPr>
        <w:t>Frontier</w:t>
      </w:r>
      <w:r w:rsidR="005500D5">
        <w:rPr>
          <w:szCs w:val="22"/>
        </w:rPr>
        <w:t>’</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23F43F5" w14:textId="21EB7265">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1402F5">
        <w:rPr>
          <w:szCs w:val="22"/>
        </w:rPr>
        <w:t xml:space="preserve">also </w:t>
      </w:r>
      <w:r w:rsidRPr="006D5400" w:rsidR="00775878">
        <w:rPr>
          <w:szCs w:val="22"/>
        </w:rPr>
        <w:t>adopted rules to limit the liability of subscribers when a</w:t>
      </w:r>
      <w:r w:rsidR="001402F5">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C332E" w:rsidRPr="006D5400" w:rsidP="0062716E" w14:paraId="101EE41A" w14:textId="1F22CAAC">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8B5464">
        <w:t>Frontier</w:t>
      </w:r>
      <w:r w:rsidR="00C335BA">
        <w:t xml:space="preserve"> of the complaint</w:t>
      </w:r>
      <w:r w:rsidRPr="00142D97" w:rsidR="00C335BA">
        <w:t>.</w:t>
      </w:r>
      <w:r>
        <w:rPr>
          <w:rStyle w:val="FootnoteReference"/>
        </w:rPr>
        <w:footnoteReference w:id="9"/>
      </w:r>
      <w:r w:rsidRPr="00142D97" w:rsidR="00C335BA">
        <w:t xml:space="preserve">  </w:t>
      </w:r>
      <w:r w:rsidR="008B5464">
        <w:t>Frontier</w:t>
      </w:r>
      <w:r w:rsidR="00C12167">
        <w:t xml:space="preserve"> </w:t>
      </w:r>
      <w:r w:rsidR="003A5B5A">
        <w:t>responded to the complain</w:t>
      </w:r>
      <w:r w:rsidR="006D77EF">
        <w:t>t asserting</w:t>
      </w:r>
      <w:r w:rsidR="00034E6C">
        <w:t xml:space="preserve"> that </w:t>
      </w:r>
      <w:r w:rsidR="006D77EF">
        <w:t>C</w:t>
      </w:r>
      <w:r w:rsidR="00A60579">
        <w:t xml:space="preserve">omplainant’s international calls were rated incorrectly </w:t>
      </w:r>
      <w:r w:rsidR="00034E6C">
        <w:t xml:space="preserve">due to a toll restriction </w:t>
      </w:r>
      <w:r w:rsidR="006D77EF">
        <w:t>placed</w:t>
      </w:r>
      <w:r w:rsidR="00034E6C">
        <w:t xml:space="preserve"> on </w:t>
      </w:r>
      <w:r w:rsidR="001F5A2B">
        <w:t>C</w:t>
      </w:r>
      <w:r w:rsidR="00034E6C">
        <w:t xml:space="preserve">omplainant’s </w:t>
      </w:r>
      <w:r w:rsidR="00A60579">
        <w:t>account</w:t>
      </w:r>
      <w:r w:rsidR="00AD3E07">
        <w:t xml:space="preserve"> </w:t>
      </w:r>
      <w:r w:rsidR="006D77EF">
        <w:t xml:space="preserve">in error </w:t>
      </w:r>
      <w:r w:rsidR="00AD3E07">
        <w:t xml:space="preserve">and </w:t>
      </w:r>
      <w:r w:rsidR="001F5A2B">
        <w:t xml:space="preserve">did </w:t>
      </w:r>
      <w:r w:rsidR="00AD3E07">
        <w:t xml:space="preserve">not </w:t>
      </w:r>
      <w:r w:rsidR="001F5A2B">
        <w:t xml:space="preserve">involve </w:t>
      </w:r>
      <w:r w:rsidR="00AD3E07">
        <w:t xml:space="preserve">a switch of </w:t>
      </w:r>
      <w:r w:rsidR="001F5A2B">
        <w:t xml:space="preserve">Complainant’s </w:t>
      </w:r>
      <w:r w:rsidR="00AD3E07">
        <w:t>presubscribed telecommunications service</w:t>
      </w:r>
      <w:r w:rsidR="001F5A2B">
        <w:t xml:space="preserve"> provider</w:t>
      </w:r>
      <w:r w:rsidR="00AD3E07">
        <w:t>.</w:t>
      </w:r>
      <w:r>
        <w:rPr>
          <w:rStyle w:val="FootnoteReference"/>
        </w:rPr>
        <w:footnoteReference w:id="10"/>
      </w:r>
      <w:r w:rsidR="006D77EF">
        <w:t xml:space="preserve"> </w:t>
      </w:r>
      <w:r w:rsidR="00BE0490">
        <w:t xml:space="preserve">  </w:t>
      </w:r>
      <w:r w:rsidR="00AD3E07">
        <w:t xml:space="preserve">Thus, based on the evidence in the record, we conclude that </w:t>
      </w:r>
      <w:r w:rsidR="008B5464">
        <w:t>Frontier</w:t>
      </w:r>
      <w:r w:rsidR="00AD3E07">
        <w:t>’s actions</w:t>
      </w:r>
      <w:r w:rsidRPr="006D5400" w:rsidR="00AD3E07">
        <w:rPr>
          <w:szCs w:val="22"/>
        </w:rPr>
        <w:t xml:space="preserve"> did not result in an “unauthorized change” in Complainant’s telecommunications service provider, as defined in the rules</w:t>
      </w:r>
      <w:r w:rsidRPr="006D5400" w:rsidR="00454DF3">
        <w:rPr>
          <w:szCs w:val="22"/>
        </w:rPr>
        <w:t>.</w:t>
      </w:r>
      <w:r>
        <w:rPr>
          <w:rStyle w:val="FootnoteReference"/>
          <w:szCs w:val="22"/>
        </w:rPr>
        <w:footnoteReference w:id="11"/>
      </w:r>
      <w:r w:rsidRPr="006D5400" w:rsidR="00454DF3">
        <w:rPr>
          <w:szCs w:val="22"/>
        </w:rPr>
        <w:t xml:space="preserve"> </w:t>
      </w:r>
    </w:p>
    <w:p w:rsidR="00454DF3" w:rsidRPr="006D5400" w:rsidP="0062716E" w14:paraId="0C21619C" w14:textId="256B7F02">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8B5464">
        <w:rPr>
          <w:szCs w:val="22"/>
        </w:rPr>
        <w:t>Frontier</w:t>
      </w:r>
      <w:r w:rsidR="00AD3E07">
        <w:rPr>
          <w:szCs w:val="22"/>
        </w:rPr>
        <w:t xml:space="preserve"> </w:t>
      </w:r>
      <w:r w:rsidR="00A60579">
        <w:rPr>
          <w:szCs w:val="22"/>
        </w:rPr>
        <w:t>Communications</w:t>
      </w:r>
      <w:r w:rsidR="0011768C">
        <w:rPr>
          <w:szCs w:val="22"/>
        </w:rPr>
        <w:t xml:space="preserve"> </w:t>
      </w:r>
      <w:r w:rsidRPr="006D5400" w:rsidR="002137D1">
        <w:rPr>
          <w:szCs w:val="22"/>
        </w:rPr>
        <w:t>IS</w:t>
      </w:r>
      <w:r w:rsidRPr="006D5400">
        <w:rPr>
          <w:szCs w:val="22"/>
        </w:rPr>
        <w:t xml:space="preserve"> DENIED.</w:t>
      </w:r>
    </w:p>
    <w:p w:rsidR="00313EF3" w:rsidRPr="0062716E" w:rsidP="0062716E" w14:paraId="77AA5EEE"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1F52FE" w14:paraId="5E08D8AE" w14:textId="77777777">
      <w:pPr>
        <w:spacing w:after="120"/>
        <w:ind w:left="3600" w:right="270" w:firstLine="720"/>
        <w:rPr>
          <w:szCs w:val="22"/>
        </w:rPr>
      </w:pPr>
      <w:r w:rsidRPr="006D5400">
        <w:rPr>
          <w:szCs w:val="22"/>
        </w:rPr>
        <w:t>FEDERAL COMMUNICATIONS COMMISSION</w:t>
      </w:r>
    </w:p>
    <w:p w:rsidR="00313EF3" w:rsidRPr="006D5400" w14:paraId="146D6DBF" w14:textId="77777777">
      <w:pPr>
        <w:ind w:right="270"/>
        <w:rPr>
          <w:szCs w:val="22"/>
        </w:rPr>
      </w:pPr>
    </w:p>
    <w:p w:rsidR="00313EF3" w:rsidRPr="006D5400" w14:paraId="4517E665" w14:textId="77777777">
      <w:pPr>
        <w:ind w:right="270"/>
        <w:rPr>
          <w:szCs w:val="22"/>
        </w:rPr>
      </w:pPr>
    </w:p>
    <w:p w:rsidR="00C5129C" w:rsidRPr="006D5400" w14:paraId="40EE7866" w14:textId="77777777">
      <w:pPr>
        <w:ind w:left="2880" w:right="270" w:firstLine="720"/>
        <w:rPr>
          <w:szCs w:val="22"/>
        </w:rPr>
      </w:pPr>
    </w:p>
    <w:p w:rsidR="00C5129C" w:rsidRPr="006D5400" w14:paraId="178DB461" w14:textId="77777777">
      <w:pPr>
        <w:ind w:left="2880" w:right="270" w:firstLine="720"/>
        <w:rPr>
          <w:szCs w:val="22"/>
        </w:rPr>
      </w:pPr>
    </w:p>
    <w:p w:rsidR="00510F6C" w:rsidP="001F52FE" w14:paraId="324DA01E" w14:textId="69DB3C70">
      <w:pPr>
        <w:ind w:left="3600" w:right="270" w:firstLine="720"/>
        <w:rPr>
          <w:szCs w:val="22"/>
        </w:rPr>
      </w:pPr>
      <w:r>
        <w:rPr>
          <w:szCs w:val="22"/>
        </w:rPr>
        <w:t>Kurt A. Schroeder</w:t>
      </w:r>
    </w:p>
    <w:p w:rsidR="00313EF3" w:rsidRPr="006D5400" w:rsidP="001F52FE" w14:paraId="67045F2F" w14:textId="33988E03">
      <w:pPr>
        <w:ind w:left="3600" w:right="270" w:firstLine="720"/>
        <w:rPr>
          <w:szCs w:val="22"/>
        </w:rPr>
      </w:pPr>
      <w:r>
        <w:rPr>
          <w:szCs w:val="22"/>
        </w:rPr>
        <w:t>Chief</w:t>
      </w:r>
    </w:p>
    <w:p w:rsidR="004914A3" w:rsidRPr="006D5400" w:rsidP="001F52FE" w14:paraId="2DC4886F" w14:textId="77777777">
      <w:pPr>
        <w:ind w:left="3600" w:right="270" w:firstLine="720"/>
        <w:rPr>
          <w:szCs w:val="22"/>
        </w:rPr>
      </w:pPr>
      <w:r w:rsidRPr="006D5400">
        <w:rPr>
          <w:szCs w:val="22"/>
        </w:rPr>
        <w:t>Consumer</w:t>
      </w:r>
      <w:r w:rsidRPr="006D5400">
        <w:rPr>
          <w:szCs w:val="22"/>
        </w:rPr>
        <w:t xml:space="preserve"> Policy Division</w:t>
      </w:r>
    </w:p>
    <w:p w:rsidR="0063192B" w:rsidRPr="006D5400" w:rsidP="001F52FE" w14:paraId="67B2D58D" w14:textId="77777777">
      <w:pPr>
        <w:ind w:left="3600" w:right="270" w:firstLine="72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2B76A2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2FBB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1A45C9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7E1EF3E"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31A40B4C" w14:textId="77777777">
    <w:pPr>
      <w:spacing w:before="140" w:line="100" w:lineRule="exact"/>
      <w:rPr>
        <w:sz w:val="10"/>
      </w:rPr>
    </w:pPr>
  </w:p>
  <w:p w:rsidR="00EC4494" w14:paraId="7D52310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61700B2B" w14:textId="77777777">
      <w:r>
        <w:separator/>
      </w:r>
    </w:p>
  </w:footnote>
  <w:footnote w:type="continuationSeparator" w:id="1">
    <w:p w:rsidR="00E430A7" w14:paraId="40E96E08" w14:textId="77777777">
      <w:pPr>
        <w:rPr>
          <w:sz w:val="20"/>
        </w:rPr>
      </w:pPr>
      <w:r>
        <w:rPr>
          <w:sz w:val="20"/>
        </w:rPr>
        <w:t xml:space="preserve">(Continued from previous page)  </w:t>
      </w:r>
      <w:r>
        <w:rPr>
          <w:sz w:val="20"/>
        </w:rPr>
        <w:separator/>
      </w:r>
    </w:p>
  </w:footnote>
  <w:footnote w:type="continuationNotice" w:id="2">
    <w:p w:rsidR="00E430A7" w:rsidP="006D5400" w14:paraId="66B1123A" w14:textId="77777777">
      <w:pPr>
        <w:jc w:val="right"/>
        <w:rPr>
          <w:sz w:val="20"/>
        </w:rPr>
      </w:pPr>
      <w:r>
        <w:rPr>
          <w:sz w:val="20"/>
        </w:rPr>
        <w:t>(continued…)</w:t>
      </w:r>
    </w:p>
  </w:footnote>
  <w:footnote w:id="3">
    <w:p w:rsidR="00EC4494" w:rsidP="005D03A5" w14:paraId="26547958" w14:textId="550F6D03">
      <w:pPr>
        <w:pStyle w:val="FootnoteText"/>
        <w:spacing w:after="120"/>
      </w:pPr>
      <w:r>
        <w:rPr>
          <w:rStyle w:val="FootnoteReference"/>
        </w:rPr>
        <w:footnoteRef/>
      </w:r>
      <w:r>
        <w:t xml:space="preserve"> </w:t>
      </w:r>
      <w:r w:rsidRPr="00140317" w:rsidR="00A10E59">
        <w:rPr>
          <w:i/>
        </w:rPr>
        <w:t xml:space="preserve">See </w:t>
      </w:r>
      <w:r w:rsidR="00A10E59">
        <w:t xml:space="preserve">Informal Complaint No. </w:t>
      </w:r>
      <w:r w:rsidR="00606537">
        <w:t>44</w:t>
      </w:r>
      <w:r w:rsidR="008B5464">
        <w:t>70547</w:t>
      </w:r>
      <w:r w:rsidR="00A10E59">
        <w:t xml:space="preserve"> (filed </w:t>
      </w:r>
      <w:r w:rsidR="00D15EED">
        <w:t>Jan</w:t>
      </w:r>
      <w:r w:rsidR="00065B51">
        <w:t>.</w:t>
      </w:r>
      <w:r w:rsidR="00D15EED">
        <w:t xml:space="preserve"> </w:t>
      </w:r>
      <w:r w:rsidR="008B5464">
        <w:t>6</w:t>
      </w:r>
      <w:r w:rsidR="00A10E59">
        <w:t>, 202</w:t>
      </w:r>
      <w:r w:rsidR="00D15EED">
        <w:t>1</w:t>
      </w:r>
      <w:r w:rsidR="00A10E59">
        <w:t xml:space="preserve">); </w:t>
      </w:r>
      <w:r w:rsidR="00A10E59">
        <w:rPr>
          <w:i/>
        </w:rPr>
        <w:t>s</w:t>
      </w:r>
      <w:r>
        <w:rPr>
          <w:i/>
        </w:rPr>
        <w:t>ee</w:t>
      </w:r>
      <w:r w:rsidR="00A10E59">
        <w:rPr>
          <w:i/>
        </w:rPr>
        <w:t xml:space="preserve"> also</w:t>
      </w:r>
      <w:r>
        <w:t xml:space="preserve"> 47 CFR §§ 64.1100 – 64.1190.</w:t>
      </w:r>
    </w:p>
  </w:footnote>
  <w:footnote w:id="4">
    <w:p w:rsidR="00EC4494" w:rsidP="005D03A5" w14:paraId="11BFDFCA" w14:textId="77777777">
      <w:pPr>
        <w:pStyle w:val="FootnoteText"/>
        <w:spacing w:after="120"/>
      </w:pPr>
      <w:r>
        <w:rPr>
          <w:rStyle w:val="FootnoteReference"/>
        </w:rPr>
        <w:footnoteRef/>
      </w:r>
      <w:r>
        <w:t xml:space="preserve"> 47 U.S.C. § 258(a).</w:t>
      </w:r>
    </w:p>
  </w:footnote>
  <w:footnote w:id="5">
    <w:p w:rsidR="00EC4494" w:rsidP="005D03A5" w14:paraId="08F9126A"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564431AA"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DD475C" w14:paraId="113239B3" w14:textId="2D365E8E">
      <w:pPr>
        <w:pStyle w:val="FootnoteText"/>
        <w:spacing w:after="120"/>
      </w:pPr>
      <w:r>
        <w:rPr>
          <w:rStyle w:val="FootnoteReference"/>
        </w:rPr>
        <w:footnoteRef/>
      </w:r>
      <w:r>
        <w:t xml:space="preserve"> </w:t>
      </w:r>
      <w:r w:rsidRPr="00142D97">
        <w:t xml:space="preserve">These rules require the </w:t>
      </w:r>
      <w:r w:rsidR="001402F5">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DD475C" w:rsidP="004142C6" w14:paraId="226078B1" w14:textId="7912D5E5">
      <w:pPr>
        <w:pStyle w:val="FootnoteText"/>
        <w:spacing w:after="120"/>
      </w:pPr>
      <w:r>
        <w:rPr>
          <w:rStyle w:val="FootnoteReference"/>
        </w:rPr>
        <w:footnoteRef/>
      </w:r>
      <w:r>
        <w:t xml:space="preserve"> </w:t>
      </w:r>
      <w:r w:rsidRPr="00392549">
        <w:rPr>
          <w:i/>
          <w:iCs/>
        </w:rPr>
        <w:t>See</w:t>
      </w:r>
      <w:r>
        <w:t xml:space="preserve"> Informal Complaint No. </w:t>
      </w:r>
      <w:r w:rsidR="00606537">
        <w:t>44</w:t>
      </w:r>
      <w:r w:rsidR="008B5464">
        <w:t>705</w:t>
      </w:r>
      <w:r w:rsidR="00254D08">
        <w:t>47</w:t>
      </w:r>
      <w:r>
        <w:t>.</w:t>
      </w:r>
    </w:p>
  </w:footnote>
  <w:footnote w:id="9">
    <w:p w:rsidR="00C335BA" w:rsidP="004142C6" w14:paraId="4EDC53EE" w14:textId="78EDFB78">
      <w:pPr>
        <w:pStyle w:val="FootnoteText"/>
        <w:spacing w:after="120"/>
      </w:pPr>
      <w:r>
        <w:rPr>
          <w:rStyle w:val="FootnoteReference"/>
        </w:rPr>
        <w:footnoteRef/>
      </w:r>
      <w:r>
        <w:t xml:space="preserve"> </w:t>
      </w:r>
      <w:r w:rsidR="00A23FD1">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6D77EF" w:rsidP="006D77EF" w14:paraId="70F66648" w14:textId="38B9DC8E">
      <w:pPr>
        <w:pStyle w:val="FootnoteText"/>
        <w:spacing w:after="120"/>
      </w:pPr>
      <w:r>
        <w:rPr>
          <w:rStyle w:val="FootnoteReference"/>
        </w:rPr>
        <w:footnoteRef/>
      </w:r>
      <w:r>
        <w:t xml:space="preserve"> </w:t>
      </w:r>
      <w:r w:rsidR="00224F04">
        <w:t xml:space="preserve">Frontier also stated that it credited the charges on the consumer’s account and corrected the issue that resulted in the billing error.  </w:t>
      </w:r>
      <w:r w:rsidRPr="005D03A5">
        <w:rPr>
          <w:i/>
        </w:rPr>
        <w:t>See</w:t>
      </w:r>
      <w:r>
        <w:t xml:space="preserve"> Frontier’s Response to Informal Complaint No. 4470547 </w:t>
      </w:r>
      <w:r>
        <w:rPr>
          <w:szCs w:val="22"/>
        </w:rPr>
        <w:t>(filed Jan. 13, 2021</w:t>
      </w:r>
      <w:r>
        <w:t>).</w:t>
      </w:r>
    </w:p>
  </w:footnote>
  <w:footnote w:id="11">
    <w:p w:rsidR="00EC4494" w:rsidP="006D77EF" w14:paraId="30975A84" w14:textId="0AFF0116">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00065B51">
        <w:rPr>
          <w:iCs/>
        </w:rPr>
        <w:t>47 CFR</w:t>
      </w:r>
      <w:r w:rsidR="007368C0">
        <w:t xml:space="preserve"> § 64.11</w:t>
      </w:r>
      <w:r w:rsidR="00C3654F">
        <w:t>0</w:t>
      </w:r>
      <w:r w:rsidR="007368C0">
        <w:t xml:space="preserve">0(e).  </w:t>
      </w:r>
      <w:r>
        <w:t xml:space="preserve">If Complainant is unsatisfied with the resolution of </w:t>
      </w:r>
      <w:r w:rsidR="00633446">
        <w:t>the</w:t>
      </w:r>
      <w:r>
        <w:t xml:space="preserve">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FEF96CA" w14:textId="6D21B0F3">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1768C">
      <w:rPr>
        <w:b/>
        <w:spacing w:val="-2"/>
      </w:rPr>
      <w:t>2</w:t>
    </w:r>
    <w:r w:rsidR="00606537">
      <w:rPr>
        <w:b/>
        <w:spacing w:val="-2"/>
      </w:rPr>
      <w:t>1</w:t>
    </w:r>
    <w:r>
      <w:rPr>
        <w:b/>
        <w:spacing w:val="-2"/>
      </w:rPr>
      <w:t>-</w:t>
    </w:r>
    <w:r w:rsidR="00606537">
      <w:rPr>
        <w:b/>
        <w:spacing w:val="-2"/>
      </w:rPr>
      <w:t>XX</w:t>
    </w:r>
  </w:p>
  <w:p w:rsidR="00EC4494" w14:paraId="357893A2"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14:paraId="6DC475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1050AEF" w14:textId="4F6E5786">
    <w:pPr>
      <w:pStyle w:val="Header"/>
      <w:pBdr>
        <w:bottom w:val="single" w:sz="12" w:space="1" w:color="auto"/>
      </w:pBdr>
      <w:rPr>
        <w:b w:val="0"/>
      </w:rPr>
    </w:pPr>
    <w:r>
      <w:tab/>
      <w:t>Federal</w:t>
    </w:r>
    <w:r w:rsidR="00385691">
      <w:t xml:space="preserve"> Communications Commission</w:t>
    </w:r>
    <w:r w:rsidR="00385691">
      <w:tab/>
      <w:t xml:space="preserve">DA </w:t>
    </w:r>
    <w:r w:rsidR="0011768C">
      <w:t>2</w:t>
    </w:r>
    <w:r w:rsidR="00606537">
      <w:t>1</w:t>
    </w:r>
    <w:r>
      <w:t>-</w:t>
    </w:r>
    <w:r w:rsidR="008B4543">
      <w:t>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06447"/>
    <w:rsid w:val="000228F2"/>
    <w:rsid w:val="00023C8E"/>
    <w:rsid w:val="0002797A"/>
    <w:rsid w:val="00034B5F"/>
    <w:rsid w:val="00034E6C"/>
    <w:rsid w:val="000436C2"/>
    <w:rsid w:val="0005108E"/>
    <w:rsid w:val="000609D0"/>
    <w:rsid w:val="00065B51"/>
    <w:rsid w:val="000715F6"/>
    <w:rsid w:val="000B7A45"/>
    <w:rsid w:val="000C5F32"/>
    <w:rsid w:val="000D6FF3"/>
    <w:rsid w:val="000E2CA9"/>
    <w:rsid w:val="000E6D51"/>
    <w:rsid w:val="00113639"/>
    <w:rsid w:val="0011768C"/>
    <w:rsid w:val="001204B1"/>
    <w:rsid w:val="00120529"/>
    <w:rsid w:val="001402F5"/>
    <w:rsid w:val="00140317"/>
    <w:rsid w:val="001414E3"/>
    <w:rsid w:val="00142D97"/>
    <w:rsid w:val="00162727"/>
    <w:rsid w:val="001717CE"/>
    <w:rsid w:val="00190163"/>
    <w:rsid w:val="00195161"/>
    <w:rsid w:val="001A0861"/>
    <w:rsid w:val="001A7A2C"/>
    <w:rsid w:val="001C36B6"/>
    <w:rsid w:val="001C67AE"/>
    <w:rsid w:val="001E4CAB"/>
    <w:rsid w:val="001E68F1"/>
    <w:rsid w:val="001F2E5C"/>
    <w:rsid w:val="001F4128"/>
    <w:rsid w:val="001F52FE"/>
    <w:rsid w:val="001F5A2B"/>
    <w:rsid w:val="002137D1"/>
    <w:rsid w:val="0021434E"/>
    <w:rsid w:val="00224F04"/>
    <w:rsid w:val="002354D5"/>
    <w:rsid w:val="002357D3"/>
    <w:rsid w:val="00236AA1"/>
    <w:rsid w:val="00236EDD"/>
    <w:rsid w:val="00237BAA"/>
    <w:rsid w:val="002431FD"/>
    <w:rsid w:val="002439C1"/>
    <w:rsid w:val="002479AB"/>
    <w:rsid w:val="00254D08"/>
    <w:rsid w:val="00265A91"/>
    <w:rsid w:val="00283DF4"/>
    <w:rsid w:val="002960A7"/>
    <w:rsid w:val="002A3B0B"/>
    <w:rsid w:val="002C332E"/>
    <w:rsid w:val="002F4051"/>
    <w:rsid w:val="002F4B88"/>
    <w:rsid w:val="00307BB1"/>
    <w:rsid w:val="00310BAA"/>
    <w:rsid w:val="00313EF3"/>
    <w:rsid w:val="0031706B"/>
    <w:rsid w:val="003427C1"/>
    <w:rsid w:val="00353700"/>
    <w:rsid w:val="00360D54"/>
    <w:rsid w:val="00385691"/>
    <w:rsid w:val="00392549"/>
    <w:rsid w:val="00395744"/>
    <w:rsid w:val="003A0E84"/>
    <w:rsid w:val="003A1EBA"/>
    <w:rsid w:val="003A5B5A"/>
    <w:rsid w:val="003C5092"/>
    <w:rsid w:val="003D32F8"/>
    <w:rsid w:val="003D5C00"/>
    <w:rsid w:val="003E5B69"/>
    <w:rsid w:val="003F7602"/>
    <w:rsid w:val="003F7D44"/>
    <w:rsid w:val="004142C6"/>
    <w:rsid w:val="00422B9B"/>
    <w:rsid w:val="0044536D"/>
    <w:rsid w:val="00454DF3"/>
    <w:rsid w:val="0047594E"/>
    <w:rsid w:val="004914A3"/>
    <w:rsid w:val="004959EC"/>
    <w:rsid w:val="004A1686"/>
    <w:rsid w:val="004A400A"/>
    <w:rsid w:val="004C3A89"/>
    <w:rsid w:val="004C3D84"/>
    <w:rsid w:val="004C7040"/>
    <w:rsid w:val="00510F6C"/>
    <w:rsid w:val="005265B9"/>
    <w:rsid w:val="005500D5"/>
    <w:rsid w:val="005561FD"/>
    <w:rsid w:val="00563A90"/>
    <w:rsid w:val="00566D7F"/>
    <w:rsid w:val="00566FAF"/>
    <w:rsid w:val="005772B2"/>
    <w:rsid w:val="00586E06"/>
    <w:rsid w:val="005A6A46"/>
    <w:rsid w:val="005B2F11"/>
    <w:rsid w:val="005B796C"/>
    <w:rsid w:val="005C203E"/>
    <w:rsid w:val="005C4098"/>
    <w:rsid w:val="005D03A5"/>
    <w:rsid w:val="005D78D7"/>
    <w:rsid w:val="005E78CA"/>
    <w:rsid w:val="00606537"/>
    <w:rsid w:val="00622CD2"/>
    <w:rsid w:val="00623693"/>
    <w:rsid w:val="00623E7A"/>
    <w:rsid w:val="0062716E"/>
    <w:rsid w:val="0063192B"/>
    <w:rsid w:val="00633446"/>
    <w:rsid w:val="00676CB9"/>
    <w:rsid w:val="00685FD6"/>
    <w:rsid w:val="00693AC8"/>
    <w:rsid w:val="00697A80"/>
    <w:rsid w:val="006B0F44"/>
    <w:rsid w:val="006D5400"/>
    <w:rsid w:val="006D77EF"/>
    <w:rsid w:val="006E4C47"/>
    <w:rsid w:val="00727230"/>
    <w:rsid w:val="007368C0"/>
    <w:rsid w:val="0074254C"/>
    <w:rsid w:val="00750DAE"/>
    <w:rsid w:val="007546EE"/>
    <w:rsid w:val="00774600"/>
    <w:rsid w:val="00775878"/>
    <w:rsid w:val="00780927"/>
    <w:rsid w:val="007831C1"/>
    <w:rsid w:val="00795CE2"/>
    <w:rsid w:val="007B65C8"/>
    <w:rsid w:val="007B67D3"/>
    <w:rsid w:val="007C3627"/>
    <w:rsid w:val="007D2B0E"/>
    <w:rsid w:val="007D7FBB"/>
    <w:rsid w:val="007E0B90"/>
    <w:rsid w:val="007E5AF2"/>
    <w:rsid w:val="008101C7"/>
    <w:rsid w:val="00816066"/>
    <w:rsid w:val="0083033B"/>
    <w:rsid w:val="00831E67"/>
    <w:rsid w:val="00836C88"/>
    <w:rsid w:val="00857FBE"/>
    <w:rsid w:val="00870845"/>
    <w:rsid w:val="00876880"/>
    <w:rsid w:val="00883E4F"/>
    <w:rsid w:val="008B4543"/>
    <w:rsid w:val="008B5464"/>
    <w:rsid w:val="008E6C8C"/>
    <w:rsid w:val="008F1B97"/>
    <w:rsid w:val="008F47DB"/>
    <w:rsid w:val="008F4E04"/>
    <w:rsid w:val="00901A56"/>
    <w:rsid w:val="0091268B"/>
    <w:rsid w:val="00916312"/>
    <w:rsid w:val="00927544"/>
    <w:rsid w:val="00941EA5"/>
    <w:rsid w:val="0097045E"/>
    <w:rsid w:val="0097482E"/>
    <w:rsid w:val="00983C4E"/>
    <w:rsid w:val="009A1060"/>
    <w:rsid w:val="009C3ADD"/>
    <w:rsid w:val="009C46EC"/>
    <w:rsid w:val="009C6B1F"/>
    <w:rsid w:val="009D3461"/>
    <w:rsid w:val="009E4E88"/>
    <w:rsid w:val="009F49B4"/>
    <w:rsid w:val="00A029BD"/>
    <w:rsid w:val="00A10E59"/>
    <w:rsid w:val="00A15D6E"/>
    <w:rsid w:val="00A17B73"/>
    <w:rsid w:val="00A23FD1"/>
    <w:rsid w:val="00A25B67"/>
    <w:rsid w:val="00A36B33"/>
    <w:rsid w:val="00A425B9"/>
    <w:rsid w:val="00A42E60"/>
    <w:rsid w:val="00A52236"/>
    <w:rsid w:val="00A574EA"/>
    <w:rsid w:val="00A60579"/>
    <w:rsid w:val="00A6088E"/>
    <w:rsid w:val="00A728EC"/>
    <w:rsid w:val="00A75410"/>
    <w:rsid w:val="00A75458"/>
    <w:rsid w:val="00A841B1"/>
    <w:rsid w:val="00AA548C"/>
    <w:rsid w:val="00AD1EE9"/>
    <w:rsid w:val="00AD3E07"/>
    <w:rsid w:val="00AD583F"/>
    <w:rsid w:val="00AE2D7C"/>
    <w:rsid w:val="00B0254C"/>
    <w:rsid w:val="00B030B5"/>
    <w:rsid w:val="00B10BFE"/>
    <w:rsid w:val="00B25D8D"/>
    <w:rsid w:val="00B329ED"/>
    <w:rsid w:val="00B46EF1"/>
    <w:rsid w:val="00B46FCC"/>
    <w:rsid w:val="00B47339"/>
    <w:rsid w:val="00B6689F"/>
    <w:rsid w:val="00B80F4E"/>
    <w:rsid w:val="00BA0244"/>
    <w:rsid w:val="00BA5996"/>
    <w:rsid w:val="00BC643E"/>
    <w:rsid w:val="00BD2451"/>
    <w:rsid w:val="00BE0490"/>
    <w:rsid w:val="00C04D95"/>
    <w:rsid w:val="00C12167"/>
    <w:rsid w:val="00C335BA"/>
    <w:rsid w:val="00C3654F"/>
    <w:rsid w:val="00C403BC"/>
    <w:rsid w:val="00C447BD"/>
    <w:rsid w:val="00C5129C"/>
    <w:rsid w:val="00C53380"/>
    <w:rsid w:val="00C81A17"/>
    <w:rsid w:val="00C82E6D"/>
    <w:rsid w:val="00C96705"/>
    <w:rsid w:val="00CA575D"/>
    <w:rsid w:val="00CB11F0"/>
    <w:rsid w:val="00CB1F6D"/>
    <w:rsid w:val="00CC3FF2"/>
    <w:rsid w:val="00CD65A9"/>
    <w:rsid w:val="00CD6BB8"/>
    <w:rsid w:val="00CF10D8"/>
    <w:rsid w:val="00D042D4"/>
    <w:rsid w:val="00D07B67"/>
    <w:rsid w:val="00D12F96"/>
    <w:rsid w:val="00D15EED"/>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475C"/>
    <w:rsid w:val="00DD5275"/>
    <w:rsid w:val="00DE04F2"/>
    <w:rsid w:val="00DE1F08"/>
    <w:rsid w:val="00DE60CD"/>
    <w:rsid w:val="00E0746D"/>
    <w:rsid w:val="00E12641"/>
    <w:rsid w:val="00E12DF2"/>
    <w:rsid w:val="00E23AB9"/>
    <w:rsid w:val="00E35C29"/>
    <w:rsid w:val="00E430A7"/>
    <w:rsid w:val="00E54D57"/>
    <w:rsid w:val="00E62B5D"/>
    <w:rsid w:val="00E67930"/>
    <w:rsid w:val="00E84E6A"/>
    <w:rsid w:val="00E961F6"/>
    <w:rsid w:val="00EA0283"/>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