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AF05F1" w:rsidRPr="00AF05F1" w:rsidP="00AF05F1" w14:paraId="40EE36D5" w14:textId="77777777">
      <w:pPr>
        <w:jc w:val="center"/>
        <w:rPr>
          <w:b/>
          <w:color w:val="000000"/>
        </w:rPr>
      </w:pPr>
      <w:r w:rsidRPr="00AF05F1">
        <w:rPr>
          <w:b/>
          <w:color w:val="000000" w:themeColor="text1"/>
        </w:rPr>
        <w:t>Before the</w:t>
      </w:r>
    </w:p>
    <w:p w:rsidR="00AF05F1" w:rsidRPr="00AF05F1" w:rsidP="00AF05F1" w14:paraId="0DBA537D" w14:textId="77777777">
      <w:pPr>
        <w:jc w:val="center"/>
        <w:rPr>
          <w:b/>
          <w:bCs/>
          <w:caps/>
          <w:color w:val="000000"/>
        </w:rPr>
      </w:pPr>
      <w:r w:rsidRPr="00AF05F1">
        <w:rPr>
          <w:b/>
          <w:bCs/>
          <w:caps/>
          <w:color w:val="000000" w:themeColor="text1"/>
        </w:rPr>
        <w:t>F</w:t>
      </w:r>
      <w:r w:rsidRPr="00AF05F1">
        <w:rPr>
          <w:b/>
          <w:bCs/>
          <w:color w:val="000000" w:themeColor="text1"/>
        </w:rPr>
        <w:t>ederal Communications Commission</w:t>
      </w:r>
    </w:p>
    <w:p w:rsidR="00AF05F1" w:rsidRPr="00AF05F1" w:rsidP="00AF05F1" w14:paraId="4021882D" w14:textId="77777777">
      <w:pPr>
        <w:jc w:val="center"/>
        <w:rPr>
          <w:b/>
          <w:color w:val="000000"/>
        </w:rPr>
      </w:pPr>
      <w:r w:rsidRPr="00AF05F1">
        <w:rPr>
          <w:b/>
          <w:color w:val="000000" w:themeColor="text1"/>
        </w:rPr>
        <w:t>Washington, DC 20554</w:t>
      </w:r>
    </w:p>
    <w:tbl>
      <w:tblPr>
        <w:tblW w:w="0" w:type="auto"/>
        <w:tblLayout w:type="fixed"/>
        <w:tblLook w:val="0000"/>
      </w:tblPr>
      <w:tblGrid>
        <w:gridCol w:w="4518"/>
        <w:gridCol w:w="630"/>
        <w:gridCol w:w="4248"/>
      </w:tblGrid>
      <w:tr w14:paraId="01060623" w14:textId="77777777" w:rsidTr="00AF0869">
        <w:tblPrEx>
          <w:tblW w:w="0" w:type="auto"/>
          <w:tblLayout w:type="fixed"/>
          <w:tblLook w:val="0000"/>
        </w:tblPrEx>
        <w:tc>
          <w:tcPr>
            <w:tcW w:w="4518" w:type="dxa"/>
          </w:tcPr>
          <w:p w:rsidR="00AF05F1" w:rsidRPr="00AF05F1" w:rsidP="00AF05F1" w14:paraId="6171EECD" w14:textId="77777777">
            <w:pPr>
              <w:tabs>
                <w:tab w:val="center" w:pos="4680"/>
              </w:tabs>
              <w:suppressAutoHyphens/>
              <w:rPr>
                <w:color w:val="000000"/>
                <w:spacing w:val="-2"/>
              </w:rPr>
            </w:pPr>
          </w:p>
          <w:p w:rsidR="00AF05F1" w:rsidRPr="00AF05F1" w:rsidP="00AF05F1" w14:paraId="6AE3211C" w14:textId="77777777">
            <w:pPr>
              <w:tabs>
                <w:tab w:val="center" w:pos="4680"/>
              </w:tabs>
              <w:suppressAutoHyphens/>
              <w:rPr>
                <w:color w:val="000000"/>
                <w:spacing w:val="-2"/>
              </w:rPr>
            </w:pPr>
            <w:r w:rsidRPr="00AF05F1">
              <w:rPr>
                <w:color w:val="000000"/>
                <w:spacing w:val="-2"/>
              </w:rPr>
              <w:t>In the Matter of</w:t>
            </w:r>
          </w:p>
          <w:p w:rsidR="00AF05F1" w:rsidRPr="00AF05F1" w:rsidP="00AF05F1" w14:paraId="267A2BEE" w14:textId="77777777">
            <w:pPr>
              <w:tabs>
                <w:tab w:val="center" w:pos="4680"/>
              </w:tabs>
              <w:suppressAutoHyphens/>
              <w:rPr>
                <w:color w:val="000000"/>
                <w:spacing w:val="-2"/>
              </w:rPr>
            </w:pPr>
          </w:p>
          <w:p w:rsidR="00AF05F1" w:rsidRPr="00AF05F1" w:rsidP="00AF05F1" w14:paraId="6E432909" w14:textId="6708B53B">
            <w:pPr>
              <w:tabs>
                <w:tab w:val="center" w:pos="4680"/>
              </w:tabs>
              <w:suppressAutoHyphens/>
              <w:rPr>
                <w:color w:val="000000"/>
                <w:spacing w:val="-2"/>
              </w:rPr>
            </w:pPr>
            <w:r>
              <w:rPr>
                <w:color w:val="000000"/>
                <w:spacing w:val="-2"/>
              </w:rPr>
              <w:t>Slopeside</w:t>
            </w:r>
            <w:r>
              <w:rPr>
                <w:color w:val="000000"/>
                <w:spacing w:val="-2"/>
              </w:rPr>
              <w:t xml:space="preserve"> Internet, LLC </w:t>
            </w:r>
            <w:r w:rsidRPr="00AF05F1">
              <w:rPr>
                <w:color w:val="000000"/>
                <w:spacing w:val="-2"/>
              </w:rPr>
              <w:t xml:space="preserve"> </w:t>
            </w:r>
          </w:p>
          <w:p w:rsidR="00AF05F1" w:rsidRPr="00AF05F1" w:rsidP="00AF05F1" w14:paraId="218A394E" w14:textId="77777777">
            <w:pPr>
              <w:tabs>
                <w:tab w:val="center" w:pos="4680"/>
              </w:tabs>
              <w:suppressAutoHyphens/>
              <w:rPr>
                <w:color w:val="000000"/>
                <w:spacing w:val="-2"/>
              </w:rPr>
            </w:pPr>
          </w:p>
          <w:p w:rsidR="00AF05F1" w:rsidRPr="00AF05F1" w:rsidP="00AF05F1" w14:paraId="4EC522B4" w14:textId="77777777">
            <w:pPr>
              <w:tabs>
                <w:tab w:val="center" w:pos="4680"/>
              </w:tabs>
              <w:suppressAutoHyphens/>
              <w:rPr>
                <w:color w:val="000000"/>
                <w:spacing w:val="-2"/>
              </w:rPr>
            </w:pPr>
          </w:p>
        </w:tc>
        <w:tc>
          <w:tcPr>
            <w:tcW w:w="630" w:type="dxa"/>
          </w:tcPr>
          <w:p w:rsidR="00AF05F1" w:rsidRPr="00AF05F1" w:rsidP="00AF05F1" w14:paraId="7BD12429" w14:textId="77777777">
            <w:pPr>
              <w:tabs>
                <w:tab w:val="center" w:pos="4680"/>
              </w:tabs>
              <w:suppressAutoHyphens/>
              <w:rPr>
                <w:b/>
                <w:color w:val="000000"/>
                <w:spacing w:val="-2"/>
              </w:rPr>
            </w:pPr>
          </w:p>
          <w:p w:rsidR="00AF05F1" w:rsidRPr="00AF05F1" w:rsidP="00AF05F1" w14:paraId="216531C2" w14:textId="77777777">
            <w:pPr>
              <w:tabs>
                <w:tab w:val="center" w:pos="4680"/>
              </w:tabs>
              <w:suppressAutoHyphens/>
              <w:rPr>
                <w:color w:val="000000"/>
                <w:spacing w:val="-2"/>
              </w:rPr>
            </w:pPr>
            <w:r w:rsidRPr="00AF05F1">
              <w:rPr>
                <w:color w:val="000000"/>
                <w:spacing w:val="-2"/>
              </w:rPr>
              <w:t>)</w:t>
            </w:r>
          </w:p>
          <w:p w:rsidR="00AF05F1" w:rsidRPr="00AF05F1" w:rsidP="00AF05F1" w14:paraId="42329281" w14:textId="77777777">
            <w:pPr>
              <w:tabs>
                <w:tab w:val="center" w:pos="4680"/>
              </w:tabs>
              <w:suppressAutoHyphens/>
              <w:rPr>
                <w:color w:val="000000"/>
                <w:spacing w:val="-2"/>
              </w:rPr>
            </w:pPr>
            <w:r w:rsidRPr="00AF05F1">
              <w:rPr>
                <w:color w:val="000000"/>
                <w:spacing w:val="-2"/>
              </w:rPr>
              <w:t>)</w:t>
            </w:r>
          </w:p>
          <w:p w:rsidR="00AF05F1" w:rsidRPr="00AF05F1" w:rsidP="00AF05F1" w14:paraId="292B2D17" w14:textId="77777777">
            <w:pPr>
              <w:tabs>
                <w:tab w:val="center" w:pos="4680"/>
              </w:tabs>
              <w:suppressAutoHyphens/>
              <w:rPr>
                <w:color w:val="000000"/>
                <w:spacing w:val="-2"/>
              </w:rPr>
            </w:pPr>
            <w:r w:rsidRPr="00AF05F1">
              <w:rPr>
                <w:color w:val="000000"/>
                <w:spacing w:val="-2"/>
              </w:rPr>
              <w:t>)</w:t>
            </w:r>
          </w:p>
          <w:p w:rsidR="00AF05F1" w:rsidRPr="00AF05F1" w:rsidP="00AF05F1" w14:paraId="786D971B" w14:textId="77777777">
            <w:pPr>
              <w:tabs>
                <w:tab w:val="center" w:pos="4680"/>
              </w:tabs>
              <w:suppressAutoHyphens/>
              <w:rPr>
                <w:color w:val="000000"/>
                <w:spacing w:val="-2"/>
              </w:rPr>
            </w:pPr>
            <w:r w:rsidRPr="00AF05F1">
              <w:rPr>
                <w:color w:val="000000"/>
                <w:spacing w:val="-2"/>
              </w:rPr>
              <w:t>)</w:t>
            </w:r>
          </w:p>
          <w:p w:rsidR="00AF05F1" w:rsidRPr="00AF05F1" w:rsidP="00AF05F1" w14:paraId="1F4AD927" w14:textId="77777777">
            <w:pPr>
              <w:tabs>
                <w:tab w:val="center" w:pos="4680"/>
              </w:tabs>
              <w:suppressAutoHyphens/>
              <w:rPr>
                <w:color w:val="000000"/>
                <w:spacing w:val="-2"/>
              </w:rPr>
            </w:pPr>
            <w:r w:rsidRPr="00AF05F1">
              <w:rPr>
                <w:color w:val="000000"/>
                <w:spacing w:val="-2"/>
              </w:rPr>
              <w:t>)</w:t>
            </w:r>
          </w:p>
          <w:p w:rsidR="00AF05F1" w:rsidRPr="00AF05F1" w:rsidP="00AF05F1" w14:paraId="157967D7" w14:textId="77777777">
            <w:pPr>
              <w:tabs>
                <w:tab w:val="center" w:pos="4680"/>
              </w:tabs>
              <w:suppressAutoHyphens/>
              <w:rPr>
                <w:b/>
                <w:color w:val="000000"/>
                <w:spacing w:val="-2"/>
              </w:rPr>
            </w:pPr>
          </w:p>
          <w:p w:rsidR="00AF05F1" w:rsidRPr="00AF05F1" w:rsidP="00AF05F1" w14:paraId="6D915F32" w14:textId="77777777">
            <w:pPr>
              <w:tabs>
                <w:tab w:val="center" w:pos="4680"/>
              </w:tabs>
              <w:suppressAutoHyphens/>
              <w:rPr>
                <w:b/>
                <w:color w:val="000000"/>
                <w:spacing w:val="-2"/>
              </w:rPr>
            </w:pPr>
          </w:p>
        </w:tc>
        <w:tc>
          <w:tcPr>
            <w:tcW w:w="4248" w:type="dxa"/>
          </w:tcPr>
          <w:p w:rsidR="00AF05F1" w:rsidRPr="00AF05F1" w:rsidP="00AF05F1" w14:paraId="7CFDF4ED" w14:textId="77777777">
            <w:pPr>
              <w:rPr>
                <w:color w:val="000000" w:themeColor="text1"/>
              </w:rPr>
            </w:pPr>
          </w:p>
          <w:p w:rsidR="00AF05F1" w:rsidRPr="00315A94" w:rsidP="00AF05F1" w14:paraId="35AA1A5D" w14:textId="35667B47">
            <w:pPr>
              <w:spacing w:line="480" w:lineRule="auto"/>
              <w:rPr>
                <w:color w:val="000000"/>
                <w:spacing w:val="-2"/>
                <w:szCs w:val="22"/>
              </w:rPr>
            </w:pPr>
            <w:r w:rsidRPr="00315A94">
              <w:rPr>
                <w:color w:val="000000"/>
                <w:spacing w:val="-2"/>
                <w:szCs w:val="22"/>
              </w:rPr>
              <w:t xml:space="preserve">File No.: </w:t>
            </w:r>
            <w:r w:rsidR="000964C8">
              <w:rPr>
                <w:color w:val="000000"/>
                <w:spacing w:val="-2"/>
                <w:szCs w:val="22"/>
              </w:rPr>
              <w:t xml:space="preserve"> </w:t>
            </w:r>
            <w:r w:rsidRPr="00315A94" w:rsidR="00315A94">
              <w:rPr>
                <w:color w:val="222222"/>
                <w:szCs w:val="22"/>
                <w:shd w:val="clear" w:color="auto" w:fill="FFFFFF"/>
              </w:rPr>
              <w:t>EB-IHD-2</w:t>
            </w:r>
            <w:r w:rsidR="00003FB6">
              <w:rPr>
                <w:color w:val="222222"/>
                <w:szCs w:val="22"/>
                <w:shd w:val="clear" w:color="auto" w:fill="FFFFFF"/>
              </w:rPr>
              <w:t>1</w:t>
            </w:r>
            <w:r w:rsidRPr="00315A94" w:rsidR="00315A94">
              <w:rPr>
                <w:color w:val="222222"/>
                <w:szCs w:val="22"/>
                <w:shd w:val="clear" w:color="auto" w:fill="FFFFFF"/>
              </w:rPr>
              <w:t>-000</w:t>
            </w:r>
            <w:r w:rsidR="00C00137">
              <w:rPr>
                <w:color w:val="222222"/>
                <w:szCs w:val="22"/>
                <w:shd w:val="clear" w:color="auto" w:fill="FFFFFF"/>
              </w:rPr>
              <w:t>31883</w:t>
            </w:r>
          </w:p>
          <w:p w:rsidR="00AF05F1" w:rsidRPr="00AF05F1" w:rsidP="00AF05F1" w14:paraId="59C23BC6" w14:textId="73406955">
            <w:pPr>
              <w:spacing w:line="480" w:lineRule="auto"/>
              <w:rPr>
                <w:color w:val="000000"/>
                <w:spacing w:val="-2"/>
              </w:rPr>
            </w:pPr>
            <w:r w:rsidRPr="00AF05F1">
              <w:rPr>
                <w:color w:val="000000"/>
                <w:spacing w:val="-2"/>
              </w:rPr>
              <w:t>NAL</w:t>
            </w:r>
            <w:r w:rsidRPr="00AF05F1">
              <w:rPr>
                <w:color w:val="000000"/>
                <w:spacing w:val="-2"/>
              </w:rPr>
              <w:t>/Acct. No.:</w:t>
            </w:r>
            <w:r w:rsidR="000964C8">
              <w:rPr>
                <w:color w:val="000000"/>
                <w:spacing w:val="-2"/>
              </w:rPr>
              <w:t xml:space="preserve"> </w:t>
            </w:r>
            <w:r w:rsidR="00D2284E">
              <w:rPr>
                <w:color w:val="222222"/>
                <w:shd w:val="clear" w:color="auto" w:fill="FFFFFF"/>
              </w:rPr>
              <w:t>202132080024</w:t>
            </w:r>
          </w:p>
          <w:p w:rsidR="00AF05F1" w:rsidRPr="00AF05F1" w:rsidP="00AF05F1" w14:paraId="0B7BFA8B" w14:textId="363D6D5F">
            <w:pPr>
              <w:spacing w:line="480" w:lineRule="auto"/>
              <w:rPr>
                <w:color w:val="000000"/>
                <w:spacing w:val="-2"/>
              </w:rPr>
            </w:pPr>
            <w:r w:rsidRPr="00AF05F1">
              <w:rPr>
                <w:color w:val="000000"/>
                <w:spacing w:val="-2"/>
              </w:rPr>
              <w:t>FRN</w:t>
            </w:r>
            <w:r w:rsidRPr="00AF05F1">
              <w:rPr>
                <w:color w:val="000000"/>
                <w:spacing w:val="-2"/>
              </w:rPr>
              <w:t>:</w:t>
            </w:r>
            <w:r w:rsidR="00A42105">
              <w:rPr>
                <w:color w:val="000000"/>
                <w:spacing w:val="-2"/>
              </w:rPr>
              <w:t xml:space="preserve">  </w:t>
            </w:r>
            <w:r w:rsidRPr="00785D88" w:rsidR="00785D88">
              <w:rPr>
                <w:color w:val="000000"/>
                <w:spacing w:val="-2"/>
              </w:rPr>
              <w:t>0017163304</w:t>
            </w:r>
          </w:p>
          <w:p w:rsidR="00AF05F1" w:rsidRPr="00AF05F1" w:rsidP="00AF05F1" w14:paraId="2E475148" w14:textId="77777777">
            <w:pPr>
              <w:rPr>
                <w:color w:val="000000"/>
              </w:rPr>
            </w:pPr>
          </w:p>
        </w:tc>
      </w:tr>
    </w:tbl>
    <w:p w:rsidR="00AF05F1" w:rsidRPr="00AF05F1" w:rsidP="00AF05F1" w14:paraId="5F260B0F" w14:textId="77777777">
      <w:pPr>
        <w:jc w:val="center"/>
        <w:rPr>
          <w:b/>
          <w:bCs/>
          <w:caps/>
          <w:color w:val="000000"/>
        </w:rPr>
      </w:pPr>
      <w:r w:rsidRPr="00AF05F1">
        <w:rPr>
          <w:b/>
          <w:bCs/>
          <w:caps/>
          <w:color w:val="000000" w:themeColor="text1"/>
        </w:rPr>
        <w:t>NOTICE OF APPARENT LIABILITY FOR FORFEITURE</w:t>
      </w:r>
    </w:p>
    <w:p w:rsidR="00AF05F1" w:rsidRPr="00AF05F1" w:rsidP="00AF05F1" w14:paraId="51832DF1" w14:textId="77777777">
      <w:pPr>
        <w:jc w:val="center"/>
        <w:rPr>
          <w:b/>
          <w:bCs/>
          <w:caps/>
          <w:color w:val="000000" w:themeColor="text1"/>
        </w:rPr>
      </w:pPr>
    </w:p>
    <w:p w:rsidR="00AF05F1" w:rsidRPr="00AF05F1" w:rsidP="00AF05F1" w14:paraId="308666A5" w14:textId="0A7DF5DA">
      <w:pPr>
        <w:tabs>
          <w:tab w:val="left" w:pos="720"/>
          <w:tab w:val="right" w:pos="9360"/>
        </w:tabs>
        <w:suppressAutoHyphens/>
        <w:jc w:val="center"/>
      </w:pPr>
      <w:r w:rsidRPr="00AF05F1">
        <w:rPr>
          <w:b/>
          <w:bCs/>
          <w:spacing w:val="-2"/>
        </w:rPr>
        <w:t>Adopted:</w:t>
      </w:r>
      <w:r w:rsidR="000964C8">
        <w:rPr>
          <w:b/>
          <w:bCs/>
          <w:spacing w:val="-2"/>
        </w:rPr>
        <w:t xml:space="preserve"> </w:t>
      </w:r>
      <w:r w:rsidRPr="00AF05F1">
        <w:rPr>
          <w:b/>
          <w:bCs/>
          <w:spacing w:val="-2"/>
        </w:rPr>
        <w:t xml:space="preserve"> </w:t>
      </w:r>
      <w:r w:rsidR="00734F87">
        <w:rPr>
          <w:b/>
          <w:bCs/>
          <w:spacing w:val="-2"/>
        </w:rPr>
        <w:t>February</w:t>
      </w:r>
      <w:r w:rsidR="00D52321">
        <w:rPr>
          <w:b/>
          <w:bCs/>
          <w:spacing w:val="-2"/>
        </w:rPr>
        <w:t xml:space="preserve"> 25,</w:t>
      </w:r>
      <w:r w:rsidRPr="00AF05F1">
        <w:rPr>
          <w:b/>
          <w:bCs/>
          <w:spacing w:val="-2"/>
        </w:rPr>
        <w:t xml:space="preserve"> 202</w:t>
      </w:r>
      <w:r w:rsidR="001D643A">
        <w:rPr>
          <w:b/>
          <w:bCs/>
          <w:spacing w:val="-2"/>
        </w:rPr>
        <w:t>1</w:t>
      </w:r>
      <w:r w:rsidR="00F06398">
        <w:rPr>
          <w:b/>
          <w:bCs/>
          <w:spacing w:val="-2"/>
        </w:rPr>
        <w:t xml:space="preserve"> </w:t>
      </w:r>
      <w:r w:rsidRPr="00AF05F1">
        <w:rPr>
          <w:b/>
          <w:bCs/>
          <w:spacing w:val="-2"/>
        </w:rPr>
        <w:t xml:space="preserve">                                                                </w:t>
      </w:r>
      <w:r w:rsidRPr="00AF05F1">
        <w:rPr>
          <w:b/>
          <w:spacing w:val="-2"/>
        </w:rPr>
        <w:tab/>
      </w:r>
      <w:r w:rsidRPr="00AF05F1">
        <w:rPr>
          <w:b/>
          <w:bCs/>
          <w:spacing w:val="-2"/>
        </w:rPr>
        <w:t>Released:</w:t>
      </w:r>
      <w:r w:rsidR="000964C8">
        <w:rPr>
          <w:b/>
          <w:bCs/>
          <w:spacing w:val="-2"/>
        </w:rPr>
        <w:t xml:space="preserve"> </w:t>
      </w:r>
      <w:r w:rsidRPr="00AF05F1">
        <w:rPr>
          <w:b/>
          <w:bCs/>
          <w:spacing w:val="-2"/>
        </w:rPr>
        <w:t xml:space="preserve"> </w:t>
      </w:r>
      <w:bookmarkStart w:id="0" w:name="_Hlk56780665"/>
      <w:r w:rsidR="00734F87">
        <w:rPr>
          <w:b/>
          <w:bCs/>
          <w:spacing w:val="-2"/>
        </w:rPr>
        <w:t>February</w:t>
      </w:r>
      <w:r w:rsidRPr="00AF05F1" w:rsidR="00734F87">
        <w:rPr>
          <w:b/>
          <w:bCs/>
          <w:spacing w:val="-2"/>
        </w:rPr>
        <w:t xml:space="preserve"> </w:t>
      </w:r>
      <w:r w:rsidR="00D52321">
        <w:rPr>
          <w:b/>
          <w:bCs/>
          <w:spacing w:val="-2"/>
        </w:rPr>
        <w:t>25</w:t>
      </w:r>
      <w:r w:rsidRPr="00AF05F1">
        <w:rPr>
          <w:b/>
          <w:bCs/>
          <w:spacing w:val="-2"/>
        </w:rPr>
        <w:t>, 202</w:t>
      </w:r>
      <w:r w:rsidR="001D643A">
        <w:rPr>
          <w:b/>
          <w:bCs/>
          <w:spacing w:val="-2"/>
        </w:rPr>
        <w:t>1</w:t>
      </w:r>
      <w:bookmarkEnd w:id="0"/>
    </w:p>
    <w:p w:rsidR="00AF05F1" w:rsidRPr="00AF05F1" w:rsidP="00AF05F1" w14:paraId="2F1C9797" w14:textId="77777777">
      <w:pPr>
        <w:tabs>
          <w:tab w:val="left" w:pos="720"/>
          <w:tab w:val="right" w:pos="9360"/>
        </w:tabs>
        <w:suppressAutoHyphens/>
      </w:pPr>
    </w:p>
    <w:p w:rsidR="00AF05F1" w:rsidRPr="00AF05F1" w:rsidP="00AF05F1" w14:paraId="76F058EA" w14:textId="5A004B02">
      <w:pPr>
        <w:tabs>
          <w:tab w:val="left" w:pos="720"/>
          <w:tab w:val="right" w:pos="9360"/>
        </w:tabs>
        <w:suppressAutoHyphens/>
        <w:rPr>
          <w:spacing w:val="-2"/>
        </w:rPr>
      </w:pPr>
      <w:r w:rsidRPr="00AF05F1">
        <w:rPr>
          <w:spacing w:val="-2"/>
        </w:rPr>
        <w:t xml:space="preserve">By </w:t>
      </w:r>
      <w:r w:rsidR="003422A6">
        <w:rPr>
          <w:spacing w:val="-2"/>
        </w:rPr>
        <w:t xml:space="preserve">the </w:t>
      </w:r>
      <w:r w:rsidR="002020A4">
        <w:rPr>
          <w:spacing w:val="-2"/>
        </w:rPr>
        <w:t xml:space="preserve">Chief, </w:t>
      </w:r>
      <w:r w:rsidR="00F06398">
        <w:rPr>
          <w:spacing w:val="-2"/>
        </w:rPr>
        <w:t>Enforcement Bureau</w:t>
      </w:r>
      <w:r w:rsidR="00362600">
        <w:rPr>
          <w:spacing w:val="-2"/>
        </w:rPr>
        <w:t>:</w:t>
      </w:r>
    </w:p>
    <w:p w:rsidR="00AF05F1" w:rsidRPr="00AF05F1" w:rsidP="00AF05F1" w14:paraId="7D8FF9C5" w14:textId="77777777">
      <w:pPr>
        <w:jc w:val="both"/>
      </w:pPr>
    </w:p>
    <w:p w:rsidR="0019289F" w:rsidRPr="00F77790" w:rsidP="00F15F4C" w14:paraId="176E0902" w14:textId="77777777">
      <w:pPr>
        <w:pStyle w:val="Heading1"/>
        <w:widowControl/>
      </w:pPr>
      <w:r>
        <w:t>INTRODUCTION</w:t>
      </w:r>
    </w:p>
    <w:p w:rsidR="0019289F" w:rsidRPr="00AF05F1" w:rsidP="00F15F4C" w14:paraId="379259A6" w14:textId="47FCB2D9">
      <w:pPr>
        <w:pStyle w:val="ParaNum"/>
        <w:widowControl/>
      </w:pPr>
      <w:bookmarkStart w:id="1" w:name="_Hlk56780086"/>
      <w:r>
        <w:t>Slopeside</w:t>
      </w:r>
      <w:r w:rsidR="00315B05">
        <w:t xml:space="preserve"> Internet, LLC (</w:t>
      </w:r>
      <w:r w:rsidR="00315B05">
        <w:t>Slopeside</w:t>
      </w:r>
      <w:r w:rsidR="00315B05">
        <w:t>)</w:t>
      </w:r>
      <w:r w:rsidR="00425DE8">
        <w:t xml:space="preserve">, a facilities-based broadband provider, </w:t>
      </w:r>
      <w:r w:rsidR="000E5CD5">
        <w:t xml:space="preserve">apparently </w:t>
      </w:r>
      <w:r w:rsidR="00425DE8">
        <w:t xml:space="preserve">failed to file </w:t>
      </w:r>
      <w:r w:rsidR="00EC49AE">
        <w:t xml:space="preserve">one </w:t>
      </w:r>
      <w:r w:rsidR="00425DE8">
        <w:t>FCC Form 477</w:t>
      </w:r>
      <w:r w:rsidR="00B85F4B">
        <w:t xml:space="preserve"> and </w:t>
      </w:r>
      <w:r w:rsidR="000E5CD5">
        <w:t xml:space="preserve">apparently </w:t>
      </w:r>
      <w:r w:rsidR="00425DE8">
        <w:t xml:space="preserve">filed late </w:t>
      </w:r>
      <w:r w:rsidR="0053248D">
        <w:t>nine</w:t>
      </w:r>
      <w:r w:rsidR="00425DE8">
        <w:t xml:space="preserve"> times.  </w:t>
      </w:r>
      <w:r w:rsidR="00425DE8">
        <w:t>Taking into account</w:t>
      </w:r>
      <w:r w:rsidR="00425DE8">
        <w:t xml:space="preserve"> </w:t>
      </w:r>
      <w:r>
        <w:t>Slopeside</w:t>
      </w:r>
      <w:r w:rsidR="00425DE8">
        <w:t>’s</w:t>
      </w:r>
      <w:r w:rsidR="00425DE8">
        <w:t xml:space="preserve"> history of </w:t>
      </w:r>
      <w:r w:rsidR="000E5CD5">
        <w:t xml:space="preserve">apparent </w:t>
      </w:r>
      <w:r w:rsidR="00425DE8">
        <w:t>Form 477 violations, w</w:t>
      </w:r>
      <w:r w:rsidRPr="00AF05F1" w:rsidR="00AF05F1">
        <w:t xml:space="preserve">e propose </w:t>
      </w:r>
      <w:r w:rsidR="00AF6125">
        <w:t xml:space="preserve">a </w:t>
      </w:r>
      <w:r w:rsidRPr="00AF05F1" w:rsidR="00AF05F1">
        <w:t>penalt</w:t>
      </w:r>
      <w:r w:rsidR="00AF6125">
        <w:t>y of</w:t>
      </w:r>
      <w:r w:rsidRPr="00AF05F1" w:rsidR="00AF05F1">
        <w:t xml:space="preserve"> $</w:t>
      </w:r>
      <w:r w:rsidR="0087127F">
        <w:t>20</w:t>
      </w:r>
      <w:r w:rsidR="0053248D">
        <w:t>,</w:t>
      </w:r>
      <w:r w:rsidR="0087127F">
        <w:t>0</w:t>
      </w:r>
      <w:r w:rsidR="0053248D">
        <w:t>00</w:t>
      </w:r>
      <w:r w:rsidRPr="00AF05F1" w:rsidR="00AF05F1">
        <w:t xml:space="preserve"> against </w:t>
      </w:r>
      <w:r>
        <w:t>Slopeside</w:t>
      </w:r>
      <w:r w:rsidRPr="00AF05F1" w:rsidR="00AF05F1">
        <w:t xml:space="preserve"> for apparently failing to </w:t>
      </w:r>
      <w:r w:rsidR="00B85F4B">
        <w:t xml:space="preserve">file, and to </w:t>
      </w:r>
      <w:r w:rsidRPr="00AF05F1" w:rsidR="00AF05F1">
        <w:t>timely file</w:t>
      </w:r>
      <w:r w:rsidR="00B85F4B">
        <w:t>,</w:t>
      </w:r>
      <w:r w:rsidRPr="00AF05F1" w:rsidR="00AF05F1">
        <w:t xml:space="preserve"> its broadband data.  </w:t>
      </w:r>
    </w:p>
    <w:bookmarkEnd w:id="1"/>
    <w:p w:rsidR="0019289F" w:rsidRPr="00F77790" w:rsidP="00F15F4C" w14:paraId="0485F9DE" w14:textId="77777777">
      <w:pPr>
        <w:pStyle w:val="Heading1"/>
        <w:widowControl/>
      </w:pPr>
      <w:r w:rsidRPr="00CF2CD6">
        <w:t>Background</w:t>
      </w:r>
    </w:p>
    <w:p w:rsidR="00AF05F1" w:rsidP="00F15F4C" w14:paraId="22CF74D8" w14:textId="56BC7F38">
      <w:pPr>
        <w:pStyle w:val="ParaNum"/>
        <w:widowControl/>
      </w:pPr>
      <w:r w:rsidRPr="00AF05F1">
        <w:t xml:space="preserve">To accomplish its broadband goals, the </w:t>
      </w:r>
      <w:r w:rsidR="00315B05">
        <w:t xml:space="preserve">Federal Communications Commission (the </w:t>
      </w:r>
      <w:r w:rsidRPr="00AF05F1">
        <w:t xml:space="preserve">Commission </w:t>
      </w:r>
      <w:r w:rsidR="00315B05">
        <w:t xml:space="preserve">or FCC) </w:t>
      </w:r>
      <w:r w:rsidRPr="00AF05F1">
        <w:t xml:space="preserve">requires </w:t>
      </w:r>
      <w:r w:rsidR="00EF2D09">
        <w:t xml:space="preserve">facilities-based </w:t>
      </w:r>
      <w:r w:rsidRPr="00AF05F1">
        <w:t xml:space="preserve">broadband service providers to file FCC Form 477 </w:t>
      </w:r>
      <w:r w:rsidR="00B016D2">
        <w:t xml:space="preserve">twice each year.  The </w:t>
      </w:r>
      <w:r w:rsidR="00971A7E">
        <w:t>March 1</w:t>
      </w:r>
      <w:r w:rsidR="00B016D2">
        <w:t xml:space="preserve"> filing </w:t>
      </w:r>
      <w:r w:rsidR="00971A7E">
        <w:t>report</w:t>
      </w:r>
      <w:r w:rsidR="00B016D2">
        <w:t xml:space="preserve">s </w:t>
      </w:r>
      <w:r w:rsidR="00757B60">
        <w:t xml:space="preserve">data </w:t>
      </w:r>
      <w:r w:rsidR="00971A7E">
        <w:t>as of December 31 of the prior year</w:t>
      </w:r>
      <w:r w:rsidR="000E5CD5">
        <w:t>,</w:t>
      </w:r>
      <w:r w:rsidRPr="00AF05F1" w:rsidR="002A23CF">
        <w:t xml:space="preserve"> and </w:t>
      </w:r>
      <w:r w:rsidR="00B016D2">
        <w:t xml:space="preserve">the </w:t>
      </w:r>
      <w:r w:rsidRPr="00AF05F1" w:rsidR="002A23CF">
        <w:t>September</w:t>
      </w:r>
      <w:r w:rsidR="00971A7E">
        <w:t xml:space="preserve"> 1</w:t>
      </w:r>
      <w:r w:rsidR="00B016D2">
        <w:t xml:space="preserve"> filing </w:t>
      </w:r>
      <w:r w:rsidR="00971A7E">
        <w:t>report</w:t>
      </w:r>
      <w:r w:rsidR="00B016D2">
        <w:t>s</w:t>
      </w:r>
      <w:r w:rsidR="00757B60">
        <w:t xml:space="preserve"> data</w:t>
      </w:r>
      <w:r w:rsidR="00B016D2">
        <w:t xml:space="preserve"> </w:t>
      </w:r>
      <w:r w:rsidR="00971A7E">
        <w:t>as</w:t>
      </w:r>
      <w:r w:rsidR="00C27544">
        <w:t xml:space="preserve"> of </w:t>
      </w:r>
      <w:r w:rsidR="00971A7E">
        <w:t>June 30 of the current year</w:t>
      </w:r>
      <w:r w:rsidR="00B016D2">
        <w:t>.</w:t>
      </w:r>
      <w:r>
        <w:rPr>
          <w:rStyle w:val="FootnoteReference"/>
        </w:rPr>
        <w:footnoteReference w:id="3"/>
      </w:r>
      <w:r w:rsidR="00EF2D09">
        <w:t xml:space="preserve"> </w:t>
      </w:r>
      <w:r w:rsidRPr="00AF05F1">
        <w:t xml:space="preserve"> </w:t>
      </w:r>
      <w:r w:rsidRPr="00AF05F1" w:rsidR="00757B60">
        <w:t>Form 477 contains important information that assists the Commission in carrying out its statutory mandates, including the requirement that the Commission “shall encourage the deployment on a reasonable and timely basis of advanced telecommunications capability to all Americans.”</w:t>
      </w:r>
      <w:r>
        <w:rPr>
          <w:rStyle w:val="FootnoteReference"/>
        </w:rPr>
        <w:footnoteReference w:id="4"/>
      </w:r>
      <w:r w:rsidRPr="00AF05F1" w:rsidR="00757B60">
        <w:t xml:space="preserve"> </w:t>
      </w:r>
      <w:r w:rsidR="00092E30">
        <w:t xml:space="preserve"> </w:t>
      </w:r>
      <w:r w:rsidRPr="00AF05F1">
        <w:t>Form 477</w:t>
      </w:r>
      <w:r w:rsidR="000E5CD5">
        <w:t xml:space="preserve"> filings</w:t>
      </w:r>
      <w:r w:rsidRPr="00AF05F1">
        <w:t xml:space="preserve"> contain service speed and subscriber information that the Commission uses to assess the state of broadband availability in the United States, and to take steps to further the goal of increasing that availability.</w:t>
      </w:r>
      <w:r>
        <w:rPr>
          <w:rStyle w:val="FootnoteReference"/>
        </w:rPr>
        <w:footnoteReference w:id="5"/>
      </w:r>
      <w:r w:rsidRPr="00AF05F1">
        <w:t xml:space="preserve"> </w:t>
      </w:r>
      <w:r w:rsidR="00092E30">
        <w:t xml:space="preserve"> The Commission uses </w:t>
      </w:r>
      <w:r w:rsidR="00092E30">
        <w:rPr>
          <w:kern w:val="0"/>
          <w:szCs w:val="22"/>
        </w:rPr>
        <w:t>data obtained from FCC Form 477 to “describe the deployment of broadband infrastructure,”</w:t>
      </w:r>
      <w:r>
        <w:rPr>
          <w:rStyle w:val="FootnoteReference"/>
          <w:kern w:val="0"/>
          <w:szCs w:val="22"/>
        </w:rPr>
        <w:footnoteReference w:id="6"/>
      </w:r>
      <w:r w:rsidR="00092E30">
        <w:rPr>
          <w:kern w:val="0"/>
          <w:szCs w:val="22"/>
        </w:rPr>
        <w:t xml:space="preserve"> and t</w:t>
      </w:r>
      <w:r w:rsidRPr="00AF05F1">
        <w:t>he collected</w:t>
      </w:r>
      <w:r w:rsidR="00B94222">
        <w:t xml:space="preserve"> data</w:t>
      </w:r>
      <w:r w:rsidRPr="00AF05F1">
        <w:t xml:space="preserve"> enable the Commission to appropriately target universal service funds to unserved and underserved regions and to meet public safety obligations.</w:t>
      </w:r>
      <w:r w:rsidR="000B6041">
        <w:t xml:space="preserve"> </w:t>
      </w:r>
      <w:r w:rsidRPr="00AF05F1">
        <w:t xml:space="preserve"> Federal and state agencies and the </w:t>
      </w:r>
      <w:r w:rsidRPr="00AF05F1">
        <w:t>general public</w:t>
      </w:r>
      <w:r w:rsidRPr="00AF05F1">
        <w:t xml:space="preserve"> also benefit from the data reported on Form 477.</w:t>
      </w:r>
    </w:p>
    <w:p w:rsidR="00B34DB9" w:rsidRPr="00136D9E" w:rsidP="00F15F4C" w14:paraId="0BC248FB" w14:textId="0021302D">
      <w:pPr>
        <w:pStyle w:val="ParaNum"/>
        <w:widowControl/>
      </w:pPr>
      <w:r w:rsidRPr="00136D9E">
        <w:t>Since 2005</w:t>
      </w:r>
      <w:r w:rsidR="00BA0EF2">
        <w:t xml:space="preserve">, and beginning with the filing due September 1, 2005 for data as of June 30, 2005, </w:t>
      </w:r>
      <w:r w:rsidRPr="00136D9E">
        <w:t>the Commission has required “</w:t>
      </w:r>
      <w:r w:rsidRPr="003436FD">
        <w:rPr>
          <w:i/>
          <w:iCs/>
        </w:rPr>
        <w:t>all</w:t>
      </w:r>
      <w:r w:rsidRPr="00136D9E">
        <w:t xml:space="preserve"> facilities-based providers” of fixed and mobile broadband connections to end-users to submit counts of broadband connections in FCC Form 477.</w:t>
      </w:r>
      <w:r>
        <w:rPr>
          <w:rStyle w:val="FootnoteReference"/>
          <w:sz w:val="22"/>
          <w:szCs w:val="22"/>
        </w:rPr>
        <w:footnoteReference w:id="7"/>
      </w:r>
      <w:r w:rsidR="00905926">
        <w:t xml:space="preserve">  </w:t>
      </w:r>
      <w:r w:rsidR="00AD17CC">
        <w:t>As</w:t>
      </w:r>
      <w:r w:rsidR="00407E32">
        <w:t xml:space="preserve"> explained</w:t>
      </w:r>
      <w:r w:rsidR="00AD17CC">
        <w:t xml:space="preserve"> in </w:t>
      </w:r>
      <w:r w:rsidR="00C60376">
        <w:t xml:space="preserve">a related 2004 </w:t>
      </w:r>
      <w:r w:rsidR="002245A6">
        <w:t xml:space="preserve">FCC </w:t>
      </w:r>
      <w:r w:rsidR="00C60376">
        <w:t>news release</w:t>
      </w:r>
      <w:r w:rsidR="00AD17CC">
        <w:t>, t</w:t>
      </w:r>
      <w:r w:rsidR="00625407">
        <w:t>his includes</w:t>
      </w:r>
      <w:r w:rsidR="00BF4616">
        <w:t xml:space="preserve"> facilities-based </w:t>
      </w:r>
      <w:r w:rsidR="002C7904">
        <w:t>providers</w:t>
      </w:r>
      <w:r w:rsidR="00E75137">
        <w:t xml:space="preserve"> </w:t>
      </w:r>
      <w:r w:rsidR="002C7904">
        <w:t>in rural areas, regardless of their size.</w:t>
      </w:r>
      <w:r>
        <w:rPr>
          <w:rStyle w:val="FootnoteReference"/>
        </w:rPr>
        <w:footnoteReference w:id="8"/>
      </w:r>
      <w:r w:rsidRPr="00136D9E">
        <w:t xml:space="preserve">  </w:t>
      </w:r>
      <w:r w:rsidRPr="00136D9E" w:rsidR="00BB2EA4">
        <w:t>F</w:t>
      </w:r>
      <w:r w:rsidRPr="003436FD">
        <w:t xml:space="preserve">ixed wireless facilities-based broadband providers have been required to file both “deployment” and “subscription” data on their FCC Form </w:t>
      </w:r>
      <w:r w:rsidR="005770E5">
        <w:t>4</w:t>
      </w:r>
      <w:r w:rsidRPr="003436FD">
        <w:t>77 filings</w:t>
      </w:r>
      <w:r w:rsidRPr="003436FD" w:rsidR="00BB2EA4">
        <w:t xml:space="preserve"> since 2014</w:t>
      </w:r>
      <w:r w:rsidRPr="003436FD">
        <w:t>.</w:t>
      </w:r>
      <w:r>
        <w:rPr>
          <w:rStyle w:val="FootnoteReference"/>
          <w:sz w:val="22"/>
          <w:szCs w:val="22"/>
        </w:rPr>
        <w:footnoteReference w:id="9"/>
      </w:r>
      <w:r w:rsidR="00905926">
        <w:t xml:space="preserve"> </w:t>
      </w:r>
      <w:r w:rsidRPr="00136D9E">
        <w:t xml:space="preserve"> </w:t>
      </w:r>
      <w:r w:rsidRPr="00136D9E" w:rsidR="00BB2EA4">
        <w:t>The Commission has underscored the importance of timely and accurate FCC Form 477 filings through enforcement advisories and enforcement action.</w:t>
      </w:r>
      <w:r>
        <w:rPr>
          <w:rStyle w:val="FootnoteReference"/>
          <w:sz w:val="22"/>
          <w:szCs w:val="22"/>
        </w:rPr>
        <w:footnoteReference w:id="10"/>
      </w:r>
      <w:r w:rsidRPr="00136D9E" w:rsidR="00BB2EA4">
        <w:t xml:space="preserve">  </w:t>
      </w:r>
    </w:p>
    <w:p w:rsidR="001A40B8" w:rsidP="00F15F4C" w14:paraId="377675BD" w14:textId="6C902418">
      <w:pPr>
        <w:pStyle w:val="ParaNum"/>
        <w:widowControl/>
        <w:rPr>
          <w:bCs/>
        </w:rPr>
      </w:pPr>
      <w:r>
        <w:rPr>
          <w:bCs/>
        </w:rPr>
        <w:t>Slopeside</w:t>
      </w:r>
      <w:r w:rsidRPr="00EA426F" w:rsidR="00AF05F1">
        <w:rPr>
          <w:bCs/>
        </w:rPr>
        <w:t xml:space="preserve"> is</w:t>
      </w:r>
      <w:r w:rsidR="00EA426F">
        <w:rPr>
          <w:bCs/>
        </w:rPr>
        <w:t xml:space="preserve"> </w:t>
      </w:r>
      <w:r w:rsidRPr="00EA426F" w:rsidR="00AF05F1">
        <w:rPr>
          <w:bCs/>
        </w:rPr>
        <w:t xml:space="preserve">a </w:t>
      </w:r>
      <w:r w:rsidRPr="00EA426F" w:rsidR="00AF05F1">
        <w:rPr>
          <w:rStyle w:val="markgui5yvd3s"/>
          <w:bdr w:val="none" w:sz="0" w:space="0" w:color="auto" w:frame="1"/>
          <w:shd w:val="clear" w:color="auto" w:fill="FFFFFF"/>
        </w:rPr>
        <w:t>facilities</w:t>
      </w:r>
      <w:r w:rsidRPr="00EA426F" w:rsidR="00AF05F1">
        <w:rPr>
          <w:shd w:val="clear" w:color="auto" w:fill="FFFFFF"/>
        </w:rPr>
        <w:t xml:space="preserve">-based provider </w:t>
      </w:r>
      <w:r w:rsidR="00EA426F">
        <w:rPr>
          <w:shd w:val="clear" w:color="auto" w:fill="FFFFFF"/>
        </w:rPr>
        <w:t xml:space="preserve">of broadband connections to end users via </w:t>
      </w:r>
      <w:r w:rsidR="0053248D">
        <w:rPr>
          <w:shd w:val="clear" w:color="auto" w:fill="FFFFFF"/>
        </w:rPr>
        <w:t>terrestrial fixed wireless</w:t>
      </w:r>
      <w:r w:rsidR="00E063ED">
        <w:rPr>
          <w:shd w:val="clear" w:color="auto" w:fill="FFFFFF"/>
        </w:rPr>
        <w:t>.</w:t>
      </w:r>
      <w:r>
        <w:rPr>
          <w:rStyle w:val="FootnoteReference"/>
          <w:shd w:val="clear" w:color="auto" w:fill="FFFFFF"/>
        </w:rPr>
        <w:footnoteReference w:id="11"/>
      </w:r>
      <w:r w:rsidR="00E063ED">
        <w:rPr>
          <w:shd w:val="clear" w:color="auto" w:fill="FFFFFF"/>
        </w:rPr>
        <w:t xml:space="preserve"> </w:t>
      </w:r>
      <w:r w:rsidR="00B85F4B">
        <w:rPr>
          <w:shd w:val="clear" w:color="auto" w:fill="FFFFFF"/>
        </w:rPr>
        <w:t xml:space="preserve"> </w:t>
      </w:r>
      <w:r>
        <w:rPr>
          <w:bCs/>
        </w:rPr>
        <w:t>Slopeside</w:t>
      </w:r>
      <w:r w:rsidR="00752014">
        <w:rPr>
          <w:bCs/>
        </w:rPr>
        <w:t xml:space="preserve"> h</w:t>
      </w:r>
      <w:r w:rsidR="00647AF0">
        <w:rPr>
          <w:bCs/>
        </w:rPr>
        <w:t>eld a</w:t>
      </w:r>
      <w:r w:rsidR="00752014">
        <w:rPr>
          <w:bCs/>
        </w:rPr>
        <w:t xml:space="preserve"> Commission license</w:t>
      </w:r>
      <w:r w:rsidR="00647AF0">
        <w:rPr>
          <w:bCs/>
        </w:rPr>
        <w:t xml:space="preserve"> that was in effect between March 2019 and October 2020</w:t>
      </w:r>
      <w:r w:rsidRPr="00EA426F" w:rsidR="00AF05F1">
        <w:rPr>
          <w:bCs/>
        </w:rPr>
        <w:t>.</w:t>
      </w:r>
      <w:r>
        <w:rPr>
          <w:rStyle w:val="FootnoteReference"/>
          <w:bCs/>
        </w:rPr>
        <w:footnoteReference w:id="12"/>
      </w:r>
      <w:r w:rsidR="005120BA">
        <w:rPr>
          <w:bCs/>
        </w:rPr>
        <w:t xml:space="preserve">  </w:t>
      </w:r>
    </w:p>
    <w:p w:rsidR="0019289F" w:rsidRPr="001A40B8" w:rsidP="00F15F4C" w14:paraId="568FA21C" w14:textId="505A6332">
      <w:pPr>
        <w:pStyle w:val="ParaNum"/>
        <w:widowControl/>
      </w:pPr>
      <w:bookmarkStart w:id="6" w:name="_Hlk58322345"/>
      <w:r>
        <w:rPr>
          <w:szCs w:val="22"/>
        </w:rPr>
        <w:t xml:space="preserve">Between </w:t>
      </w:r>
      <w:r w:rsidR="009D09C9">
        <w:rPr>
          <w:szCs w:val="22"/>
        </w:rPr>
        <w:t xml:space="preserve">December </w:t>
      </w:r>
      <w:r w:rsidRPr="00F05AFE">
        <w:rPr>
          <w:szCs w:val="22"/>
        </w:rPr>
        <w:t xml:space="preserve">2014 and </w:t>
      </w:r>
      <w:r w:rsidR="009D09C9">
        <w:rPr>
          <w:szCs w:val="22"/>
        </w:rPr>
        <w:t xml:space="preserve">March </w:t>
      </w:r>
      <w:r w:rsidRPr="00F05AFE">
        <w:rPr>
          <w:szCs w:val="22"/>
        </w:rPr>
        <w:t xml:space="preserve">2020, </w:t>
      </w:r>
      <w:r w:rsidRPr="00F05AFE">
        <w:rPr>
          <w:szCs w:val="22"/>
        </w:rPr>
        <w:t>Slopeside</w:t>
      </w:r>
      <w:r w:rsidRPr="00F05AFE">
        <w:rPr>
          <w:szCs w:val="22"/>
        </w:rPr>
        <w:t xml:space="preserve"> made nine Form 477 filings that were between one day and over three months late.</w:t>
      </w:r>
      <w:r>
        <w:rPr>
          <w:rStyle w:val="FootnoteReference"/>
          <w:bCs/>
          <w:sz w:val="22"/>
          <w:szCs w:val="22"/>
        </w:rPr>
        <w:footnoteReference w:id="13"/>
      </w:r>
      <w:r>
        <w:rPr>
          <w:szCs w:val="22"/>
        </w:rPr>
        <w:t xml:space="preserve">  </w:t>
      </w:r>
      <w:r w:rsidRPr="00F05AFE">
        <w:rPr>
          <w:szCs w:val="22"/>
        </w:rPr>
        <w:t xml:space="preserve">Most recently, </w:t>
      </w:r>
      <w:r w:rsidRPr="00F05AFE">
        <w:rPr>
          <w:szCs w:val="22"/>
        </w:rPr>
        <w:t>Slopeside</w:t>
      </w:r>
      <w:r w:rsidRPr="004D73E2">
        <w:rPr>
          <w:szCs w:val="22"/>
        </w:rPr>
        <w:t>’s</w:t>
      </w:r>
      <w:r w:rsidRPr="004D73E2">
        <w:rPr>
          <w:szCs w:val="22"/>
        </w:rPr>
        <w:t xml:space="preserve"> </w:t>
      </w:r>
      <w:r w:rsidRPr="00957D00">
        <w:rPr>
          <w:szCs w:val="22"/>
        </w:rPr>
        <w:t>Form 477</w:t>
      </w:r>
      <w:r w:rsidRPr="00F05AFE">
        <w:rPr>
          <w:szCs w:val="22"/>
        </w:rPr>
        <w:t xml:space="preserve"> that was due on </w:t>
      </w:r>
      <w:r w:rsidRPr="00F05AFE">
        <w:rPr>
          <w:szCs w:val="22"/>
        </w:rPr>
        <w:t>March 2, 2020 was filed on March</w:t>
      </w:r>
      <w:r>
        <w:rPr>
          <w:szCs w:val="22"/>
        </w:rPr>
        <w:t xml:space="preserve"> 13, 2020.</w:t>
      </w:r>
      <w:r>
        <w:rPr>
          <w:rStyle w:val="FootnoteReference"/>
          <w:szCs w:val="22"/>
        </w:rPr>
        <w:footnoteReference w:id="14"/>
      </w:r>
      <w:r>
        <w:rPr>
          <w:szCs w:val="22"/>
        </w:rPr>
        <w:t xml:space="preserve">  Additionally, </w:t>
      </w:r>
      <w:r w:rsidRPr="002D48D9" w:rsidR="00785D88">
        <w:rPr>
          <w:szCs w:val="22"/>
        </w:rPr>
        <w:t>Slopeside</w:t>
      </w:r>
      <w:r w:rsidRPr="002D48D9" w:rsidR="00394314">
        <w:rPr>
          <w:szCs w:val="22"/>
        </w:rPr>
        <w:t xml:space="preserve"> </w:t>
      </w:r>
      <w:r w:rsidRPr="002D48D9" w:rsidR="006A1273">
        <w:rPr>
          <w:szCs w:val="22"/>
        </w:rPr>
        <w:t xml:space="preserve">failed to file its Form 477 that was </w:t>
      </w:r>
      <w:r w:rsidRPr="00737D08" w:rsidR="006A1273">
        <w:rPr>
          <w:szCs w:val="22"/>
        </w:rPr>
        <w:t>due on Septe</w:t>
      </w:r>
      <w:r w:rsidRPr="004C289C" w:rsidR="006A1273">
        <w:rPr>
          <w:szCs w:val="22"/>
        </w:rPr>
        <w:t>mber 1, 202</w:t>
      </w:r>
      <w:r w:rsidRPr="004C289C" w:rsidR="00F05AFE">
        <w:rPr>
          <w:szCs w:val="22"/>
        </w:rPr>
        <w:t>0</w:t>
      </w:r>
      <w:r w:rsidRPr="0017259E" w:rsidR="006A1273">
        <w:rPr>
          <w:szCs w:val="22"/>
        </w:rPr>
        <w:t xml:space="preserve">.  </w:t>
      </w:r>
      <w:r w:rsidRPr="00842790" w:rsidR="00F05AFE">
        <w:rPr>
          <w:szCs w:val="22"/>
        </w:rPr>
        <w:t xml:space="preserve">In response to a late notice from the Commission concerning the missing September 2020 filing, </w:t>
      </w:r>
      <w:r w:rsidRPr="00842790" w:rsidR="00F05AFE">
        <w:rPr>
          <w:szCs w:val="22"/>
        </w:rPr>
        <w:t>Slopeside</w:t>
      </w:r>
      <w:r w:rsidRPr="00842790" w:rsidR="00F05AFE">
        <w:rPr>
          <w:szCs w:val="22"/>
        </w:rPr>
        <w:t xml:space="preserve"> stated that it intended to make the required filing at some future unspecified date.</w:t>
      </w:r>
      <w:r>
        <w:rPr>
          <w:rStyle w:val="FootnoteReference"/>
          <w:sz w:val="22"/>
          <w:szCs w:val="22"/>
        </w:rPr>
        <w:footnoteReference w:id="15"/>
      </w:r>
      <w:r w:rsidRPr="00842790" w:rsidR="00F05AFE">
        <w:rPr>
          <w:szCs w:val="22"/>
        </w:rPr>
        <w:t xml:space="preserve">  No such filing has yet been made.</w:t>
      </w:r>
      <w:r w:rsidRPr="00F05AFE" w:rsidR="00F05AFE">
        <w:rPr>
          <w:szCs w:val="22"/>
        </w:rPr>
        <w:t xml:space="preserve"> </w:t>
      </w:r>
    </w:p>
    <w:bookmarkEnd w:id="6"/>
    <w:p w:rsidR="0019289F" w:rsidRPr="00F77790" w:rsidP="00F15F4C" w14:paraId="5F4AECD4" w14:textId="77777777">
      <w:pPr>
        <w:pStyle w:val="Heading1"/>
        <w:widowControl/>
      </w:pPr>
      <w:r>
        <w:t>DISCUSSION</w:t>
      </w:r>
    </w:p>
    <w:p w:rsidR="00065305" w:rsidP="00F15F4C" w14:paraId="586C66FE" w14:textId="2871E1B5">
      <w:pPr>
        <w:pStyle w:val="ParaNum"/>
        <w:widowControl/>
      </w:pPr>
      <w:r>
        <w:t>Violations of the FCC Form 477 filing requirements are significant because FCC Form 477 is a critical fact-gathering instrument that informs the Commission’s efforts to advance broadband availability.  Moreover, in many instances service providers submitting FCC Form 477 data have the best, if not the only, reliable data about where their facilities are located and which areas they can serve.  Timely data is essential to the mission of fostering the availability of broadband service</w:t>
      </w:r>
      <w:r w:rsidR="00C20E85">
        <w:t xml:space="preserve">s across the United </w:t>
      </w:r>
      <w:r w:rsidR="00C20E85">
        <w:t>States, and</w:t>
      </w:r>
      <w:r w:rsidR="00C20E85">
        <w:t xml:space="preserve"> failing to provide it materially impairs the Commission’s ability to assess broadband deployment and to measure the subscribership upon which Commission policy is based. </w:t>
      </w:r>
      <w:r w:rsidRPr="00AF05F1" w:rsidR="00AF05F1">
        <w:t xml:space="preserve"> </w:t>
      </w:r>
    </w:p>
    <w:p w:rsidR="006C3872" w:rsidRPr="00AF6125" w:rsidP="00F15F4C" w14:paraId="33EC97F3" w14:textId="7AA8E15D">
      <w:pPr>
        <w:pStyle w:val="Heading2"/>
        <w:widowControl/>
      </w:pPr>
      <w:r>
        <w:t>Slopeside</w:t>
      </w:r>
      <w:r>
        <w:t xml:space="preserve"> Apparently Violated Sections 1.7001 and 1.7002 of the Commission’s Rules</w:t>
      </w:r>
    </w:p>
    <w:p w:rsidR="00737D08" w:rsidRPr="00AF05F1" w:rsidP="00737D08" w14:paraId="7246CC6C" w14:textId="0B72D288">
      <w:pPr>
        <w:pStyle w:val="ParaNum"/>
      </w:pPr>
      <w:r w:rsidRPr="00AF05F1">
        <w:t xml:space="preserve">We conclude that </w:t>
      </w:r>
      <w:r w:rsidR="00785D88">
        <w:t>Slopeside</w:t>
      </w:r>
      <w:r w:rsidRPr="00AF05F1">
        <w:t xml:space="preserve"> apparently violated </w:t>
      </w:r>
      <w:r w:rsidR="00FC2E56">
        <w:t>s</w:t>
      </w:r>
      <w:r w:rsidRPr="00AF05F1">
        <w:t>ection</w:t>
      </w:r>
      <w:r w:rsidR="006C3872">
        <w:t>s</w:t>
      </w:r>
      <w:r w:rsidRPr="00AF05F1">
        <w:t xml:space="preserve"> 1.7001 and 1.7002 of the </w:t>
      </w:r>
      <w:r w:rsidR="005E28D2">
        <w:t>Commission’s rules</w:t>
      </w:r>
      <w:r w:rsidR="00C677E7">
        <w:t xml:space="preserve"> </w:t>
      </w:r>
      <w:r w:rsidRPr="00AF05F1">
        <w:t xml:space="preserve">by failing to timely file </w:t>
      </w:r>
      <w:bookmarkStart w:id="9" w:name="_Hlk57636635"/>
      <w:r w:rsidR="009640F4">
        <w:t>nine</w:t>
      </w:r>
      <w:r w:rsidR="00617CE8">
        <w:t xml:space="preserve"> </w:t>
      </w:r>
      <w:r w:rsidRPr="00AF05F1">
        <w:t>Form</w:t>
      </w:r>
      <w:r w:rsidR="009640F4">
        <w:t>s</w:t>
      </w:r>
      <w:r w:rsidRPr="00AF05F1">
        <w:t xml:space="preserve"> 477</w:t>
      </w:r>
      <w:r w:rsidR="0062635F">
        <w:t>, which</w:t>
      </w:r>
      <w:r w:rsidR="00805E8E">
        <w:t xml:space="preserve"> were </w:t>
      </w:r>
      <w:r w:rsidRPr="00AF05F1">
        <w:t>due</w:t>
      </w:r>
      <w:r w:rsidR="005C0D52">
        <w:t xml:space="preserve"> between December 11, 2014 and March 2,</w:t>
      </w:r>
      <w:r w:rsidR="00295C88">
        <w:t xml:space="preserve"> 202</w:t>
      </w:r>
      <w:r w:rsidR="00E51E0B">
        <w:t>0,</w:t>
      </w:r>
      <w:bookmarkEnd w:id="9"/>
      <w:r>
        <w:rPr>
          <w:rStyle w:val="FootnoteReference"/>
          <w:szCs w:val="22"/>
        </w:rPr>
        <w:footnoteReference w:id="16"/>
      </w:r>
      <w:r w:rsidR="005C0D52">
        <w:t xml:space="preserve"> </w:t>
      </w:r>
      <w:r w:rsidR="00E51E0B">
        <w:t>and by failing to make the</w:t>
      </w:r>
      <w:r w:rsidR="008C62F9">
        <w:t xml:space="preserve"> required</w:t>
      </w:r>
      <w:r w:rsidR="00E51E0B">
        <w:t xml:space="preserve"> Form 477 filing that was due on September 1, 2020</w:t>
      </w:r>
      <w:r w:rsidR="005C0D52">
        <w:t>.</w:t>
      </w:r>
    </w:p>
    <w:p w:rsidR="00343CEE" w:rsidP="0054651C" w14:paraId="1AEF941D" w14:textId="44459D38">
      <w:pPr>
        <w:pStyle w:val="ParaNum"/>
      </w:pPr>
      <w:r>
        <w:t xml:space="preserve">Even though </w:t>
      </w:r>
      <w:r w:rsidR="00785D88">
        <w:t>Slopeside</w:t>
      </w:r>
      <w:r>
        <w:t xml:space="preserve"> ha</w:t>
      </w:r>
      <w:r w:rsidR="008C3819">
        <w:t>s</w:t>
      </w:r>
      <w:r>
        <w:t xml:space="preserve"> been providing facilities-based broadband service to end users </w:t>
      </w:r>
      <w:r w:rsidR="00F91232">
        <w:t>since at least June 2014</w:t>
      </w:r>
      <w:r w:rsidR="00287C8F">
        <w:t>,</w:t>
      </w:r>
      <w:r>
        <w:rPr>
          <w:rStyle w:val="FootnoteReference"/>
        </w:rPr>
        <w:footnoteReference w:id="17"/>
      </w:r>
      <w:r w:rsidR="00F91232">
        <w:t xml:space="preserve"> </w:t>
      </w:r>
      <w:r>
        <w:t>and</w:t>
      </w:r>
      <w:r w:rsidR="00CB7DE1">
        <w:t xml:space="preserve"> therefore </w:t>
      </w:r>
      <w:r w:rsidR="0062635F">
        <w:t>h</w:t>
      </w:r>
      <w:r w:rsidR="009A5B8B">
        <w:t xml:space="preserve">as </w:t>
      </w:r>
      <w:r w:rsidR="0062635F">
        <w:t xml:space="preserve">been </w:t>
      </w:r>
      <w:r>
        <w:t>required</w:t>
      </w:r>
      <w:r w:rsidR="0062635F">
        <w:t xml:space="preserve"> to</w:t>
      </w:r>
      <w:r w:rsidR="00F91232">
        <w:t xml:space="preserve"> timely</w:t>
      </w:r>
      <w:r>
        <w:t xml:space="preserve"> </w:t>
      </w:r>
      <w:r w:rsidR="00AB6806">
        <w:t xml:space="preserve">file </w:t>
      </w:r>
      <w:r w:rsidRPr="00136D9E">
        <w:t>FCC Form</w:t>
      </w:r>
      <w:r w:rsidR="009D09C9">
        <w:t>s</w:t>
      </w:r>
      <w:r w:rsidRPr="00136D9E">
        <w:t xml:space="preserve"> 477</w:t>
      </w:r>
      <w:r w:rsidR="00AB6806">
        <w:t xml:space="preserve"> </w:t>
      </w:r>
      <w:r w:rsidR="0062635F">
        <w:t xml:space="preserve">twice every year </w:t>
      </w:r>
      <w:r w:rsidR="00CB7DE1">
        <w:t>for at least</w:t>
      </w:r>
      <w:r w:rsidR="005C0D52">
        <w:t xml:space="preserve"> six </w:t>
      </w:r>
      <w:r w:rsidR="00986D87">
        <w:t>years</w:t>
      </w:r>
      <w:r w:rsidRPr="00136D9E" w:rsidR="00AB6806">
        <w:t>,</w:t>
      </w:r>
      <w:r>
        <w:rPr>
          <w:rStyle w:val="FootnoteReference"/>
          <w:sz w:val="22"/>
          <w:szCs w:val="22"/>
        </w:rPr>
        <w:footnoteReference w:id="18"/>
      </w:r>
      <w:r w:rsidRPr="00136D9E">
        <w:t xml:space="preserve"> </w:t>
      </w:r>
      <w:r w:rsidR="009A5B8B">
        <w:t>it</w:t>
      </w:r>
      <w:r w:rsidR="005E28D2">
        <w:t xml:space="preserve"> </w:t>
      </w:r>
      <w:r w:rsidRPr="004C289C" w:rsidR="00F91232">
        <w:rPr>
          <w:szCs w:val="22"/>
        </w:rPr>
        <w:t xml:space="preserve">has a pattern of tardy </w:t>
      </w:r>
      <w:r w:rsidRPr="0017259E" w:rsidR="00F91232">
        <w:rPr>
          <w:szCs w:val="22"/>
        </w:rPr>
        <w:t>filings.</w:t>
      </w:r>
      <w:r w:rsidRPr="0054651C" w:rsidR="00F91232">
        <w:rPr>
          <w:szCs w:val="22"/>
        </w:rPr>
        <w:t xml:space="preserve">  Specifically, between 2014 and 2020, </w:t>
      </w:r>
      <w:r w:rsidRPr="0054651C" w:rsidR="00F91232">
        <w:rPr>
          <w:szCs w:val="22"/>
        </w:rPr>
        <w:t>Slopeside</w:t>
      </w:r>
      <w:r w:rsidRPr="008F3937" w:rsidR="008C62F9">
        <w:rPr>
          <w:szCs w:val="22"/>
        </w:rPr>
        <w:t xml:space="preserve"> apparently</w:t>
      </w:r>
      <w:r w:rsidRPr="00737D08" w:rsidR="00F91232">
        <w:rPr>
          <w:szCs w:val="22"/>
        </w:rPr>
        <w:t xml:space="preserve"> made nine Form 477 filings that were between one day and over three months late.</w:t>
      </w:r>
      <w:r>
        <w:rPr>
          <w:rStyle w:val="FootnoteReference"/>
          <w:szCs w:val="22"/>
        </w:rPr>
        <w:footnoteReference w:id="19"/>
      </w:r>
      <w:r w:rsidRPr="004C289C" w:rsidR="00F91232">
        <w:rPr>
          <w:szCs w:val="22"/>
        </w:rPr>
        <w:t xml:space="preserve"> </w:t>
      </w:r>
      <w:r w:rsidR="00737D08">
        <w:rPr>
          <w:szCs w:val="22"/>
        </w:rPr>
        <w:t xml:space="preserve"> </w:t>
      </w:r>
      <w:r w:rsidRPr="004C289C" w:rsidR="00F91232">
        <w:rPr>
          <w:szCs w:val="22"/>
        </w:rPr>
        <w:t xml:space="preserve">Most recently, </w:t>
      </w:r>
      <w:r w:rsidRPr="004C289C" w:rsidR="00F91232">
        <w:rPr>
          <w:szCs w:val="22"/>
        </w:rPr>
        <w:t>Slopeside’s</w:t>
      </w:r>
      <w:r w:rsidRPr="004C289C" w:rsidR="00F91232">
        <w:rPr>
          <w:szCs w:val="22"/>
        </w:rPr>
        <w:t xml:space="preserve"> </w:t>
      </w:r>
      <w:r w:rsidRPr="0054651C" w:rsidR="00F91232">
        <w:rPr>
          <w:szCs w:val="22"/>
        </w:rPr>
        <w:t>Form 477 that was due on March 2, 202</w:t>
      </w:r>
      <w:r w:rsidRPr="00737D08" w:rsidR="00F91232">
        <w:rPr>
          <w:szCs w:val="22"/>
        </w:rPr>
        <w:t>0 was filed on March 13, 2020.</w:t>
      </w:r>
      <w:r>
        <w:rPr>
          <w:rStyle w:val="FootnoteReference"/>
          <w:szCs w:val="22"/>
        </w:rPr>
        <w:footnoteReference w:id="20"/>
      </w:r>
      <w:r w:rsidRPr="004C289C" w:rsidR="00F91232">
        <w:rPr>
          <w:szCs w:val="22"/>
        </w:rPr>
        <w:t xml:space="preserve">  </w:t>
      </w:r>
      <w:r w:rsidRPr="004C289C" w:rsidR="008C62F9">
        <w:rPr>
          <w:szCs w:val="22"/>
        </w:rPr>
        <w:t xml:space="preserve">Further, </w:t>
      </w:r>
      <w:r w:rsidRPr="004C289C" w:rsidR="008C62F9">
        <w:rPr>
          <w:szCs w:val="22"/>
        </w:rPr>
        <w:t>Slopeside</w:t>
      </w:r>
      <w:r w:rsidRPr="004C289C" w:rsidR="008C62F9">
        <w:rPr>
          <w:szCs w:val="22"/>
        </w:rPr>
        <w:t xml:space="preserve"> </w:t>
      </w:r>
      <w:r w:rsidRPr="0054651C" w:rsidR="008C62F9">
        <w:rPr>
          <w:szCs w:val="22"/>
        </w:rPr>
        <w:t xml:space="preserve">apparently </w:t>
      </w:r>
      <w:r w:rsidR="009D09C9">
        <w:t xml:space="preserve">failed to file its Form 477 data </w:t>
      </w:r>
      <w:r w:rsidR="008C62F9">
        <w:t xml:space="preserve">that was due on </w:t>
      </w:r>
      <w:r w:rsidR="009D09C9">
        <w:t xml:space="preserve">September 1, 2020.  </w:t>
      </w:r>
      <w:r w:rsidR="00517806">
        <w:t>Of these</w:t>
      </w:r>
      <w:r w:rsidR="008C62F9">
        <w:t xml:space="preserve"> violations</w:t>
      </w:r>
      <w:r w:rsidR="00517806">
        <w:t>, only the</w:t>
      </w:r>
      <w:r w:rsidR="008C62F9">
        <w:t xml:space="preserve"> late</w:t>
      </w:r>
      <w:r w:rsidR="004E0870">
        <w:t xml:space="preserve"> filing due on March 2, 2020</w:t>
      </w:r>
      <w:r w:rsidR="006713FA">
        <w:t xml:space="preserve"> and </w:t>
      </w:r>
      <w:r w:rsidR="00737D08">
        <w:t xml:space="preserve">the missed filing due on </w:t>
      </w:r>
      <w:r w:rsidR="006713FA">
        <w:t>September 1, 2020 are</w:t>
      </w:r>
      <w:r w:rsidR="006713FA">
        <w:t xml:space="preserve"> </w:t>
      </w:r>
      <w:r w:rsidR="004E0870">
        <w:t>within our one-year statute of limitations</w:t>
      </w:r>
      <w:r w:rsidR="00680A63">
        <w:t xml:space="preserve"> for proposing a forfeiture</w:t>
      </w:r>
      <w:r w:rsidR="004E0870">
        <w:t>.</w:t>
      </w:r>
      <w:r>
        <w:rPr>
          <w:rStyle w:val="FootnoteReference"/>
          <w:szCs w:val="22"/>
        </w:rPr>
        <w:footnoteReference w:id="21"/>
      </w:r>
      <w:r w:rsidR="004E0870">
        <w:t xml:space="preserve">  </w:t>
      </w:r>
      <w:r w:rsidRPr="004C289C" w:rsidR="004E4F60">
        <w:rPr>
          <w:highlight w:val="yellow"/>
        </w:rPr>
        <w:t xml:space="preserve"> </w:t>
      </w:r>
    </w:p>
    <w:p w:rsidR="002A055D" w:rsidRPr="003436FD" w:rsidP="00F15F4C" w14:paraId="7411DAB9" w14:textId="77777777">
      <w:pPr>
        <w:pStyle w:val="Heading2"/>
        <w:widowControl/>
        <w:rPr>
          <w:rFonts w:eastAsiaTheme="minorEastAsia"/>
          <w:bCs/>
        </w:rPr>
      </w:pPr>
      <w:r w:rsidRPr="006900A1">
        <w:t>Proposed Forfeiture</w:t>
      </w:r>
    </w:p>
    <w:p w:rsidR="00024110" w:rsidP="00F15F4C" w14:paraId="6C00E244" w14:textId="5FCB21AE">
      <w:pPr>
        <w:pStyle w:val="ParaNum"/>
        <w:widowControl/>
        <w:rPr>
          <w:bCs/>
          <w:szCs w:val="22"/>
        </w:rPr>
      </w:pPr>
      <w:r>
        <w:rPr>
          <w:bCs/>
        </w:rPr>
        <w:t>Section 503(b) of the Act authorizes the Commission to impose a forfeiture against any entity that “willfully or repeatedly fail[s] to comply with any of the provisions of the [Act] or of any rule, regulation, or order issued by the Commission.”</w:t>
      </w:r>
      <w:r>
        <w:rPr>
          <w:rStyle w:val="FootnoteReference"/>
          <w:bCs/>
        </w:rPr>
        <w:footnoteReference w:id="22"/>
      </w:r>
      <w:r>
        <w:rPr>
          <w:bCs/>
        </w:rPr>
        <w:t xml:space="preserve">  For the</w:t>
      </w:r>
      <w:r w:rsidR="00FD275F">
        <w:rPr>
          <w:bCs/>
        </w:rPr>
        <w:t xml:space="preserve"> type of</w:t>
      </w:r>
      <w:r>
        <w:rPr>
          <w:bCs/>
        </w:rPr>
        <w:t xml:space="preserve"> violation</w:t>
      </w:r>
      <w:r w:rsidR="002A7074">
        <w:rPr>
          <w:bCs/>
        </w:rPr>
        <w:t xml:space="preserve"> at issue</w:t>
      </w:r>
      <w:r>
        <w:rPr>
          <w:bCs/>
        </w:rPr>
        <w:t xml:space="preserve"> here, </w:t>
      </w:r>
      <w:r w:rsidR="00FC2E56">
        <w:rPr>
          <w:bCs/>
        </w:rPr>
        <w:t>s</w:t>
      </w:r>
      <w:r>
        <w:rPr>
          <w:bCs/>
        </w:rPr>
        <w:t xml:space="preserve">ection 503(b)(2)(D) of the Act authorizes us to assess a forfeiture of up to </w:t>
      </w:r>
      <w:r w:rsidR="00D87562">
        <w:rPr>
          <w:bCs/>
        </w:rPr>
        <w:t xml:space="preserve">$20,731 </w:t>
      </w:r>
      <w:r w:rsidR="00FD275F">
        <w:rPr>
          <w:bCs/>
        </w:rPr>
        <w:t>for each violation or each day of a continuing violation, up to a statutory maximum of</w:t>
      </w:r>
      <w:r w:rsidR="00D87562">
        <w:rPr>
          <w:bCs/>
        </w:rPr>
        <w:t xml:space="preserve"> $155,485 </w:t>
      </w:r>
      <w:r w:rsidR="00FD275F">
        <w:rPr>
          <w:bCs/>
        </w:rPr>
        <w:t>for a single act or failure to act</w:t>
      </w:r>
      <w:r>
        <w:rPr>
          <w:bCs/>
        </w:rPr>
        <w:t>.</w:t>
      </w:r>
      <w:r>
        <w:rPr>
          <w:rStyle w:val="FootnoteReference"/>
          <w:bCs/>
        </w:rPr>
        <w:footnoteReference w:id="23"/>
      </w:r>
      <w:r w:rsidR="008B4259">
        <w:rPr>
          <w:bCs/>
        </w:rPr>
        <w:t xml:space="preserve"> </w:t>
      </w:r>
      <w:r>
        <w:rPr>
          <w:bCs/>
        </w:rPr>
        <w:t xml:space="preserve"> </w:t>
      </w:r>
      <w:r w:rsidRPr="00FD275F" w:rsidR="00FD275F">
        <w:rPr>
          <w:bCs/>
          <w:szCs w:val="22"/>
        </w:rPr>
        <w:t>In exercising our forfeiture authority, we must consider the “nature, circumstance</w:t>
      </w:r>
      <w:r w:rsidR="00FD541D">
        <w:rPr>
          <w:bCs/>
          <w:szCs w:val="22"/>
        </w:rPr>
        <w:t>s</w:t>
      </w:r>
      <w:r w:rsidRPr="00FD275F" w:rsidR="00FD275F">
        <w:rPr>
          <w:bCs/>
          <w:szCs w:val="22"/>
        </w:rPr>
        <w:t xml:space="preserve">, extent, and gravity of the violation and, with respect to the violator, the degree of culpability, any history of prior offenses, ability to pay, and </w:t>
      </w:r>
      <w:r w:rsidR="00FD541D">
        <w:rPr>
          <w:bCs/>
          <w:szCs w:val="22"/>
        </w:rPr>
        <w:t xml:space="preserve">such </w:t>
      </w:r>
      <w:r w:rsidRPr="00FD275F" w:rsidR="00FD275F">
        <w:rPr>
          <w:bCs/>
          <w:szCs w:val="22"/>
        </w:rPr>
        <w:t>other matters as justice may require</w:t>
      </w:r>
      <w:r w:rsidRPr="00896653" w:rsidR="00FD275F">
        <w:rPr>
          <w:bCs/>
          <w:szCs w:val="22"/>
        </w:rPr>
        <w:t>.</w:t>
      </w:r>
      <w:r w:rsidR="000A6C35">
        <w:rPr>
          <w:bCs/>
          <w:szCs w:val="22"/>
        </w:rPr>
        <w:t>”</w:t>
      </w:r>
      <w:r>
        <w:rPr>
          <w:kern w:val="0"/>
          <w:szCs w:val="22"/>
          <w:vertAlign w:val="superscript"/>
        </w:rPr>
        <w:footnoteReference w:id="24"/>
      </w:r>
      <w:r>
        <w:rPr>
          <w:bCs/>
          <w:szCs w:val="22"/>
        </w:rPr>
        <w:t xml:space="preserve">  </w:t>
      </w:r>
    </w:p>
    <w:p w:rsidR="00024110" w:rsidP="00F15F4C" w14:paraId="78F53CAA" w14:textId="1E85D053">
      <w:pPr>
        <w:pStyle w:val="ParaNum"/>
        <w:widowControl/>
        <w:rPr>
          <w:bCs/>
          <w:szCs w:val="22"/>
        </w:rPr>
      </w:pPr>
      <w:r>
        <w:rPr>
          <w:bCs/>
          <w:szCs w:val="22"/>
        </w:rPr>
        <w:t xml:space="preserve">In addition, the Commission </w:t>
      </w:r>
      <w:r w:rsidRPr="00024110">
        <w:rPr>
          <w:bCs/>
          <w:szCs w:val="22"/>
        </w:rPr>
        <w:t>has established forfeiture guidelines that establish base penalties for certain violations and identify criteria that we consider when determining the appropriate penalty in any given case.</w:t>
      </w:r>
      <w:r>
        <w:rPr>
          <w:kern w:val="0"/>
          <w:vertAlign w:val="superscript"/>
        </w:rPr>
        <w:footnoteReference w:id="25"/>
      </w:r>
      <w:r>
        <w:rPr>
          <w:bCs/>
          <w:szCs w:val="22"/>
        </w:rPr>
        <w:t xml:space="preserve">  </w:t>
      </w:r>
      <w:r>
        <w:t xml:space="preserve">Section 1.80(b) of the Commission’s rules establishes a base forfeiture of $3,000 for failure to file a required form or information, for each violation or each day of a continuing violation.  </w:t>
      </w:r>
      <w:r w:rsidRPr="007B4335" w:rsidR="007B4335">
        <w:t>We have discretion, however</w:t>
      </w:r>
      <w:r w:rsidR="00EC46E7">
        <w:t>,</w:t>
      </w:r>
      <w:r w:rsidRPr="007B4335" w:rsidR="007B4335">
        <w:t xml:space="preserve"> to depart from these guidelines, </w:t>
      </w:r>
      <w:r w:rsidRPr="007B4335" w:rsidR="007B4335">
        <w:t>taking into account</w:t>
      </w:r>
      <w:r w:rsidRPr="007B4335" w:rsidR="007B4335">
        <w:t xml:space="preserve"> the particular facts of each individual case.</w:t>
      </w:r>
      <w:r>
        <w:rPr>
          <w:rStyle w:val="FootnoteReference"/>
        </w:rPr>
        <w:footnoteReference w:id="26"/>
      </w:r>
    </w:p>
    <w:p w:rsidR="001A2A0A" w:rsidRPr="00FE0242" w:rsidP="00F15F4C" w14:paraId="73255099" w14:textId="0C8F2589">
      <w:pPr>
        <w:pStyle w:val="ParaNum"/>
        <w:widowControl/>
        <w:rPr>
          <w:rFonts w:eastAsiaTheme="minorEastAsia"/>
          <w:bCs/>
          <w:kern w:val="0"/>
        </w:rPr>
      </w:pPr>
      <w:r>
        <w:rPr>
          <w:bCs/>
        </w:rPr>
        <w:t>G</w:t>
      </w:r>
      <w:r w:rsidRPr="001621E7" w:rsidR="0044418C">
        <w:t>iven the critical need to ensure accurate broadband services data and the fundamental role that FCC Form 477 data plays in policymaking and broadband subsidy funding decision-making,</w:t>
      </w:r>
      <w:r w:rsidR="00050ECA">
        <w:t xml:space="preserve"> including accurate targeting of such subsidies only to areas in need of them,</w:t>
      </w:r>
      <w:r w:rsidRPr="001621E7" w:rsidR="0044418C">
        <w:t xml:space="preserve"> violations of FCC Form 477 filing obligations are especially serious.</w:t>
      </w:r>
      <w:r>
        <w:rPr>
          <w:rStyle w:val="FootnoteReference"/>
        </w:rPr>
        <w:footnoteReference w:id="27"/>
      </w:r>
      <w:r w:rsidRPr="001621E7" w:rsidR="0044418C">
        <w:t xml:space="preserve">  Here, </w:t>
      </w:r>
      <w:r w:rsidR="00785D88">
        <w:t>Slopeside</w:t>
      </w:r>
      <w:r w:rsidRPr="001621E7" w:rsidR="0044418C">
        <w:t xml:space="preserve"> </w:t>
      </w:r>
      <w:r w:rsidR="005E28D2">
        <w:t xml:space="preserve">apparently </w:t>
      </w:r>
      <w:r w:rsidRPr="001621E7" w:rsidR="0044418C">
        <w:t>has</w:t>
      </w:r>
      <w:r w:rsidRPr="001621E7" w:rsidR="00F816D0">
        <w:t xml:space="preserve"> </w:t>
      </w:r>
      <w:r w:rsidRPr="001621E7" w:rsidR="0044418C">
        <w:t xml:space="preserve">missed </w:t>
      </w:r>
      <w:r w:rsidR="00BF7910">
        <w:t>one</w:t>
      </w:r>
      <w:r w:rsidR="001D643A">
        <w:t xml:space="preserve"> </w:t>
      </w:r>
      <w:r w:rsidRPr="001621E7" w:rsidR="0044418C">
        <w:t>filin</w:t>
      </w:r>
      <w:r w:rsidR="002E604E">
        <w:t xml:space="preserve">g </w:t>
      </w:r>
      <w:r w:rsidR="00986D87">
        <w:t xml:space="preserve">and </w:t>
      </w:r>
      <w:r w:rsidR="00BF7910">
        <w:t xml:space="preserve">late filed nine Forms 477 between </w:t>
      </w:r>
      <w:r w:rsidRPr="004F0E95" w:rsidR="004F0E95">
        <w:t>December</w:t>
      </w:r>
      <w:r w:rsidRPr="004F0E95" w:rsidR="00BF7910">
        <w:t xml:space="preserve"> 2014 and March 2020</w:t>
      </w:r>
      <w:r w:rsidRPr="004F0E95" w:rsidR="00FE0242">
        <w:t>.</w:t>
      </w:r>
      <w:r>
        <w:rPr>
          <w:rStyle w:val="FootnoteReference"/>
        </w:rPr>
        <w:footnoteReference w:id="28"/>
      </w:r>
      <w:r w:rsidR="00AF486D">
        <w:t xml:space="preserve">  </w:t>
      </w:r>
      <w:r w:rsidR="00073E23">
        <w:t xml:space="preserve">All ten are violations of our rules.  </w:t>
      </w:r>
      <w:r w:rsidRPr="001621E7" w:rsidR="00AF486D">
        <w:t>Even though the statute of limitations</w:t>
      </w:r>
      <w:r w:rsidR="00AF486D">
        <w:t xml:space="preserve"> for assessing a forfeiture</w:t>
      </w:r>
      <w:r w:rsidRPr="001621E7" w:rsidR="00AF486D">
        <w:t xml:space="preserve"> has run</w:t>
      </w:r>
      <w:r w:rsidR="00AF486D">
        <w:t xml:space="preserve"> on all but </w:t>
      </w:r>
      <w:r w:rsidR="00905184">
        <w:t>two</w:t>
      </w:r>
      <w:r w:rsidR="00AF486D">
        <w:t xml:space="preserve"> violation</w:t>
      </w:r>
      <w:r w:rsidR="00986D87">
        <w:t>s</w:t>
      </w:r>
      <w:r w:rsidRPr="001621E7" w:rsidR="00AF486D">
        <w:t>,</w:t>
      </w:r>
      <w:r>
        <w:rPr>
          <w:rStyle w:val="FootnoteReference"/>
        </w:rPr>
        <w:footnoteReference w:id="29"/>
      </w:r>
      <w:r w:rsidRPr="001621E7" w:rsidR="00AF486D">
        <w:t xml:space="preserve"> this is compelling evidence of a history of</w:t>
      </w:r>
      <w:r w:rsidR="00AF486D">
        <w:t xml:space="preserve"> disregard for the Commission’s filing requirements</w:t>
      </w:r>
      <w:r w:rsidRPr="001621E7" w:rsidR="00AF486D">
        <w:t>.</w:t>
      </w:r>
      <w:r w:rsidR="00AF486D">
        <w:t xml:space="preserve">  </w:t>
      </w:r>
    </w:p>
    <w:p w:rsidR="00AF05F1" w:rsidRPr="00542635" w:rsidP="00F15F4C" w14:paraId="7991EDBF" w14:textId="0BD0F456">
      <w:pPr>
        <w:pStyle w:val="ParaNum"/>
        <w:widowControl/>
        <w:rPr>
          <w:rFonts w:eastAsiaTheme="minorEastAsia"/>
          <w:bCs/>
          <w:kern w:val="0"/>
        </w:rPr>
      </w:pPr>
      <w:r w:rsidRPr="001621E7">
        <w:t xml:space="preserve"> </w:t>
      </w:r>
      <w:r w:rsidRPr="001621E7" w:rsidR="0044418C">
        <w:t xml:space="preserve">Considering that </w:t>
      </w:r>
      <w:r w:rsidR="00785D88">
        <w:t>Slopeside</w:t>
      </w:r>
      <w:r w:rsidRPr="001621E7" w:rsidR="0044418C">
        <w:t xml:space="preserve"> has a</w:t>
      </w:r>
      <w:r w:rsidR="005E28D2">
        <w:t>n apparent</w:t>
      </w:r>
      <w:r w:rsidRPr="001621E7" w:rsidR="0044418C">
        <w:t xml:space="preserve"> history of prior offenses that </w:t>
      </w:r>
      <w:r w:rsidR="001A2A0A">
        <w:t>fall outside</w:t>
      </w:r>
      <w:r w:rsidRPr="001621E7" w:rsidR="0044418C">
        <w:t xml:space="preserve"> the statute of limitations, an upward adjustment </w:t>
      </w:r>
      <w:r w:rsidR="005E28D2">
        <w:t xml:space="preserve">of the </w:t>
      </w:r>
      <w:r w:rsidR="00271B12">
        <w:t xml:space="preserve">$3,000 </w:t>
      </w:r>
      <w:r w:rsidR="005E28D2">
        <w:t xml:space="preserve">base forfeiture </w:t>
      </w:r>
      <w:r w:rsidRPr="001621E7" w:rsidR="0044418C">
        <w:t>is justified.</w:t>
      </w:r>
      <w:r w:rsidRPr="001621E7" w:rsidR="002B3721">
        <w:t xml:space="preserve"> </w:t>
      </w:r>
      <w:r w:rsidRPr="001621E7" w:rsidR="0044418C">
        <w:t xml:space="preserve"> </w:t>
      </w:r>
      <w:r w:rsidRPr="001621E7" w:rsidR="002B3721">
        <w:t xml:space="preserve">As a result of its </w:t>
      </w:r>
      <w:r w:rsidR="00BF7910">
        <w:t>nine</w:t>
      </w:r>
      <w:r w:rsidR="000C2D29">
        <w:t xml:space="preserve"> </w:t>
      </w:r>
      <w:r w:rsidRPr="001621E7" w:rsidR="002B3721">
        <w:t>late</w:t>
      </w:r>
      <w:r w:rsidR="008E3063">
        <w:t>-filed</w:t>
      </w:r>
      <w:r w:rsidRPr="001621E7" w:rsidR="002B3721">
        <w:t xml:space="preserve"> and </w:t>
      </w:r>
      <w:r w:rsidR="00BF7910">
        <w:t>one</w:t>
      </w:r>
      <w:r w:rsidR="00FF3519">
        <w:t xml:space="preserve"> </w:t>
      </w:r>
      <w:r w:rsidRPr="001621E7" w:rsidR="002B3721">
        <w:t>never</w:t>
      </w:r>
      <w:r w:rsidR="008E3063">
        <w:t>-</w:t>
      </w:r>
      <w:r w:rsidRPr="001621E7" w:rsidR="002B3721">
        <w:t xml:space="preserve">filed Forms 477, </w:t>
      </w:r>
      <w:r w:rsidR="00785D88">
        <w:t>Slopeside</w:t>
      </w:r>
      <w:r w:rsidR="001A2A0A">
        <w:t>’s</w:t>
      </w:r>
      <w:r w:rsidRPr="001621E7" w:rsidR="002B3721">
        <w:t xml:space="preserve"> </w:t>
      </w:r>
      <w:r w:rsidRPr="001621E7" w:rsidR="0044418C">
        <w:t>data were</w:t>
      </w:r>
      <w:r w:rsidRPr="001621E7" w:rsidR="002B3721">
        <w:t xml:space="preserve"> not</w:t>
      </w:r>
      <w:r w:rsidRPr="001621E7" w:rsidR="0044418C">
        <w:t xml:space="preserve"> included in Commission reports </w:t>
      </w:r>
      <w:r w:rsidRPr="001621E7" w:rsidR="0044418C">
        <w:t xml:space="preserve">and analysis, </w:t>
      </w:r>
      <w:r w:rsidR="004E2212">
        <w:t xml:space="preserve">which </w:t>
      </w:r>
      <w:r w:rsidRPr="001621E7" w:rsidR="00C506A7">
        <w:t xml:space="preserve">distorted the </w:t>
      </w:r>
      <w:r w:rsidRPr="001621E7" w:rsidR="0044418C">
        <w:t xml:space="preserve">actual </w:t>
      </w:r>
      <w:r w:rsidR="00DA25DA">
        <w:t xml:space="preserve">broadband </w:t>
      </w:r>
      <w:r w:rsidRPr="001621E7" w:rsidR="0044418C">
        <w:t>deployment and subscription figures for the United States.</w:t>
      </w:r>
      <w:r w:rsidRPr="001621E7" w:rsidR="00FA7481">
        <w:t xml:space="preserve">  Thus</w:t>
      </w:r>
      <w:r w:rsidRPr="001621E7" w:rsidR="00C506A7">
        <w:t>,</w:t>
      </w:r>
      <w:r w:rsidRPr="001621E7" w:rsidR="00FA7481">
        <w:t xml:space="preserve"> based on these factors, as well as the gravity of impact that such missing data have on guiding broadband policy and monetary decision-making, we propose</w:t>
      </w:r>
      <w:r w:rsidRPr="001621E7" w:rsidR="00406F90">
        <w:t xml:space="preserve"> an upward adjustment of $</w:t>
      </w:r>
      <w:r w:rsidR="002E7A2F">
        <w:t xml:space="preserve">7,000 </w:t>
      </w:r>
      <w:r w:rsidR="00E2201E">
        <w:t xml:space="preserve">per violation </w:t>
      </w:r>
      <w:r w:rsidRPr="001621E7" w:rsidR="00406F90">
        <w:t xml:space="preserve">for </w:t>
      </w:r>
      <w:r w:rsidR="00785D88">
        <w:t>Slopeside</w:t>
      </w:r>
      <w:r w:rsidRPr="001621E7" w:rsidR="00406F90">
        <w:t>’s</w:t>
      </w:r>
      <w:r w:rsidRPr="001621E7" w:rsidR="00406F90">
        <w:t xml:space="preserve"> apparently late </w:t>
      </w:r>
      <w:r w:rsidR="00261F74">
        <w:t xml:space="preserve">March 2020 and </w:t>
      </w:r>
      <w:r w:rsidR="002E7A2F">
        <w:t xml:space="preserve">never filed </w:t>
      </w:r>
      <w:r w:rsidR="00261F74">
        <w:t xml:space="preserve">September 2020 </w:t>
      </w:r>
      <w:r w:rsidR="002E7A2F">
        <w:t>Forms 477</w:t>
      </w:r>
      <w:r w:rsidR="000977E7">
        <w:t xml:space="preserve">, </w:t>
      </w:r>
      <w:r w:rsidR="000977E7">
        <w:rPr>
          <w:bCs/>
        </w:rPr>
        <w:t xml:space="preserve">which takes into account the circumstances surrounding the </w:t>
      </w:r>
      <w:r w:rsidR="005E28D2">
        <w:rPr>
          <w:bCs/>
        </w:rPr>
        <w:t xml:space="preserve">apparent </w:t>
      </w:r>
      <w:r w:rsidR="000977E7">
        <w:rPr>
          <w:bCs/>
        </w:rPr>
        <w:t>violation</w:t>
      </w:r>
      <w:r w:rsidR="000C2D29">
        <w:rPr>
          <w:bCs/>
        </w:rPr>
        <w:t>s</w:t>
      </w:r>
      <w:r w:rsidR="000977E7">
        <w:rPr>
          <w:bCs/>
        </w:rPr>
        <w:t xml:space="preserve"> and </w:t>
      </w:r>
      <w:r w:rsidR="00785D88">
        <w:rPr>
          <w:bCs/>
        </w:rPr>
        <w:t>Slopeside</w:t>
      </w:r>
      <w:r w:rsidR="000977E7">
        <w:rPr>
          <w:bCs/>
        </w:rPr>
        <w:t>’s</w:t>
      </w:r>
      <w:r w:rsidR="000977E7">
        <w:rPr>
          <w:bCs/>
        </w:rPr>
        <w:t xml:space="preserve"> history of </w:t>
      </w:r>
      <w:r w:rsidR="005E28D2">
        <w:rPr>
          <w:bCs/>
        </w:rPr>
        <w:t xml:space="preserve">apparently </w:t>
      </w:r>
      <w:r w:rsidR="000977E7">
        <w:rPr>
          <w:bCs/>
        </w:rPr>
        <w:t>failing to</w:t>
      </w:r>
      <w:r w:rsidR="007A289B">
        <w:rPr>
          <w:bCs/>
        </w:rPr>
        <w:t xml:space="preserve"> file</w:t>
      </w:r>
      <w:r w:rsidR="002E7A2F">
        <w:rPr>
          <w:bCs/>
        </w:rPr>
        <w:t>,</w:t>
      </w:r>
      <w:r w:rsidR="007A289B">
        <w:rPr>
          <w:bCs/>
        </w:rPr>
        <w:t xml:space="preserve"> and to</w:t>
      </w:r>
      <w:r w:rsidR="000977E7">
        <w:rPr>
          <w:bCs/>
        </w:rPr>
        <w:t xml:space="preserve"> timely file</w:t>
      </w:r>
      <w:r w:rsidR="007A289B">
        <w:rPr>
          <w:bCs/>
        </w:rPr>
        <w:t>,</w:t>
      </w:r>
      <w:r w:rsidR="000977E7">
        <w:rPr>
          <w:bCs/>
        </w:rPr>
        <w:t xml:space="preserve"> Form 477.</w:t>
      </w:r>
      <w:r>
        <w:rPr>
          <w:rStyle w:val="FootnoteReference"/>
          <w:bCs/>
        </w:rPr>
        <w:footnoteReference w:id="30"/>
      </w:r>
      <w:r w:rsidRPr="001621E7" w:rsidR="00F816D0">
        <w:t xml:space="preserve"> </w:t>
      </w:r>
    </w:p>
    <w:p w:rsidR="00E963DB" w:rsidRPr="003436FD" w:rsidP="00F15F4C" w14:paraId="6E5AB571" w14:textId="5752F1DC">
      <w:pPr>
        <w:pStyle w:val="ParaNum"/>
        <w:widowControl/>
      </w:pPr>
      <w:r w:rsidRPr="003436FD">
        <w:t xml:space="preserve">Therefore, after </w:t>
      </w:r>
      <w:r w:rsidRPr="003436FD" w:rsidR="005507DC">
        <w:t xml:space="preserve">applying </w:t>
      </w:r>
      <w:r w:rsidR="00FC2E56">
        <w:t>s</w:t>
      </w:r>
      <w:r w:rsidRPr="003436FD" w:rsidR="005507DC">
        <w:t xml:space="preserve">ection 1.80 of the </w:t>
      </w:r>
      <w:r w:rsidR="00271B12">
        <w:t>Commission’s rules</w:t>
      </w:r>
      <w:r w:rsidR="006F2DAA">
        <w:t>,</w:t>
      </w:r>
      <w:r w:rsidRPr="003436FD" w:rsidR="00271B12">
        <w:t xml:space="preserve"> </w:t>
      </w:r>
      <w:r w:rsidRPr="003436FD" w:rsidR="005507DC">
        <w:t xml:space="preserve">and </w:t>
      </w:r>
      <w:r w:rsidRPr="003436FD">
        <w:t>the statutory factors, we propose a total forfeiture of $</w:t>
      </w:r>
      <w:r w:rsidR="00141540">
        <w:t>20</w:t>
      </w:r>
      <w:r w:rsidR="00261F74">
        <w:t>,</w:t>
      </w:r>
      <w:r w:rsidR="00141540">
        <w:t>0</w:t>
      </w:r>
      <w:r w:rsidR="00261F74">
        <w:t>00</w:t>
      </w:r>
      <w:r w:rsidRPr="003436FD" w:rsidR="00325532">
        <w:t xml:space="preserve">, for which </w:t>
      </w:r>
      <w:r w:rsidR="00785D88">
        <w:t>Slopeside</w:t>
      </w:r>
      <w:r w:rsidRPr="003436FD" w:rsidR="00325532">
        <w:t xml:space="preserve"> is apparently liable.</w:t>
      </w:r>
      <w:r>
        <w:rPr>
          <w:rStyle w:val="FootnoteReference"/>
        </w:rPr>
        <w:footnoteReference w:id="31"/>
      </w:r>
    </w:p>
    <w:p w:rsidR="0019289F" w:rsidRPr="00F77790" w:rsidP="00F15F4C" w14:paraId="28EF9009" w14:textId="77777777">
      <w:pPr>
        <w:pStyle w:val="Heading1"/>
        <w:widowControl/>
      </w:pPr>
      <w:r w:rsidRPr="00CF2CD6">
        <w:t>CONCLUSION</w:t>
      </w:r>
    </w:p>
    <w:p w:rsidR="0019289F" w:rsidRPr="0032445C" w:rsidP="00F15F4C" w14:paraId="097576F9" w14:textId="291C9034">
      <w:pPr>
        <w:pStyle w:val="ParaNum"/>
        <w:widowControl/>
      </w:pPr>
      <w:bookmarkStart w:id="11" w:name="_Hlk56780178"/>
      <w:r w:rsidRPr="00AF05F1">
        <w:t xml:space="preserve">We have determined that </w:t>
      </w:r>
      <w:r w:rsidR="00785D88">
        <w:t>Slopeside</w:t>
      </w:r>
      <w:r w:rsidRPr="00AF05F1">
        <w:t xml:space="preserve"> apparently willfully or repeatedly violated </w:t>
      </w:r>
      <w:r w:rsidR="00FC2E56">
        <w:t>s</w:t>
      </w:r>
      <w:r w:rsidRPr="00AF05F1">
        <w:t xml:space="preserve">ections 1.7001 and 1.7002 of the </w:t>
      </w:r>
      <w:r w:rsidR="00271B12">
        <w:t>Commission’s rules</w:t>
      </w:r>
      <w:r w:rsidRPr="00AF05F1">
        <w:t>.  A</w:t>
      </w:r>
      <w:r w:rsidR="00905A50">
        <w:t>ccordingly</w:t>
      </w:r>
      <w:r w:rsidRPr="00AF05F1">
        <w:t xml:space="preserve">, </w:t>
      </w:r>
      <w:r w:rsidR="00785D88">
        <w:t>Slopeside</w:t>
      </w:r>
      <w:r w:rsidRPr="00AF05F1">
        <w:t xml:space="preserve"> is apparently liable for</w:t>
      </w:r>
      <w:r w:rsidR="00905A50">
        <w:t xml:space="preserve"> a</w:t>
      </w:r>
      <w:r w:rsidRPr="00AF05F1">
        <w:t xml:space="preserve"> $</w:t>
      </w:r>
      <w:r w:rsidR="000729DA">
        <w:t>20</w:t>
      </w:r>
      <w:r w:rsidR="00BF7910">
        <w:t>,</w:t>
      </w:r>
      <w:r w:rsidR="000729DA">
        <w:t>0</w:t>
      </w:r>
      <w:r w:rsidR="00BF7910">
        <w:t>00</w:t>
      </w:r>
      <w:r w:rsidRPr="00AF05F1">
        <w:t xml:space="preserve"> forfeiture. </w:t>
      </w:r>
    </w:p>
    <w:bookmarkEnd w:id="11"/>
    <w:p w:rsidR="0019289F" w:rsidRPr="00F77790" w:rsidP="00F15F4C" w14:paraId="7A61EFCB" w14:textId="77777777">
      <w:pPr>
        <w:pStyle w:val="Heading1"/>
        <w:widowControl/>
      </w:pPr>
      <w:r w:rsidRPr="00CF2CD6">
        <w:t>orDERING CLAUSES</w:t>
      </w:r>
    </w:p>
    <w:p w:rsidR="00AF05F1" w:rsidRPr="00AF05F1" w:rsidP="00F15F4C" w14:paraId="1A392793" w14:textId="1D41D055">
      <w:pPr>
        <w:pStyle w:val="ParaNum"/>
        <w:widowControl/>
      </w:pPr>
      <w:r w:rsidRPr="00AF05F1">
        <w:t xml:space="preserve">Accordingly, </w:t>
      </w:r>
      <w:r w:rsidRPr="00AF05F1">
        <w:rPr>
          <w:b/>
          <w:bCs/>
        </w:rPr>
        <w:t>IT IS ORDERED</w:t>
      </w:r>
      <w:r w:rsidRPr="00AF05F1">
        <w:t xml:space="preserve"> that, pursuant to </w:t>
      </w:r>
      <w:r w:rsidR="00FC2E56">
        <w:t>s</w:t>
      </w:r>
      <w:r w:rsidRPr="00AF05F1">
        <w:t xml:space="preserve">ection 503(b) of the Act and </w:t>
      </w:r>
      <w:r w:rsidR="00FC2E56">
        <w:t>s</w:t>
      </w:r>
      <w:r w:rsidRPr="00AF05F1">
        <w:t>ection 1.80 of the Rules,</w:t>
      </w:r>
      <w:r>
        <w:rPr>
          <w:vertAlign w:val="superscript"/>
        </w:rPr>
        <w:footnoteReference w:id="32"/>
      </w:r>
      <w:r w:rsidR="003240CD">
        <w:t xml:space="preserve"> </w:t>
      </w:r>
      <w:r w:rsidR="00785D88">
        <w:t>Slopeside</w:t>
      </w:r>
      <w:r w:rsidR="00785D88">
        <w:t xml:space="preserve"> Internet, LLC</w:t>
      </w:r>
      <w:r w:rsidR="000975BE">
        <w:t xml:space="preserve"> </w:t>
      </w:r>
      <w:r w:rsidRPr="00AF05F1">
        <w:t xml:space="preserve">is hereby </w:t>
      </w:r>
      <w:r w:rsidRPr="00AF05F1">
        <w:rPr>
          <w:b/>
          <w:bCs/>
        </w:rPr>
        <w:t>NOTIFED</w:t>
      </w:r>
      <w:r w:rsidRPr="00AF05F1">
        <w:rPr>
          <w:b/>
          <w:bCs/>
        </w:rPr>
        <w:t xml:space="preserve"> </w:t>
      </w:r>
      <w:r w:rsidRPr="00AF05F1">
        <w:t xml:space="preserve">of this </w:t>
      </w:r>
      <w:r w:rsidRPr="00AF05F1">
        <w:rPr>
          <w:b/>
          <w:bCs/>
        </w:rPr>
        <w:t>APPARENT LIABILITY FOR FORFEITURE</w:t>
      </w:r>
      <w:r w:rsidRPr="00AF05F1">
        <w:t xml:space="preserve"> in the amount of </w:t>
      </w:r>
      <w:r w:rsidR="0077683A">
        <w:t xml:space="preserve">twenty </w:t>
      </w:r>
      <w:r w:rsidRPr="00AF05F1">
        <w:t>thousand</w:t>
      </w:r>
      <w:r w:rsidR="0077683A">
        <w:t xml:space="preserve"> </w:t>
      </w:r>
      <w:r w:rsidRPr="00AF05F1">
        <w:t>dollars ($</w:t>
      </w:r>
      <w:r w:rsidR="0077683A">
        <w:t>20</w:t>
      </w:r>
      <w:r w:rsidRPr="00AF05F1">
        <w:t>,</w:t>
      </w:r>
      <w:r w:rsidR="0077683A">
        <w:t>0</w:t>
      </w:r>
      <w:r w:rsidR="00261F74">
        <w:t>00</w:t>
      </w:r>
      <w:r w:rsidRPr="00AF05F1">
        <w:t xml:space="preserve">) for apparently willfully and repeatedly violating </w:t>
      </w:r>
      <w:r w:rsidR="00FC2E56">
        <w:t>s</w:t>
      </w:r>
      <w:r w:rsidRPr="00AF05F1">
        <w:t xml:space="preserve">ections 1.7001 and 1.7002 of the </w:t>
      </w:r>
      <w:r w:rsidR="00271B12">
        <w:t>Commission’s rules</w:t>
      </w:r>
      <w:r w:rsidRPr="00AF05F1">
        <w:t>.</w:t>
      </w:r>
      <w:r>
        <w:rPr>
          <w:vertAlign w:val="superscript"/>
        </w:rPr>
        <w:footnoteReference w:id="33"/>
      </w:r>
    </w:p>
    <w:p w:rsidR="00AF05F1" w:rsidRPr="00AF05F1" w:rsidP="00F15F4C" w14:paraId="1DAFEA60" w14:textId="00E1FF9C">
      <w:pPr>
        <w:pStyle w:val="ParaNum"/>
        <w:widowControl/>
      </w:pPr>
      <w:r w:rsidRPr="00AF05F1">
        <w:rPr>
          <w:b/>
          <w:bCs/>
        </w:rPr>
        <w:t>IT IS FURTHER ORDERED</w:t>
      </w:r>
      <w:r w:rsidRPr="00AF05F1">
        <w:t xml:space="preserve"> that, pursuant to </w:t>
      </w:r>
      <w:r w:rsidR="00FC2E56">
        <w:t>s</w:t>
      </w:r>
      <w:r w:rsidRPr="00AF05F1">
        <w:t xml:space="preserve">ection 1.80 of the </w:t>
      </w:r>
      <w:r w:rsidR="00271B12">
        <w:t>Commission’s rules</w:t>
      </w:r>
      <w:r w:rsidRPr="00AF05F1">
        <w:t>,</w:t>
      </w:r>
      <w:r>
        <w:rPr>
          <w:vertAlign w:val="superscript"/>
        </w:rPr>
        <w:footnoteReference w:id="34"/>
      </w:r>
      <w:r w:rsidRPr="00AF05F1">
        <w:t xml:space="preserve"> within </w:t>
      </w:r>
      <w:r w:rsidR="000975BE">
        <w:t xml:space="preserve">thirty </w:t>
      </w:r>
      <w:r w:rsidRPr="00AF05F1">
        <w:t xml:space="preserve">(30) calendar days of the release date of this Notice of Apparent Liability for </w:t>
      </w:r>
      <w:r w:rsidR="000975BE">
        <w:t>F</w:t>
      </w:r>
      <w:r w:rsidRPr="00AF05F1">
        <w:t xml:space="preserve">orfeiture, </w:t>
      </w:r>
      <w:r w:rsidR="00785D88">
        <w:t>Slopeside</w:t>
      </w:r>
      <w:r w:rsidR="00785D88">
        <w:t xml:space="preserve"> Internet, LLC</w:t>
      </w:r>
      <w:r w:rsidRPr="00AF05F1" w:rsidR="000975BE">
        <w:t xml:space="preserve"> </w:t>
      </w:r>
      <w:r w:rsidRPr="00AF05F1">
        <w:rPr>
          <w:b/>
          <w:bCs/>
        </w:rPr>
        <w:t>SHALL PAY</w:t>
      </w:r>
      <w:r w:rsidRPr="00AF05F1">
        <w:t xml:space="preserve"> the full amount of the proposed forfeiture or </w:t>
      </w:r>
      <w:r w:rsidRPr="00AF05F1">
        <w:rPr>
          <w:b/>
          <w:bCs/>
        </w:rPr>
        <w:t>SHALL FILE</w:t>
      </w:r>
      <w:r w:rsidRPr="00AF05F1">
        <w:t xml:space="preserve"> a written statement seeking reduction or cancellation of the proposed forfeiture consistent with </w:t>
      </w:r>
      <w:r w:rsidRPr="00400240">
        <w:t xml:space="preserve">paragraph </w:t>
      </w:r>
      <w:r w:rsidRPr="00400240" w:rsidR="00B42A1A">
        <w:t>19</w:t>
      </w:r>
      <w:r w:rsidRPr="00AF05F1">
        <w:t xml:space="preserve"> below.  </w:t>
      </w:r>
    </w:p>
    <w:p w:rsidR="00AF05F1" w:rsidRPr="00AF05F1" w:rsidP="00F15F4C" w14:paraId="00BF32A8" w14:textId="479180E3">
      <w:pPr>
        <w:pStyle w:val="ParaNum"/>
        <w:widowControl/>
      </w:pPr>
      <w:r>
        <w:t>Slopeside</w:t>
      </w:r>
      <w:r>
        <w:t xml:space="preserve"> Internet, LLC</w:t>
      </w:r>
      <w:r w:rsidRPr="00AF05F1">
        <w:t xml:space="preserve"> shall send electronic notification of payment to </w:t>
      </w:r>
      <w:r>
        <w:t>Conor O’Donovan</w:t>
      </w:r>
      <w:r w:rsidRPr="00AF05F1">
        <w:t xml:space="preserve">, Enforcement Bureau, Federal Communications Commission, at </w:t>
      </w:r>
      <w:r w:rsidRPr="00044794">
        <w:t>Conor.O’Donovan@fcc.gov</w:t>
      </w:r>
      <w:hyperlink r:id="rId5" w:history="1"/>
      <w:r w:rsidRPr="006F66DC">
        <w:rPr>
          <w:u w:val="single"/>
        </w:rPr>
        <w:t xml:space="preserve"> </w:t>
      </w:r>
      <w:r w:rsidRPr="00AF05F1">
        <w:t>on the date said payment is made.  Payment of the forfeiture must be made by credit card, ACH (Automated Clearing House) debit from a bank account using the Commission’s Fee Filer (the Commission’s online payment system),</w:t>
      </w:r>
      <w:r>
        <w:rPr>
          <w:vertAlign w:val="superscript"/>
        </w:rPr>
        <w:footnoteReference w:id="35"/>
      </w:r>
      <w:r w:rsidRPr="00AF05F1">
        <w:t xml:space="preserve"> or by wire transfer.  The Commission no longer accepts forfeiture payment</w:t>
      </w:r>
      <w:r w:rsidR="00FC0C14">
        <w:t>s</w:t>
      </w:r>
      <w:r w:rsidRPr="00AF05F1">
        <w:t xml:space="preserve"> by check or money order.  Below are instructions that payors should follow based on the form of payment selected.</w:t>
      </w:r>
      <w:r>
        <w:rPr>
          <w:vertAlign w:val="superscript"/>
        </w:rPr>
        <w:footnoteReference w:id="36"/>
      </w:r>
    </w:p>
    <w:p w:rsidR="00AF05F1" w:rsidRPr="00AF05F1" w:rsidP="00F15F4C" w14:paraId="4206F8F9" w14:textId="5E4D3D27">
      <w:pPr>
        <w:pStyle w:val="ListParagraph"/>
        <w:keepNext/>
        <w:widowControl/>
        <w:numPr>
          <w:ilvl w:val="0"/>
          <w:numId w:val="8"/>
        </w:numPr>
        <w:tabs>
          <w:tab w:val="left" w:pos="2160"/>
        </w:tabs>
        <w:spacing w:after="120"/>
        <w:contextualSpacing w:val="0"/>
        <w:outlineLvl w:val="2"/>
        <w:rPr>
          <w:bCs/>
        </w:rPr>
      </w:pPr>
      <w:r w:rsidRPr="00AF05F1">
        <w:rPr>
          <w:bCs/>
        </w:rPr>
        <w:t xml:space="preserve">Payment by wire transfer must be made to ABA Number 021030004, receiving bank </w:t>
      </w:r>
      <w:r w:rsidRPr="00AF05F1">
        <w:rPr>
          <w:bCs/>
        </w:rPr>
        <w:t>TREAS</w:t>
      </w:r>
      <w:r w:rsidRPr="00AF05F1">
        <w:rPr>
          <w:bCs/>
        </w:rPr>
        <w:t xml:space="preserve">/NYC, and Account Number 27000001.  A completed Form 159 must be faxed to the Federal Communications Commission at 202-418-2843 or e-mailed to </w:t>
      </w:r>
      <w:hyperlink r:id="rId6" w:history="1">
        <w:r w:rsidRPr="00FB5F79" w:rsidR="00254775">
          <w:rPr>
            <w:rStyle w:val="Hyperlink"/>
            <w:bCs/>
          </w:rPr>
          <w:t>RROGWireFaxes@fcc.gov</w:t>
        </w:r>
      </w:hyperlink>
      <w:r w:rsidRPr="00AF05F1">
        <w:rPr>
          <w:bCs/>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w:t>
      </w:r>
      <w:r w:rsidR="00B16B4B">
        <w:rPr>
          <w:bCs/>
        </w:rPr>
        <w:t>s</w:t>
      </w:r>
      <w:r w:rsidRPr="00AF05F1">
        <w:rPr>
          <w:bCs/>
        </w:rPr>
        <w:t xml:space="preserve"> “</w:t>
      </w:r>
      <w:r w:rsidRPr="00AF05F1">
        <w:rPr>
          <w:bCs/>
        </w:rPr>
        <w:t>FORF</w:t>
      </w:r>
      <w:r w:rsidRPr="00AF05F1">
        <w:rPr>
          <w:bCs/>
        </w:rPr>
        <w:t xml:space="preserve">” in block number 24A (payment type code), and enter in block number 11 the </w:t>
      </w:r>
      <w:r w:rsidRPr="00AF05F1">
        <w:rPr>
          <w:bCs/>
        </w:rPr>
        <w:t>FRN</w:t>
      </w:r>
      <w:r w:rsidRPr="00AF05F1">
        <w:rPr>
          <w:bCs/>
        </w:rPr>
        <w:t xml:space="preserve">(s) captioned above (Payor </w:t>
      </w:r>
      <w:r w:rsidRPr="00AF05F1">
        <w:rPr>
          <w:bCs/>
        </w:rPr>
        <w:t>FRN</w:t>
      </w:r>
      <w:r w:rsidRPr="00AF05F1">
        <w:rPr>
          <w:bCs/>
        </w:rPr>
        <w:t>).</w:t>
      </w:r>
      <w:r>
        <w:rPr>
          <w:rStyle w:val="FootnoteReference"/>
          <w:bCs/>
        </w:rPr>
        <w:footnoteReference w:id="37"/>
      </w:r>
      <w:r w:rsidRPr="00AF05F1">
        <w:rPr>
          <w:bCs/>
        </w:rPr>
        <w:t xml:space="preserve">  For additional detail and wire transfer instructions go to </w:t>
      </w:r>
      <w:hyperlink r:id="rId7" w:history="1">
        <w:r w:rsidRPr="00FB5F79" w:rsidR="00F93ADE">
          <w:rPr>
            <w:rStyle w:val="Hyperlink"/>
            <w:bCs/>
          </w:rPr>
          <w:t>https://www.fcc.gov/licensing-databases/fees/wire-transfer</w:t>
        </w:r>
      </w:hyperlink>
      <w:r w:rsidR="00F93ADE">
        <w:rPr>
          <w:bCs/>
        </w:rPr>
        <w:t xml:space="preserve">. </w:t>
      </w:r>
    </w:p>
    <w:p w:rsidR="00AF05F1" w:rsidP="00F15F4C" w14:paraId="208A4D2A" w14:textId="11D382AA">
      <w:pPr>
        <w:pStyle w:val="ListParagraph"/>
        <w:widowControl/>
        <w:numPr>
          <w:ilvl w:val="0"/>
          <w:numId w:val="8"/>
        </w:numPr>
        <w:autoSpaceDE w:val="0"/>
        <w:autoSpaceDN w:val="0"/>
        <w:adjustRightInd w:val="0"/>
        <w:spacing w:after="120"/>
        <w:contextualSpacing w:val="0"/>
      </w:pPr>
      <w:r w:rsidRPr="00AF05F1">
        <w:t>Payment by credit card must be made by using the Commission’s Fee Filer website at</w:t>
      </w:r>
      <w:r>
        <w:t xml:space="preserve"> </w:t>
      </w:r>
      <w:hyperlink r:id="rId8" w:history="1">
        <w:r w:rsidRPr="000862E0" w:rsidR="0097154F">
          <w:rPr>
            <w:rStyle w:val="Hyperlink"/>
          </w:rPr>
          <w:t>https://apps.fcc.gov/FeeFiler/login.cfm</w:t>
        </w:r>
      </w:hyperlink>
      <w:r w:rsidRPr="00AF05F1">
        <w:t xml:space="preserve">. </w:t>
      </w:r>
      <w:r w:rsidR="00D00183">
        <w:t xml:space="preserve"> </w:t>
      </w:r>
      <w:r w:rsidRPr="00AF05F1">
        <w:t xml:space="preserve">To pay by credit card, log-in using the </w:t>
      </w:r>
      <w:r w:rsidRPr="00AF05F1">
        <w:t>FRN</w:t>
      </w:r>
      <w:r w:rsidRPr="00AF05F1">
        <w:t xml:space="preserve"> captioned</w:t>
      </w:r>
      <w:r>
        <w:t xml:space="preserve"> </w:t>
      </w:r>
      <w:r w:rsidRPr="00AF05F1">
        <w:t>above.</w:t>
      </w:r>
      <w:r w:rsidR="00D00183">
        <w:t xml:space="preserve"> </w:t>
      </w:r>
      <w:r w:rsidRPr="00AF05F1">
        <w:t xml:space="preserve"> If payment must be split across </w:t>
      </w:r>
      <w:r w:rsidRPr="00AF05F1">
        <w:t>FRNs</w:t>
      </w:r>
      <w:r w:rsidRPr="00AF05F1">
        <w:t xml:space="preserve">, complete this process for each </w:t>
      </w:r>
      <w:r w:rsidRPr="00AF05F1">
        <w:t>FRN</w:t>
      </w:r>
      <w:r w:rsidRPr="00A200B5">
        <w:t xml:space="preserve">.  Next, select “Pay bills” on the Fee Filer Menu, and select the bill number associated with the </w:t>
      </w:r>
      <w:r w:rsidRPr="00A200B5">
        <w:t>NAL</w:t>
      </w:r>
      <w:r w:rsidRPr="00A200B5">
        <w:t xml:space="preserve"> Account</w:t>
      </w:r>
      <w:r w:rsidR="00A200B5">
        <w:t xml:space="preserve"> </w:t>
      </w:r>
      <w:r w:rsidRPr="00AD0726" w:rsidR="00A200B5">
        <w:t>–</w:t>
      </w:r>
      <w:r w:rsidR="00A200B5">
        <w:t xml:space="preserve"> </w:t>
      </w:r>
      <w:r w:rsidRPr="00A200B5">
        <w:t xml:space="preserve">the bill number is the </w:t>
      </w:r>
      <w:r w:rsidRPr="00A200B5">
        <w:t>NAL</w:t>
      </w:r>
      <w:r w:rsidRPr="00A200B5">
        <w:t xml:space="preserve"> Account number with the first two digits excluded</w:t>
      </w:r>
      <w:r w:rsidR="00A200B5">
        <w:t xml:space="preserve"> </w:t>
      </w:r>
      <w:r w:rsidRPr="00AD0726" w:rsidR="00A200B5">
        <w:t>–</w:t>
      </w:r>
      <w:r w:rsidR="00A200B5">
        <w:t xml:space="preserve"> </w:t>
      </w:r>
      <w:r w:rsidRPr="00A200B5">
        <w:t>and then choose</w:t>
      </w:r>
      <w:r>
        <w:t xml:space="preserve"> </w:t>
      </w:r>
      <w:r w:rsidRPr="00AF05F1">
        <w:t>the “Pay by Credit Card” option.  Please note that there is a $24,999.99 limit on credit card</w:t>
      </w:r>
      <w:r>
        <w:t xml:space="preserve"> </w:t>
      </w:r>
      <w:r w:rsidRPr="00AF05F1">
        <w:t>transactions.</w:t>
      </w:r>
    </w:p>
    <w:p w:rsidR="00AF05F1" w:rsidRPr="00CF2CD6" w:rsidP="00F15F4C" w14:paraId="74BF07FD" w14:textId="48998181">
      <w:pPr>
        <w:pStyle w:val="ListParagraph"/>
        <w:widowControl/>
        <w:numPr>
          <w:ilvl w:val="0"/>
          <w:numId w:val="8"/>
        </w:numPr>
        <w:autoSpaceDE w:val="0"/>
        <w:autoSpaceDN w:val="0"/>
        <w:adjustRightInd w:val="0"/>
        <w:spacing w:after="120"/>
        <w:contextualSpacing w:val="0"/>
      </w:pPr>
      <w:r w:rsidRPr="00AF05F1">
        <w:t>Payment by ACH must be made by using the Commission’s Fee Filer website at</w:t>
      </w:r>
      <w:r>
        <w:t xml:space="preserve"> </w:t>
      </w:r>
      <w:hyperlink r:id="rId8" w:history="1">
        <w:r w:rsidRPr="00C81521" w:rsidR="00733F00">
          <w:rPr>
            <w:rStyle w:val="Hyperlink"/>
          </w:rPr>
          <w:t>https://apps.fcc.gov/FeeFiler/login.cfm</w:t>
        </w:r>
      </w:hyperlink>
      <w:r w:rsidRPr="00AF05F1">
        <w:t>.</w:t>
      </w:r>
      <w:r w:rsidR="00733F00">
        <w:t xml:space="preserve"> </w:t>
      </w:r>
      <w:r w:rsidRPr="00AF05F1">
        <w:t xml:space="preserve"> To pay by ACH, log in using the </w:t>
      </w:r>
      <w:r w:rsidRPr="00AF05F1">
        <w:t>FRN</w:t>
      </w:r>
      <w:r w:rsidRPr="00AF05F1">
        <w:t xml:space="preserve"> captioned above.</w:t>
      </w:r>
      <w:r>
        <w:t xml:space="preserve">  </w:t>
      </w:r>
      <w:r w:rsidRPr="00AF05F1">
        <w:t xml:space="preserve">If payment must be split across </w:t>
      </w:r>
      <w:r w:rsidRPr="00AF05F1">
        <w:t>FRNs</w:t>
      </w:r>
      <w:r w:rsidRPr="00AF05F1">
        <w:t xml:space="preserve">, complete this process for each </w:t>
      </w:r>
      <w:r w:rsidRPr="00AF05F1">
        <w:t>FRN</w:t>
      </w:r>
      <w:r w:rsidRPr="00AF05F1">
        <w:t>.  Next, select “Pay</w:t>
      </w:r>
      <w:r w:rsidR="00CF2CD6">
        <w:t xml:space="preserve"> </w:t>
      </w:r>
      <w:r w:rsidRPr="00CF2CD6">
        <w:t xml:space="preserve">bills” on the Fee Filer Menu and then select the bill number associated to the </w:t>
      </w:r>
      <w:r w:rsidRPr="00CF2CD6">
        <w:t>NAL</w:t>
      </w:r>
      <w:r w:rsidRPr="00CF2CD6">
        <w:t xml:space="preserve"> </w:t>
      </w:r>
      <w:r w:rsidRPr="00A200B5">
        <w:t>Account – the</w:t>
      </w:r>
      <w:r w:rsidRPr="00A200B5" w:rsidR="00CF2CD6">
        <w:t xml:space="preserve"> </w:t>
      </w:r>
      <w:r w:rsidRPr="00A200B5">
        <w:t xml:space="preserve">bill number is the </w:t>
      </w:r>
      <w:r w:rsidRPr="00A200B5">
        <w:t>NAL</w:t>
      </w:r>
      <w:r w:rsidRPr="00A200B5">
        <w:t xml:space="preserve"> Account number with the first two digits excluded – and</w:t>
      </w:r>
      <w:r w:rsidRPr="00CF2CD6">
        <w:t xml:space="preserve"> choose the “Pay</w:t>
      </w:r>
      <w:r w:rsidR="00CF2CD6">
        <w:t xml:space="preserve"> </w:t>
      </w:r>
      <w:r w:rsidRPr="00CF2CD6">
        <w:t>from Bank Account” option.  Please contact the appropriate financial institution to confirm the</w:t>
      </w:r>
      <w:r w:rsidR="00CF2CD6">
        <w:t xml:space="preserve"> </w:t>
      </w:r>
      <w:r w:rsidRPr="00CF2CD6">
        <w:t>correct Routing Number and the correct account number from which payment will be made and</w:t>
      </w:r>
      <w:r w:rsidR="00CF2CD6">
        <w:t xml:space="preserve"> </w:t>
      </w:r>
      <w:r w:rsidRPr="00CF2CD6">
        <w:t>verify with that financial institution that the designated account has authorization to accept ACH</w:t>
      </w:r>
      <w:r w:rsidR="00CF2CD6">
        <w:t xml:space="preserve"> </w:t>
      </w:r>
      <w:r w:rsidRPr="00CF2CD6">
        <w:t>transactions.</w:t>
      </w:r>
    </w:p>
    <w:p w:rsidR="00AF05F1" w:rsidRPr="000D6D4E" w:rsidP="00F15F4C" w14:paraId="5FA27CE7" w14:textId="14E35BD2">
      <w:pPr>
        <w:pStyle w:val="ParaNum"/>
        <w:widowControl/>
        <w:rPr>
          <w:kern w:val="0"/>
        </w:rPr>
      </w:pPr>
      <w:r w:rsidRPr="00CF2CD6">
        <w:t>Any request for making full payment over time under an installment plan should be sent to:  Chief Financial Officer – Financial Operations, Federal Communications Commission, 45 L Street, NE, Washington, DC 20554</w:t>
      </w:r>
      <w:r w:rsidRPr="00441582" w:rsidR="00441582">
        <w:rPr>
          <w:szCs w:val="22"/>
        </w:rPr>
        <w:t xml:space="preserve"> </w:t>
      </w:r>
      <w:r w:rsidR="00441582">
        <w:rPr>
          <w:szCs w:val="22"/>
        </w:rPr>
        <w:t xml:space="preserve">and e-mailed to Scott Radcliffe, Revenue &amp; Receivables Operations Group, FCC Office of the Managing Director, at </w:t>
      </w:r>
      <w:hyperlink r:id="rId9" w:history="1">
        <w:r w:rsidRPr="00FB5F79" w:rsidR="00B17683">
          <w:rPr>
            <w:rStyle w:val="Hyperlink"/>
            <w:szCs w:val="22"/>
          </w:rPr>
          <w:t>Scott.Radcliffe@fcc.gov</w:t>
        </w:r>
      </w:hyperlink>
      <w:r w:rsidR="00B17683">
        <w:rPr>
          <w:szCs w:val="22"/>
        </w:rPr>
        <w:t>.</w:t>
      </w:r>
      <w:r>
        <w:rPr>
          <w:vertAlign w:val="superscript"/>
        </w:rPr>
        <w:footnoteReference w:id="38"/>
      </w:r>
      <w:r w:rsidRPr="00CF2CD6">
        <w:t xml:space="preserve">  If you have any questions regarding payment procedures, please contact the Financial Operations Group Help Desk by phone, 1-877-480-3201, or by e-mail, </w:t>
      </w:r>
      <w:hyperlink r:id="rId10" w:history="1">
        <w:r w:rsidRPr="004546F6" w:rsidR="00441582">
          <w:rPr>
            <w:rStyle w:val="Hyperlink"/>
          </w:rPr>
          <w:t>ARINQUIRES@fcc.gov</w:t>
        </w:r>
      </w:hyperlink>
      <w:r w:rsidRPr="00CF2CD6">
        <w:t xml:space="preserve">. </w:t>
      </w:r>
      <w:r w:rsidR="00441582">
        <w:rPr>
          <w:szCs w:val="22"/>
        </w:rPr>
        <w:t xml:space="preserve"> </w:t>
      </w:r>
    </w:p>
    <w:p w:rsidR="00AF05F1" w:rsidRPr="00CF2CD6" w:rsidP="00C00137" w14:paraId="779E9DD4" w14:textId="62CE2363">
      <w:pPr>
        <w:pStyle w:val="ParaNum"/>
        <w:widowControl/>
      </w:pPr>
      <w:r w:rsidRPr="00CF2CD6">
        <w:t xml:space="preserve">The written statement seeking reduction or cancellation of the proposed forfeiture, if any, must include a detailed factual statement supported by appropriate documentation and affidavits pursuant to </w:t>
      </w:r>
      <w:r w:rsidR="00FC2E56">
        <w:t>s</w:t>
      </w:r>
      <w:r w:rsidRPr="00CF2CD6">
        <w:t>ection</w:t>
      </w:r>
      <w:r w:rsidR="006C3872">
        <w:t>s</w:t>
      </w:r>
      <w:r w:rsidRPr="00CF2CD6">
        <w:t xml:space="preserve"> 1.16 and 1.80(f)(3) of the Commission’s rules.</w:t>
      </w:r>
      <w:r>
        <w:rPr>
          <w:vertAlign w:val="superscript"/>
        </w:rPr>
        <w:footnoteReference w:id="39"/>
      </w:r>
      <w:r w:rsidRPr="00CF2CD6">
        <w:t xml:space="preserve">  The written statement must be mailed to Jeffrey J. Gee, Chief, Investigations and Hearings Division, Enforcement Bureau, Federal Communications Commission, 45 L Street, NE, Washington, DC 20554, and must include the </w:t>
      </w:r>
      <w:r w:rsidRPr="00CF2CD6">
        <w:t>NAL</w:t>
      </w:r>
      <w:r w:rsidRPr="00CF2CD6">
        <w:t>/Acct. No. referenced in the caption.  The written statement shall also be e</w:t>
      </w:r>
      <w:r w:rsidR="00D52321">
        <w:t>-</w:t>
      </w:r>
      <w:r w:rsidRPr="00CF2CD6">
        <w:t xml:space="preserve">mailed to </w:t>
      </w:r>
      <w:r w:rsidRPr="00A2785D">
        <w:t xml:space="preserve">Jeffrey J. Gee at </w:t>
      </w:r>
      <w:bookmarkStart w:id="12" w:name="_Hlk64627889"/>
      <w:hyperlink r:id="rId11" w:history="1">
        <w:r w:rsidRPr="00FB5F79" w:rsidR="00224192">
          <w:rPr>
            <w:rStyle w:val="Hyperlink"/>
          </w:rPr>
          <w:t>Jeffrey.Gee@fcc.gov</w:t>
        </w:r>
      </w:hyperlink>
      <w:bookmarkEnd w:id="12"/>
      <w:r w:rsidR="00C00137">
        <w:rPr>
          <w:color w:val="0563C1" w:themeColor="hyperlink"/>
          <w:u w:val="single"/>
        </w:rPr>
        <w:t xml:space="preserve"> </w:t>
      </w:r>
      <w:r w:rsidRPr="00CF2CD6">
        <w:t>and to</w:t>
      </w:r>
      <w:r w:rsidR="005D446E">
        <w:t xml:space="preserve"> Conor.O’Donovan@fcc.gov.</w:t>
      </w:r>
    </w:p>
    <w:p w:rsidR="00AF05F1" w:rsidRPr="000D6D4E" w:rsidP="00F15F4C" w14:paraId="1B19CE25" w14:textId="12E3A5B1">
      <w:pPr>
        <w:pStyle w:val="ParaNum"/>
        <w:widowControl/>
      </w:pPr>
      <w:r w:rsidRPr="00CF2CD6">
        <w:t>The Commission will not consider reducing or canceling a forfeiture in response to a claim of inability to pay unless the petitioner submits:  (1) federal tax returns for the most recent three year period; (2) financial statements prepared according to generally accepted accounting principles (GAAP); or (3) some other reliable and objective documentation that accurately reflects the petitioner’s current financial status.  Any claim of inability to pay must specifically identify the basis for the claim by reference to the financial documentation submitted.</w:t>
      </w:r>
      <w:r w:rsidR="000D6D4E">
        <w:t xml:space="preserve">  </w:t>
      </w:r>
      <w:r w:rsidRPr="000D6D4E" w:rsidR="000D6D4E">
        <w:rPr>
          <w:color w:val="000000"/>
          <w:kern w:val="0"/>
          <w:szCs w:val="22"/>
        </w:rPr>
        <w:t xml:space="preserve">Inability to pay, however, is only one of several factors that the Commission will consider in determining the appropriate forfeiture, and we have </w:t>
      </w:r>
      <w:r w:rsidRPr="000D6D4E" w:rsidR="000D6D4E">
        <w:rPr>
          <w:color w:val="000000"/>
          <w:kern w:val="0"/>
          <w:szCs w:val="22"/>
        </w:rPr>
        <w:t>discretion to not reduce or cancel the forfeiture if other prongs of 47 U.S.C. § 503(b)(2)(E) support that result.</w:t>
      </w:r>
      <w:r>
        <w:rPr>
          <w:rStyle w:val="FootnoteReference"/>
          <w:kern w:val="0"/>
          <w:szCs w:val="22"/>
        </w:rPr>
        <w:footnoteReference w:id="40"/>
      </w:r>
      <w:r w:rsidRPr="000D6D4E" w:rsidR="000D6D4E">
        <w:rPr>
          <w:color w:val="000000"/>
          <w:kern w:val="0"/>
          <w:sz w:val="14"/>
          <w:szCs w:val="14"/>
        </w:rPr>
        <w:t xml:space="preserve"> </w:t>
      </w:r>
    </w:p>
    <w:p w:rsidR="00AF05F1" w:rsidRPr="00C00137" w:rsidP="00F15F4C" w14:paraId="48062C4B" w14:textId="190D7C4E">
      <w:pPr>
        <w:pStyle w:val="ParaNum"/>
        <w:widowControl/>
      </w:pPr>
      <w:r w:rsidRPr="00C00137">
        <w:rPr>
          <w:b/>
          <w:bCs/>
        </w:rPr>
        <w:t>IT IS FURTHER ORDERED</w:t>
      </w:r>
      <w:r w:rsidRPr="00C00137">
        <w:t xml:space="preserve"> that a copy of this Notice of Apparent Liability for </w:t>
      </w:r>
      <w:r w:rsidRPr="00C00137" w:rsidR="00AA1776">
        <w:t>F</w:t>
      </w:r>
      <w:r w:rsidRPr="00C00137">
        <w:t xml:space="preserve">orfeiture shall be sent by </w:t>
      </w:r>
      <w:r w:rsidRPr="00C00137" w:rsidR="00D86160">
        <w:t>first class mail and certified mail, return receipt requested</w:t>
      </w:r>
      <w:r w:rsidRPr="00C00137">
        <w:t xml:space="preserve"> to</w:t>
      </w:r>
      <w:r w:rsidRPr="00C00137" w:rsidR="00362E76">
        <w:t xml:space="preserve">:  </w:t>
      </w:r>
      <w:r w:rsidRPr="00C00137" w:rsidR="00C306BE">
        <w:t>Slopeside</w:t>
      </w:r>
      <w:r w:rsidRPr="00C00137" w:rsidR="00C306BE">
        <w:t xml:space="preserve"> Internet, LLC c/o Outside Counsel, 47 Cooper Creek Way, Suite #325, Winter</w:t>
      </w:r>
      <w:r w:rsidRPr="00C00137" w:rsidR="00753282">
        <w:t xml:space="preserve"> Park</w:t>
      </w:r>
      <w:r w:rsidRPr="00C00137" w:rsidR="00C306BE">
        <w:t xml:space="preserve"> CO 80482, and Daniel M. </w:t>
      </w:r>
      <w:r w:rsidRPr="00C00137" w:rsidR="00C306BE">
        <w:t>Lubar</w:t>
      </w:r>
      <w:r w:rsidRPr="00C00137" w:rsidR="00C306BE">
        <w:t xml:space="preserve">, </w:t>
      </w:r>
      <w:r w:rsidRPr="00C00137" w:rsidR="00C306BE">
        <w:t>Slopeside</w:t>
      </w:r>
      <w:r w:rsidRPr="00C00137" w:rsidR="00C306BE">
        <w:t xml:space="preserve"> Internet, LLC, P.O. Box 1138, Winter Park, CO 80482.</w:t>
      </w:r>
    </w:p>
    <w:p w:rsidR="00AF05F1" w:rsidRPr="00AF05F1" w:rsidP="00F15F4C" w14:paraId="2FDE24B2" w14:textId="77777777">
      <w:pPr>
        <w:widowControl/>
        <w:spacing w:after="120"/>
        <w:ind w:left="720"/>
      </w:pPr>
    </w:p>
    <w:p w:rsidR="002A6E30" w:rsidP="00F15F4C" w14:paraId="78328645" w14:textId="77777777">
      <w:pPr>
        <w:pStyle w:val="ListParagraph"/>
        <w:keepNext/>
        <w:widowControl/>
        <w:spacing w:after="120"/>
        <w:outlineLvl w:val="1"/>
        <w:rPr>
          <w:bCs/>
        </w:rPr>
      </w:pPr>
    </w:p>
    <w:p w:rsidR="00C97E2B" w:rsidP="00F15F4C" w14:paraId="4555FB74" w14:textId="77777777">
      <w:pPr>
        <w:widowControl/>
      </w:pPr>
      <w:r>
        <w:tab/>
      </w:r>
      <w:r>
        <w:tab/>
      </w:r>
      <w:r>
        <w:tab/>
      </w:r>
      <w:r>
        <w:tab/>
      </w:r>
      <w:r>
        <w:tab/>
      </w:r>
      <w:r>
        <w:tab/>
        <w:t>FEDERAL COMMUNICATIONS COMMISSION</w:t>
      </w:r>
    </w:p>
    <w:p w:rsidR="00C97E2B" w:rsidP="00F15F4C" w14:paraId="0E9C6AAF" w14:textId="77777777">
      <w:pPr>
        <w:widowControl/>
      </w:pPr>
    </w:p>
    <w:p w:rsidR="00C97E2B" w:rsidP="00F15F4C" w14:paraId="21B57160" w14:textId="77777777">
      <w:pPr>
        <w:widowControl/>
      </w:pPr>
    </w:p>
    <w:p w:rsidR="00C97E2B" w:rsidP="00F15F4C" w14:paraId="48CB3363" w14:textId="77777777">
      <w:pPr>
        <w:widowControl/>
      </w:pPr>
    </w:p>
    <w:p w:rsidR="00C97E2B" w:rsidP="00F15F4C" w14:paraId="367F29B1" w14:textId="77777777">
      <w:pPr>
        <w:widowControl/>
      </w:pPr>
    </w:p>
    <w:p w:rsidR="00C97E2B" w:rsidP="00F15F4C" w14:paraId="476F4524" w14:textId="77777777">
      <w:pPr>
        <w:widowControl/>
      </w:pPr>
      <w:r>
        <w:tab/>
      </w:r>
      <w:r>
        <w:tab/>
      </w:r>
      <w:r>
        <w:tab/>
      </w:r>
      <w:r>
        <w:tab/>
      </w:r>
      <w:r>
        <w:tab/>
      </w:r>
      <w:r>
        <w:tab/>
        <w:t>Rosemary C. Harold</w:t>
      </w:r>
    </w:p>
    <w:p w:rsidR="00C97E2B" w:rsidP="00F15F4C" w14:paraId="12BC47C1" w14:textId="77777777">
      <w:pPr>
        <w:widowControl/>
      </w:pPr>
      <w:r>
        <w:tab/>
      </w:r>
      <w:r>
        <w:tab/>
      </w:r>
      <w:r>
        <w:tab/>
      </w:r>
      <w:r>
        <w:tab/>
      </w:r>
      <w:r>
        <w:tab/>
      </w:r>
      <w:r>
        <w:tab/>
        <w:t>Chief</w:t>
      </w:r>
    </w:p>
    <w:p w:rsidR="00C97E2B" w:rsidP="00F15F4C" w14:paraId="5C196A23" w14:textId="77777777">
      <w:pPr>
        <w:widowControl/>
      </w:pPr>
      <w:r>
        <w:tab/>
      </w:r>
      <w:r>
        <w:tab/>
      </w:r>
      <w:r>
        <w:tab/>
      </w:r>
      <w:r>
        <w:tab/>
      </w:r>
      <w:r>
        <w:tab/>
      </w:r>
      <w:r>
        <w:tab/>
        <w:t>Enforcement Bureau</w:t>
      </w:r>
    </w:p>
    <w:p w:rsidR="00C97E2B" w:rsidRPr="002A6E30" w:rsidP="00F15F4C" w14:paraId="5609B54D" w14:textId="77777777">
      <w:pPr>
        <w:pStyle w:val="ListParagraph"/>
        <w:keepNext/>
        <w:widowControl/>
        <w:spacing w:after="120"/>
        <w:outlineLvl w:val="1"/>
        <w:rPr>
          <w:bCs/>
        </w:rPr>
      </w:pPr>
    </w:p>
    <w:sectPr w:rsidSect="002E6E1F">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05F1" w:rsidP="00AF05F1" w14:paraId="71DC021F" w14:textId="0B73EFE6">
    <w:pPr>
      <w:pStyle w:val="Footer"/>
      <w:jc w:val="center"/>
    </w:pPr>
    <w:r w:rsidRPr="00FF2E02">
      <w:fldChar w:fldCharType="begin"/>
    </w:r>
    <w:r w:rsidRPr="00FF2E02">
      <w:instrText xml:space="preserve"> PAGE   \* MERGEFORMAT </w:instrText>
    </w:r>
    <w:r w:rsidRPr="00FF2E02">
      <w:fldChar w:fldCharType="separate"/>
    </w:r>
    <w:r w:rsidRPr="00FF2E02">
      <w:rPr>
        <w:noProof/>
      </w:rPr>
      <w:t>2</w:t>
    </w:r>
    <w:r w:rsidRPr="00FF2E0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433A7" w:rsidP="00AF05F1" w14:paraId="48217E94" w14:textId="77777777">
      <w:r>
        <w:separator/>
      </w:r>
    </w:p>
  </w:footnote>
  <w:footnote w:type="continuationSeparator" w:id="1">
    <w:p w:rsidR="009433A7" w:rsidP="00AF05F1" w14:paraId="0761EEAF" w14:textId="77777777">
      <w:r>
        <w:continuationSeparator/>
      </w:r>
    </w:p>
  </w:footnote>
  <w:footnote w:type="continuationNotice" w:id="2">
    <w:p w:rsidR="009433A7" w14:paraId="6A3CD86B" w14:textId="77777777"/>
  </w:footnote>
  <w:footnote w:id="3">
    <w:p w:rsidR="00111CC4" w:rsidP="009321F5" w14:paraId="7C3C2687" w14:textId="79C70FEF">
      <w:pPr>
        <w:pStyle w:val="FootnoteText"/>
      </w:pPr>
      <w:r w:rsidRPr="00DC7A46">
        <w:rPr>
          <w:rStyle w:val="FootnoteReference"/>
        </w:rPr>
        <w:footnoteRef/>
      </w:r>
      <w:r w:rsidRPr="00DC7A46">
        <w:t xml:space="preserve"> </w:t>
      </w:r>
      <w:r w:rsidRPr="00DC7A46">
        <w:rPr>
          <w:i/>
        </w:rPr>
        <w:t>See</w:t>
      </w:r>
      <w:r w:rsidRPr="00DC7A46">
        <w:t xml:space="preserve"> 47 CFR §§</w:t>
      </w:r>
      <w:r w:rsidRPr="00DC7A46">
        <w:rPr>
          <w:i/>
        </w:rPr>
        <w:t xml:space="preserve"> </w:t>
      </w:r>
      <w:r w:rsidRPr="00DC7A46">
        <w:t>1.7001, 1.7002</w:t>
      </w:r>
      <w:r w:rsidR="00B34DB9">
        <w:t xml:space="preserve">; </w:t>
      </w:r>
      <w:r w:rsidRPr="00DC7A46" w:rsidR="00B34DB9">
        <w:rPr>
          <w:i/>
          <w:iCs/>
        </w:rPr>
        <w:t>FCC Form 477</w:t>
      </w:r>
      <w:r w:rsidR="00304CD4">
        <w:rPr>
          <w:i/>
          <w:iCs/>
        </w:rPr>
        <w:t xml:space="preserve"> Local Telephone Competition and Broadband Reporting</w:t>
      </w:r>
      <w:r w:rsidRPr="00DC7A46" w:rsidR="00B34DB9">
        <w:rPr>
          <w:i/>
          <w:iCs/>
        </w:rPr>
        <w:t xml:space="preserve"> Instructions for Filing as of December 31, 2019</w:t>
      </w:r>
      <w:r w:rsidR="00304CD4">
        <w:rPr>
          <w:i/>
          <w:iCs/>
        </w:rPr>
        <w:t xml:space="preserve"> and Beyond</w:t>
      </w:r>
      <w:r w:rsidRPr="00DC7A46" w:rsidR="00B34DB9">
        <w:t xml:space="preserve"> at 32 (</w:t>
      </w:r>
      <w:r w:rsidRPr="00DC7A46" w:rsidR="00B34DB9">
        <w:rPr>
          <w:i/>
          <w:iCs/>
        </w:rPr>
        <w:t>December 31, 2019 FCC Form 477 Instructions</w:t>
      </w:r>
      <w:r w:rsidRPr="00DC7A46" w:rsidR="00B34DB9">
        <w:t>).</w:t>
      </w:r>
      <w:r w:rsidRPr="00DC7A46">
        <w:t xml:space="preserve">  Section 1.7001 directs FCC Form 4</w:t>
      </w:r>
      <w:r w:rsidR="00C75C9E">
        <w:t>7</w:t>
      </w:r>
      <w:r w:rsidRPr="00DC7A46">
        <w:t>7 filers to make filings “in accordance with the Commission’s rules and instructions to the FCC Form 477,” and warns that “[f]</w:t>
      </w:r>
      <w:r w:rsidRPr="00DC7A46">
        <w:t>ailure</w:t>
      </w:r>
      <w:r w:rsidRPr="00DC7A46">
        <w:t xml:space="preserve"> to file the FCC Form 477 in accordance with the Commission’s rules and instructions to the Form 4</w:t>
      </w:r>
      <w:r w:rsidR="00FA0370">
        <w:t>77</w:t>
      </w:r>
      <w:r w:rsidRPr="00DC7A46">
        <w:t xml:space="preserve"> may lead to enforcement action pursuant to the Act and any other applicable law.</w:t>
      </w:r>
      <w:r w:rsidR="006A3789">
        <w:t>”</w:t>
      </w:r>
      <w:r w:rsidRPr="00DC7A46">
        <w:t xml:space="preserve">  </w:t>
      </w:r>
      <w:r w:rsidR="00B34DB9">
        <w:t>From time-to-time the Commission has issued a Public Notice shifting the filing data beyond March 1</w:t>
      </w:r>
      <w:r w:rsidRPr="00B34DB9" w:rsidR="00B34DB9">
        <w:rPr>
          <w:vertAlign w:val="superscript"/>
        </w:rPr>
        <w:t>st</w:t>
      </w:r>
      <w:r w:rsidR="00B34DB9">
        <w:t xml:space="preserve"> or September 1</w:t>
      </w:r>
      <w:r w:rsidRPr="00B34DB9" w:rsidR="00B34DB9">
        <w:rPr>
          <w:vertAlign w:val="superscript"/>
        </w:rPr>
        <w:t>st</w:t>
      </w:r>
      <w:r w:rsidR="00B34DB9">
        <w:t xml:space="preserve"> because those data coincide with a date that the Commission was officially closed (</w:t>
      </w:r>
      <w:r w:rsidRPr="00B34DB9" w:rsidR="00B34DB9">
        <w:rPr>
          <w:i/>
          <w:iCs/>
        </w:rPr>
        <w:t>e.g.</w:t>
      </w:r>
      <w:r w:rsidR="00225461">
        <w:rPr>
          <w:i/>
          <w:iCs/>
        </w:rPr>
        <w:t>,</w:t>
      </w:r>
      <w:r w:rsidR="00B34DB9">
        <w:t xml:space="preserve"> due to a weekend of Federal holiday) or because of maintenance of the electronic filing system.  </w:t>
      </w:r>
    </w:p>
  </w:footnote>
  <w:footnote w:id="4">
    <w:p w:rsidR="00111CC4" w:rsidP="005A1F36" w14:paraId="2A9F0C65" w14:textId="77777777">
      <w:pPr>
        <w:pStyle w:val="FootnoteText"/>
        <w:tabs>
          <w:tab w:val="left" w:pos="5730"/>
        </w:tabs>
      </w:pPr>
      <w:r w:rsidRPr="00DC7A46">
        <w:rPr>
          <w:rStyle w:val="FootnoteReference"/>
        </w:rPr>
        <w:footnoteRef/>
      </w:r>
      <w:r w:rsidRPr="00DC7A46">
        <w:t xml:space="preserve"> 47 U.S.C. § 1302(a).</w:t>
      </w:r>
      <w:r w:rsidR="00A7009F">
        <w:tab/>
      </w:r>
    </w:p>
  </w:footnote>
  <w:footnote w:id="5">
    <w:p w:rsidR="00764199" w14:paraId="259A8084" w14:textId="705EC45B">
      <w:pPr>
        <w:pStyle w:val="FootnoteText"/>
      </w:pPr>
      <w:r>
        <w:rPr>
          <w:rStyle w:val="FootnoteReference"/>
        </w:rPr>
        <w:footnoteRef/>
      </w:r>
      <w:r>
        <w:t xml:space="preserve"> </w:t>
      </w:r>
      <w:r w:rsidRPr="00441582" w:rsidR="006A538A">
        <w:rPr>
          <w:i/>
          <w:iCs/>
        </w:rPr>
        <w:t xml:space="preserve">See </w:t>
      </w:r>
      <w:r w:rsidRPr="00A61C9A" w:rsidR="00340054">
        <w:rPr>
          <w:i/>
          <w:iCs/>
        </w:rPr>
        <w:t>id</w:t>
      </w:r>
      <w:r w:rsidR="00340054">
        <w:t>.</w:t>
      </w:r>
      <w:r>
        <w:t xml:space="preserve"> </w:t>
      </w:r>
      <w:r w:rsidRPr="00DC7A46">
        <w:t>§</w:t>
      </w:r>
      <w:r>
        <w:t xml:space="preserve"> 1302(</w:t>
      </w:r>
      <w:r w:rsidR="006A538A">
        <w:t>b</w:t>
      </w:r>
      <w:r>
        <w:t xml:space="preserve">). </w:t>
      </w:r>
    </w:p>
  </w:footnote>
  <w:footnote w:id="6">
    <w:p w:rsidR="00111CC4" w:rsidP="009321F5" w14:paraId="32AB4234" w14:textId="77777777">
      <w:pPr>
        <w:pStyle w:val="FootnoteText"/>
      </w:pPr>
      <w:r>
        <w:rPr>
          <w:rStyle w:val="FootnoteReference"/>
        </w:rPr>
        <w:footnoteRef/>
      </w:r>
      <w:r>
        <w:t xml:space="preserve"> </w:t>
      </w:r>
      <w:r w:rsidRPr="00A2785D">
        <w:rPr>
          <w:i/>
          <w:iCs/>
        </w:rPr>
        <w:t>December 31, 2019 FCC Form 477 Instructions</w:t>
      </w:r>
      <w:r>
        <w:t xml:space="preserve"> at 4.</w:t>
      </w:r>
      <w:r w:rsidR="00DB1C9A">
        <w:t xml:space="preserve"> </w:t>
      </w:r>
    </w:p>
  </w:footnote>
  <w:footnote w:id="7">
    <w:p w:rsidR="00111CC4" w:rsidP="00DB1C9A" w14:paraId="6F17919D" w14:textId="63EB3CDF">
      <w:pPr>
        <w:pStyle w:val="FootnoteText"/>
      </w:pPr>
      <w:bookmarkStart w:id="2" w:name="_Hlk60671435"/>
      <w:r>
        <w:rPr>
          <w:rStyle w:val="FootnoteReference"/>
        </w:rPr>
        <w:footnoteRef/>
      </w:r>
      <w:r w:rsidR="00DB1C9A">
        <w:t xml:space="preserve"> </w:t>
      </w:r>
      <w:bookmarkStart w:id="3" w:name="_Hlk58590380"/>
      <w:r w:rsidRPr="00FF666E" w:rsidR="00DB1C9A">
        <w:rPr>
          <w:i/>
          <w:iCs/>
        </w:rPr>
        <w:t xml:space="preserve">Local </w:t>
      </w:r>
      <w:r w:rsidR="00BA3F91">
        <w:rPr>
          <w:i/>
          <w:iCs/>
        </w:rPr>
        <w:t xml:space="preserve">Telephone </w:t>
      </w:r>
      <w:r w:rsidRPr="00FF666E" w:rsidR="00DB1C9A">
        <w:rPr>
          <w:i/>
          <w:iCs/>
        </w:rPr>
        <w:t>Competition</w:t>
      </w:r>
      <w:r w:rsidR="00BA3F91">
        <w:rPr>
          <w:i/>
          <w:iCs/>
        </w:rPr>
        <w:t xml:space="preserve"> and</w:t>
      </w:r>
      <w:r w:rsidRPr="00FF666E" w:rsidR="00DB1C9A">
        <w:rPr>
          <w:i/>
          <w:iCs/>
        </w:rPr>
        <w:t xml:space="preserve"> Broadband Reporting</w:t>
      </w:r>
      <w:r w:rsidR="00DB1C9A">
        <w:t>, WC Docket No. 04-141, Report and Order</w:t>
      </w:r>
      <w:r w:rsidR="00E03F3E">
        <w:t>,</w:t>
      </w:r>
      <w:r w:rsidR="00DB1C9A">
        <w:t xml:space="preserve"> 19 FCC </w:t>
      </w:r>
      <w:r w:rsidR="00DB1C9A">
        <w:t>Rcd</w:t>
      </w:r>
      <w:r w:rsidR="00DB1C9A">
        <w:t xml:space="preserve"> 22340, 22345, para. 8 (2004) (</w:t>
      </w:r>
      <w:r w:rsidRPr="00FF666E" w:rsidR="00DB1C9A">
        <w:rPr>
          <w:i/>
          <w:iCs/>
        </w:rPr>
        <w:t>2004 Broadband Reporting Order</w:t>
      </w:r>
      <w:r w:rsidR="00DB1C9A">
        <w:t xml:space="preserve">) (emphasis in original); </w:t>
      </w:r>
      <w:r w:rsidRPr="00FF666E" w:rsidR="00DB1C9A">
        <w:rPr>
          <w:i/>
          <w:iCs/>
        </w:rPr>
        <w:t>FCC Announces Electronic Posting of OMB-Approved Form 477 for the September 1, 2005 Filing and Data Collection Workshop to be Held on June 29,  2005</w:t>
      </w:r>
      <w:r w:rsidR="00DB1C9A">
        <w:t xml:space="preserve">, Public Notice, 20 FCC </w:t>
      </w:r>
      <w:r w:rsidR="00DB1C9A">
        <w:t>Rcd</w:t>
      </w:r>
      <w:r w:rsidR="00DB1C9A">
        <w:t xml:space="preserve"> 10454</w:t>
      </w:r>
      <w:r w:rsidR="00C57163">
        <w:t>,</w:t>
      </w:r>
      <w:r w:rsidRPr="00C57163" w:rsidR="00C57163">
        <w:t xml:space="preserve"> </w:t>
      </w:r>
      <w:r w:rsidR="00C57163">
        <w:t>10456</w:t>
      </w:r>
      <w:r w:rsidR="00DB1C9A">
        <w:t xml:space="preserve"> (</w:t>
      </w:r>
      <w:r w:rsidR="00DB1C9A">
        <w:t>WCB</w:t>
      </w:r>
      <w:r w:rsidR="00DB1C9A">
        <w:t xml:space="preserve"> 2005) (</w:t>
      </w:r>
      <w:r w:rsidRPr="00FF666E" w:rsidR="00DB1C9A">
        <w:rPr>
          <w:i/>
          <w:iCs/>
        </w:rPr>
        <w:t>OMB-Approved Form 477 Public Notice</w:t>
      </w:r>
      <w:r w:rsidR="00DB1C9A">
        <w:t>).</w:t>
      </w:r>
      <w:bookmarkEnd w:id="3"/>
      <w:r w:rsidR="00003FB6">
        <w:t xml:space="preserve"> </w:t>
      </w:r>
      <w:bookmarkStart w:id="4" w:name="_Hlk60667612"/>
      <w:bookmarkEnd w:id="2"/>
    </w:p>
    <w:bookmarkEnd w:id="4"/>
  </w:footnote>
  <w:footnote w:id="8">
    <w:p w:rsidR="002C7904" w:rsidRPr="00A80B8F" w14:paraId="1569FE4B" w14:textId="23338ED1">
      <w:pPr>
        <w:pStyle w:val="FootnoteText"/>
      </w:pPr>
      <w:r>
        <w:rPr>
          <w:rStyle w:val="FootnoteReference"/>
        </w:rPr>
        <w:footnoteRef/>
      </w:r>
      <w:r>
        <w:t xml:space="preserve"> </w:t>
      </w:r>
      <w:r w:rsidRPr="00441582" w:rsidR="00FB1BA5">
        <w:rPr>
          <w:i/>
          <w:iCs/>
        </w:rPr>
        <w:t xml:space="preserve">See </w:t>
      </w:r>
      <w:r>
        <w:t xml:space="preserve">News Release, FCC, FCC Improves Data Collection to Monitor Nationwide Broadband Rollout, Agency Also to Collect Better Information About Rural and Underserved Areas (Nov. </w:t>
      </w:r>
      <w:r w:rsidR="00A80B8F">
        <w:t>9</w:t>
      </w:r>
      <w:r>
        <w:t xml:space="preserve">, 2004), </w:t>
      </w:r>
      <w:hyperlink r:id="rId1" w:history="1">
        <w:r w:rsidRPr="00C24B0B" w:rsidR="00F55566">
          <w:rPr>
            <w:rStyle w:val="Hyperlink"/>
          </w:rPr>
          <w:t>https://www.fcc.gov/document/fcc-improves-data-collection-monitor-nationwide-broadband-rollout</w:t>
        </w:r>
      </w:hyperlink>
      <w:r w:rsidR="00A80B8F">
        <w:t xml:space="preserve">; </w:t>
      </w:r>
      <w:r w:rsidRPr="00441582" w:rsidR="00BF4616">
        <w:rPr>
          <w:i/>
          <w:iCs/>
        </w:rPr>
        <w:t xml:space="preserve">see also </w:t>
      </w:r>
      <w:r w:rsidRPr="00FF666E" w:rsidR="00A80B8F">
        <w:rPr>
          <w:i/>
          <w:iCs/>
        </w:rPr>
        <w:t>2004 Broadband Reporting Order</w:t>
      </w:r>
      <w:r w:rsidR="00A80B8F">
        <w:t xml:space="preserve">, 19 FCC </w:t>
      </w:r>
      <w:r w:rsidR="00A80B8F">
        <w:t>Rcd</w:t>
      </w:r>
      <w:r w:rsidR="00A80B8F">
        <w:t xml:space="preserve"> at 22345, para. 8.</w:t>
      </w:r>
    </w:p>
  </w:footnote>
  <w:footnote w:id="9">
    <w:p w:rsidR="00111CC4" w:rsidP="00DB1C9A" w14:paraId="763A343C" w14:textId="77777777">
      <w:pPr>
        <w:pStyle w:val="FootnoteText"/>
      </w:pPr>
      <w:r>
        <w:rPr>
          <w:rStyle w:val="FootnoteReference"/>
        </w:rPr>
        <w:footnoteRef/>
      </w:r>
      <w:r w:rsidR="00DB1C9A">
        <w:t xml:space="preserve"> </w:t>
      </w:r>
      <w:r w:rsidRPr="00FF666E" w:rsidR="00DB1C9A">
        <w:rPr>
          <w:i/>
          <w:iCs/>
        </w:rPr>
        <w:t>See Modernizing the FCC Form 477 Data Program</w:t>
      </w:r>
      <w:r w:rsidR="00DB1C9A">
        <w:t xml:space="preserve">, WC Docket No. 11-10, Report and Order, 28 FCC </w:t>
      </w:r>
      <w:r w:rsidR="00DB1C9A">
        <w:t>Rcd</w:t>
      </w:r>
      <w:r w:rsidR="00DB1C9A">
        <w:t xml:space="preserve"> 9887, 9888, 9896-97, 9902-08, 9913-18, paras. 3, 20, 32-41, 56-68 (2013)</w:t>
      </w:r>
      <w:r w:rsidR="00FF666E">
        <w:t xml:space="preserve">; </w:t>
      </w:r>
      <w:r w:rsidRPr="00FF666E" w:rsidR="00DB1C9A">
        <w:rPr>
          <w:i/>
          <w:iCs/>
        </w:rPr>
        <w:t>Additional Information for Form 477 Filers on New Data Submission Interface</w:t>
      </w:r>
      <w:r w:rsidR="00DB1C9A">
        <w:t xml:space="preserve">, WC Docket No. 11-10, Public Notice, 29 FCC </w:t>
      </w:r>
      <w:r w:rsidR="00DB1C9A">
        <w:t>Rcd</w:t>
      </w:r>
      <w:r w:rsidR="00DB1C9A">
        <w:t xml:space="preserve"> 3174 (</w:t>
      </w:r>
      <w:r w:rsidR="00DB1C9A">
        <w:t>WCB</w:t>
      </w:r>
      <w:r w:rsidR="00DB1C9A">
        <w:t xml:space="preserve"> 2014); </w:t>
      </w:r>
      <w:r w:rsidRPr="00FF666E" w:rsidR="00DB1C9A">
        <w:rPr>
          <w:i/>
          <w:iCs/>
        </w:rPr>
        <w:t>Wireline Competition Bureau Releases Data Specifications for Form 477</w:t>
      </w:r>
      <w:r w:rsidR="006E0077">
        <w:rPr>
          <w:i/>
          <w:iCs/>
        </w:rPr>
        <w:t xml:space="preserve"> </w:t>
      </w:r>
      <w:r w:rsidRPr="00FF666E" w:rsidR="00DB1C9A">
        <w:rPr>
          <w:i/>
          <w:iCs/>
        </w:rPr>
        <w:t>Data Collection</w:t>
      </w:r>
      <w:r w:rsidR="00DB1C9A">
        <w:t xml:space="preserve">, WC Docket No. 11-10, Public Notice, 28 FCC </w:t>
      </w:r>
      <w:r w:rsidR="00DB1C9A">
        <w:t>Rcd</w:t>
      </w:r>
      <w:r w:rsidR="00DB1C9A">
        <w:t xml:space="preserve"> 12665 (</w:t>
      </w:r>
      <w:r w:rsidR="00DB1C9A">
        <w:t>WCB</w:t>
      </w:r>
      <w:r w:rsidR="00DB1C9A">
        <w:t xml:space="preserve"> 2013).</w:t>
      </w:r>
    </w:p>
  </w:footnote>
  <w:footnote w:id="10">
    <w:p w:rsidR="00111CC4" w:rsidP="009321F5" w14:paraId="31F2D9E8" w14:textId="7E11CCA9">
      <w:pPr>
        <w:pStyle w:val="FootnoteText"/>
      </w:pPr>
      <w:r w:rsidRPr="00DC7A46">
        <w:rPr>
          <w:rStyle w:val="FootnoteReference"/>
        </w:rPr>
        <w:footnoteRef/>
      </w:r>
      <w:r w:rsidRPr="00DC7A46">
        <w:t xml:space="preserve"> </w:t>
      </w:r>
      <w:r w:rsidRPr="00061283">
        <w:rPr>
          <w:i/>
          <w:iCs/>
        </w:rPr>
        <w:t>See</w:t>
      </w:r>
      <w:r w:rsidRPr="00DC7A46">
        <w:t xml:space="preserve"> </w:t>
      </w:r>
      <w:r w:rsidRPr="008A39C2">
        <w:rPr>
          <w:i/>
          <w:iCs/>
        </w:rPr>
        <w:t xml:space="preserve">Barrier Communications Corporation d/b/a </w:t>
      </w:r>
      <w:r w:rsidRPr="008A39C2">
        <w:rPr>
          <w:i/>
          <w:iCs/>
        </w:rPr>
        <w:t>BarrierFree</w:t>
      </w:r>
      <w:r w:rsidRPr="00DC7A46">
        <w:t xml:space="preserve">, Notice of Apparent Liability for Forfeiture, 35 FCC </w:t>
      </w:r>
      <w:r w:rsidRPr="00DC7A46">
        <w:t>Rcd</w:t>
      </w:r>
      <w:r w:rsidRPr="00DC7A46">
        <w:t xml:space="preserve"> 10186 (2020) (</w:t>
      </w:r>
      <w:r w:rsidRPr="008A39C2">
        <w:rPr>
          <w:i/>
          <w:iCs/>
        </w:rPr>
        <w:t>BarrierFree</w:t>
      </w:r>
      <w:r w:rsidRPr="008A39C2">
        <w:rPr>
          <w:i/>
          <w:iCs/>
        </w:rPr>
        <w:t xml:space="preserve"> </w:t>
      </w:r>
      <w:r w:rsidRPr="008A39C2">
        <w:rPr>
          <w:i/>
          <w:iCs/>
        </w:rPr>
        <w:t>NAL</w:t>
      </w:r>
      <w:r w:rsidRPr="00DC7A46">
        <w:t xml:space="preserve">); </w:t>
      </w:r>
      <w:r w:rsidRPr="008A39C2">
        <w:rPr>
          <w:i/>
          <w:iCs/>
        </w:rPr>
        <w:t>Rio Verde Wireless, LLC</w:t>
      </w:r>
      <w:r w:rsidRPr="00DC7A46">
        <w:t xml:space="preserve">, Notice of Apparent Liability for Forfeiture, 30 FCC </w:t>
      </w:r>
      <w:r w:rsidRPr="00DC7A46">
        <w:t>Rcd</w:t>
      </w:r>
      <w:r w:rsidRPr="00DC7A46">
        <w:t xml:space="preserve"> 2196 (EB 2015)</w:t>
      </w:r>
      <w:r w:rsidR="00045AFD">
        <w:t xml:space="preserve"> </w:t>
      </w:r>
      <w:r w:rsidRPr="00DC7A46" w:rsidR="00B1525B">
        <w:t>(</w:t>
      </w:r>
      <w:r w:rsidRPr="008A39C2" w:rsidR="00B1525B">
        <w:rPr>
          <w:i/>
          <w:iCs/>
        </w:rPr>
        <w:t xml:space="preserve">Rio Verde Wireless </w:t>
      </w:r>
      <w:r w:rsidRPr="008A39C2" w:rsidR="00B1525B">
        <w:rPr>
          <w:i/>
          <w:iCs/>
        </w:rPr>
        <w:t>NAL</w:t>
      </w:r>
      <w:r w:rsidRPr="00DC7A46" w:rsidR="00B1525B">
        <w:t>)</w:t>
      </w:r>
      <w:r w:rsidRPr="00DC7A46">
        <w:t xml:space="preserve">, </w:t>
      </w:r>
      <w:r w:rsidRPr="00B44EFC">
        <w:rPr>
          <w:i/>
          <w:iCs/>
        </w:rPr>
        <w:t>cancelled by</w:t>
      </w:r>
      <w:r w:rsidRPr="00DC7A46">
        <w:t xml:space="preserve"> Order, 30 FCC </w:t>
      </w:r>
      <w:r w:rsidRPr="00DC7A46">
        <w:t>Rcd</w:t>
      </w:r>
      <w:r w:rsidRPr="00DC7A46">
        <w:t xml:space="preserve"> 10597 (EB 2015) (consent decree admitting violations and paying civil penalty); </w:t>
      </w:r>
      <w:r w:rsidRPr="008A39C2">
        <w:rPr>
          <w:i/>
          <w:iCs/>
        </w:rPr>
        <w:t>FCC Enforcement Advisory – Providers Must File a Complete and Accurate Form 477 Report Every Six Months</w:t>
      </w:r>
      <w:r w:rsidRPr="00DC7A46">
        <w:t xml:space="preserve">, Public Notice, 30 FCC </w:t>
      </w:r>
      <w:r w:rsidRPr="00DC7A46">
        <w:t>Rcd</w:t>
      </w:r>
      <w:r w:rsidRPr="00DC7A46">
        <w:t xml:space="preserve"> 10853 (EB 2015); </w:t>
      </w:r>
      <w:r w:rsidRPr="008A39C2">
        <w:rPr>
          <w:i/>
          <w:iCs/>
        </w:rPr>
        <w:t>FCC Enforcement Advisory – Providers Are Reminded that They Must File Complete and Accurate Form 477 Reports Every Six Months</w:t>
      </w:r>
      <w:r w:rsidRPr="00DC7A46">
        <w:t xml:space="preserve">, Public Notice, 26 FCC </w:t>
      </w:r>
      <w:r w:rsidRPr="00DC7A46">
        <w:t>Rcd</w:t>
      </w:r>
      <w:r w:rsidRPr="00DC7A46">
        <w:t xml:space="preserve"> 16769 (EB 2011).</w:t>
      </w:r>
    </w:p>
  </w:footnote>
  <w:footnote w:id="11">
    <w:p w:rsidR="00042172" w:rsidP="00042172" w14:paraId="635E09D7" w14:textId="1F5A53D1">
      <w:pPr>
        <w:pStyle w:val="FootnoteText"/>
      </w:pPr>
      <w:r w:rsidRPr="00221E8A">
        <w:rPr>
          <w:rStyle w:val="FootnoteReference"/>
        </w:rPr>
        <w:footnoteRef/>
      </w:r>
      <w:r>
        <w:t xml:space="preserve"> </w:t>
      </w:r>
      <w:r w:rsidRPr="002940D4" w:rsidR="0053248D">
        <w:t xml:space="preserve">FCC Form 477 Filed for data as of December 31, 2019 for </w:t>
      </w:r>
      <w:r w:rsidR="0053248D">
        <w:t>Slopeside</w:t>
      </w:r>
      <w:r w:rsidR="0053248D">
        <w:t xml:space="preserve"> Internet LLC</w:t>
      </w:r>
      <w:r w:rsidRPr="002940D4" w:rsidR="0053248D">
        <w:t xml:space="preserve"> (filed </w:t>
      </w:r>
      <w:r w:rsidR="00647AF0">
        <w:t>Ma</w:t>
      </w:r>
      <w:r w:rsidRPr="002940D4" w:rsidR="0053248D">
        <w:t xml:space="preserve">r. </w:t>
      </w:r>
      <w:r w:rsidR="00647AF0">
        <w:t>13</w:t>
      </w:r>
      <w:r w:rsidRPr="002940D4" w:rsidR="0053248D">
        <w:t xml:space="preserve">, 2020 at </w:t>
      </w:r>
      <w:r w:rsidR="00647AF0">
        <w:t>23:0</w:t>
      </w:r>
      <w:r w:rsidRPr="002940D4" w:rsidR="0053248D">
        <w:t>9:</w:t>
      </w:r>
      <w:r w:rsidR="00647AF0">
        <w:t>05</w:t>
      </w:r>
      <w:r w:rsidRPr="002940D4" w:rsidR="0053248D">
        <w:t xml:space="preserve">) </w:t>
      </w:r>
      <w:r w:rsidRPr="00CB1C8F" w:rsidR="0053248D">
        <w:t>(FCC Form 477 Filed for data as of December 31, 2019)</w:t>
      </w:r>
      <w:r w:rsidR="0053248D">
        <w:t xml:space="preserve">; </w:t>
      </w:r>
      <w:r w:rsidR="0053248D">
        <w:rPr>
          <w:i/>
          <w:iCs/>
        </w:rPr>
        <w:t>s</w:t>
      </w:r>
      <w:r w:rsidRPr="009321F5" w:rsidR="0053248D">
        <w:rPr>
          <w:i/>
          <w:iCs/>
        </w:rPr>
        <w:t>ee also</w:t>
      </w:r>
      <w:r w:rsidRPr="002940D4" w:rsidR="0053248D">
        <w:t xml:space="preserve"> </w:t>
      </w:r>
      <w:r w:rsidR="00647AF0">
        <w:t>Slopeside</w:t>
      </w:r>
      <w:r w:rsidR="00B85F4B">
        <w:t xml:space="preserve"> Internet</w:t>
      </w:r>
      <w:r w:rsidR="0053248D">
        <w:t>,</w:t>
      </w:r>
      <w:r w:rsidRPr="00A2785D" w:rsidR="0053248D">
        <w:rPr>
          <w:i/>
          <w:iCs/>
        </w:rPr>
        <w:t xml:space="preserve"> </w:t>
      </w:r>
      <w:r w:rsidR="0087127F">
        <w:rPr>
          <w:i/>
          <w:iCs/>
        </w:rPr>
        <w:t xml:space="preserve">Welcome to </w:t>
      </w:r>
      <w:r w:rsidR="0087127F">
        <w:rPr>
          <w:i/>
          <w:iCs/>
        </w:rPr>
        <w:t>Slopeside</w:t>
      </w:r>
      <w:r w:rsidR="0087127F">
        <w:rPr>
          <w:i/>
          <w:iCs/>
        </w:rPr>
        <w:t xml:space="preserve"> Internet!</w:t>
      </w:r>
      <w:r w:rsidRPr="002940D4" w:rsidR="0053248D">
        <w:t xml:space="preserve">, </w:t>
      </w:r>
      <w:hyperlink r:id="rId2" w:history="1">
        <w:r w:rsidRPr="005E7BE5" w:rsidR="00B85F4B">
          <w:rPr>
            <w:rStyle w:val="Hyperlink"/>
          </w:rPr>
          <w:t>http://www.slopeside.net/</w:t>
        </w:r>
      </w:hyperlink>
      <w:r w:rsidR="00B85F4B">
        <w:t xml:space="preserve"> </w:t>
      </w:r>
      <w:r w:rsidRPr="002940D4" w:rsidR="0053248D">
        <w:t xml:space="preserve">(last visited </w:t>
      </w:r>
      <w:r w:rsidR="0053248D">
        <w:t xml:space="preserve">Feb. </w:t>
      </w:r>
      <w:r w:rsidR="00647AF0">
        <w:t>1</w:t>
      </w:r>
      <w:r w:rsidR="0087127F">
        <w:t>8</w:t>
      </w:r>
      <w:r w:rsidR="0053248D">
        <w:t>, 2021)</w:t>
      </w:r>
      <w:r>
        <w:t>.</w:t>
      </w:r>
    </w:p>
  </w:footnote>
  <w:footnote w:id="12">
    <w:p w:rsidR="00111CC4" w:rsidP="009321F5" w14:paraId="76B0328D" w14:textId="33C1EC2A">
      <w:pPr>
        <w:pStyle w:val="FootnoteText"/>
      </w:pPr>
      <w:r w:rsidRPr="009B0C8F">
        <w:rPr>
          <w:rStyle w:val="FootnoteReference"/>
        </w:rPr>
        <w:footnoteRef/>
      </w:r>
      <w:r w:rsidR="00FF0F24">
        <w:rPr>
          <w:color w:val="000000"/>
          <w:bdr w:val="none" w:sz="0" w:space="0" w:color="auto" w:frame="1"/>
          <w:shd w:val="clear" w:color="auto" w:fill="FFFFFF"/>
        </w:rPr>
        <w:t xml:space="preserve"> </w:t>
      </w:r>
      <w:r w:rsidRPr="009B0C8F" w:rsidR="00FF0F24">
        <w:rPr>
          <w:color w:val="000000"/>
          <w:bdr w:val="none" w:sz="0" w:space="0" w:color="auto" w:frame="1"/>
          <w:shd w:val="clear" w:color="auto" w:fill="FFFFFF"/>
        </w:rPr>
        <w:t>FCC, Universal Licensing System, </w:t>
      </w:r>
      <w:r w:rsidR="00FF0F24">
        <w:rPr>
          <w:color w:val="000000"/>
          <w:bdr w:val="none" w:sz="0" w:space="0" w:color="auto" w:frame="1"/>
          <w:shd w:val="clear" w:color="auto" w:fill="FFFFFF"/>
        </w:rPr>
        <w:t>3650-3700 MHz License</w:t>
      </w:r>
      <w:bookmarkStart w:id="5" w:name="_Hlk59618637"/>
      <w:r w:rsidR="00FF0F24">
        <w:rPr>
          <w:color w:val="000000"/>
          <w:bdr w:val="none" w:sz="0" w:space="0" w:color="auto" w:frame="1"/>
          <w:shd w:val="clear" w:color="auto" w:fill="FFFFFF"/>
        </w:rPr>
        <w:t xml:space="preserve"> </w:t>
      </w:r>
      <w:r w:rsidRPr="009B0C8F" w:rsidR="00FF0F24">
        <w:rPr>
          <w:color w:val="000000"/>
          <w:bdr w:val="none" w:sz="0" w:space="0" w:color="auto" w:frame="1"/>
          <w:shd w:val="clear" w:color="auto" w:fill="FFFFFF"/>
        </w:rPr>
        <w:t>–</w:t>
      </w:r>
      <w:r w:rsidR="00FF0F24">
        <w:rPr>
          <w:color w:val="000000"/>
          <w:bdr w:val="none" w:sz="0" w:space="0" w:color="auto" w:frame="1"/>
          <w:shd w:val="clear" w:color="auto" w:fill="FFFFFF"/>
        </w:rPr>
        <w:t xml:space="preserve"> </w:t>
      </w:r>
      <w:bookmarkEnd w:id="5"/>
      <w:r w:rsidR="00FF0F24">
        <w:rPr>
          <w:color w:val="000000"/>
          <w:bdr w:val="none" w:sz="0" w:space="0" w:color="auto" w:frame="1"/>
          <w:shd w:val="clear" w:color="auto" w:fill="FFFFFF"/>
        </w:rPr>
        <w:t xml:space="preserve">WQIC594 </w:t>
      </w:r>
      <w:r w:rsidRPr="009B0C8F" w:rsidR="00FF0F24">
        <w:rPr>
          <w:color w:val="000000"/>
          <w:bdr w:val="none" w:sz="0" w:space="0" w:color="auto" w:frame="1"/>
          <w:shd w:val="clear" w:color="auto" w:fill="FFFFFF"/>
        </w:rPr>
        <w:t>–</w:t>
      </w:r>
      <w:r w:rsidR="00FF0F24">
        <w:rPr>
          <w:color w:val="000000"/>
          <w:bdr w:val="none" w:sz="0" w:space="0" w:color="auto" w:frame="1"/>
          <w:shd w:val="clear" w:color="auto" w:fill="FFFFFF"/>
        </w:rPr>
        <w:t xml:space="preserve"> </w:t>
      </w:r>
      <w:r w:rsidR="00FF0F24">
        <w:rPr>
          <w:color w:val="000000"/>
          <w:bdr w:val="none" w:sz="0" w:space="0" w:color="auto" w:frame="1"/>
          <w:shd w:val="clear" w:color="auto" w:fill="FFFFFF"/>
        </w:rPr>
        <w:t>Slopeside</w:t>
      </w:r>
      <w:r w:rsidR="00FF0F24">
        <w:rPr>
          <w:color w:val="000000"/>
          <w:bdr w:val="none" w:sz="0" w:space="0" w:color="auto" w:frame="1"/>
          <w:shd w:val="clear" w:color="auto" w:fill="FFFFFF"/>
        </w:rPr>
        <w:t xml:space="preserve"> Internet, LLC, </w:t>
      </w:r>
      <w:hyperlink r:id="rId3" w:history="1">
        <w:r w:rsidRPr="00BC657A" w:rsidR="00FF0F24">
          <w:rPr>
            <w:rStyle w:val="Hyperlink"/>
            <w:bdr w:val="none" w:sz="0" w:space="0" w:color="auto" w:frame="1"/>
            <w:shd w:val="clear" w:color="auto" w:fill="FFFFFF"/>
          </w:rPr>
          <w:t>https://wireless2.fcc.gov/UlsApp/UlsSearch/license.jsp?licKey=2973497</w:t>
        </w:r>
      </w:hyperlink>
      <w:r w:rsidR="00FF0F24">
        <w:rPr>
          <w:color w:val="000000"/>
          <w:bdr w:val="none" w:sz="0" w:space="0" w:color="auto" w:frame="1"/>
          <w:shd w:val="clear" w:color="auto" w:fill="FFFFFF"/>
        </w:rPr>
        <w:t xml:space="preserve"> </w:t>
      </w:r>
      <w:r w:rsidRPr="009B0C8F" w:rsidR="00FF0F24">
        <w:rPr>
          <w:color w:val="000000"/>
          <w:bdr w:val="none" w:sz="0" w:space="0" w:color="auto" w:frame="1"/>
          <w:shd w:val="clear" w:color="auto" w:fill="FFFFFF"/>
        </w:rPr>
        <w:t xml:space="preserve">(last visited </w:t>
      </w:r>
      <w:r w:rsidR="00FF0F24">
        <w:rPr>
          <w:color w:val="000000"/>
          <w:bdr w:val="none" w:sz="0" w:space="0" w:color="auto" w:frame="1"/>
          <w:shd w:val="clear" w:color="auto" w:fill="FFFFFF"/>
        </w:rPr>
        <w:t>Feb. 1</w:t>
      </w:r>
      <w:r w:rsidR="00B85F4B">
        <w:rPr>
          <w:color w:val="000000"/>
          <w:bdr w:val="none" w:sz="0" w:space="0" w:color="auto" w:frame="1"/>
          <w:shd w:val="clear" w:color="auto" w:fill="FFFFFF"/>
        </w:rPr>
        <w:t>8</w:t>
      </w:r>
      <w:r w:rsidRPr="009B0C8F" w:rsidR="00FF0F24">
        <w:rPr>
          <w:color w:val="000000"/>
          <w:bdr w:val="none" w:sz="0" w:space="0" w:color="auto" w:frame="1"/>
          <w:shd w:val="clear" w:color="auto" w:fill="FFFFFF"/>
        </w:rPr>
        <w:t>, 202</w:t>
      </w:r>
      <w:r w:rsidR="00FF0F24">
        <w:rPr>
          <w:color w:val="000000"/>
          <w:bdr w:val="none" w:sz="0" w:space="0" w:color="auto" w:frame="1"/>
          <w:shd w:val="clear" w:color="auto" w:fill="FFFFFF"/>
        </w:rPr>
        <w:t>1</w:t>
      </w:r>
      <w:r w:rsidRPr="009B0C8F" w:rsidR="00FF0F24">
        <w:rPr>
          <w:color w:val="000000"/>
          <w:bdr w:val="none" w:sz="0" w:space="0" w:color="auto" w:frame="1"/>
          <w:shd w:val="clear" w:color="auto" w:fill="FFFFFF"/>
        </w:rPr>
        <w:t>)</w:t>
      </w:r>
      <w:r w:rsidR="00FF0F24">
        <w:t>.</w:t>
      </w:r>
      <w:r w:rsidR="00B85F4B">
        <w:t xml:space="preserve">  </w:t>
      </w:r>
      <w:r w:rsidRPr="009B0C8F" w:rsidR="009B0C8F">
        <w:t>The FCC Universal Licensing System (ULS) is a free to use and publicly available database</w:t>
      </w:r>
      <w:r w:rsidR="00061283">
        <w:t xml:space="preserve">, </w:t>
      </w:r>
      <w:hyperlink r:id="rId4" w:history="1">
        <w:r w:rsidRPr="00BC6425" w:rsidR="00061283">
          <w:rPr>
            <w:rStyle w:val="Hyperlink"/>
          </w:rPr>
          <w:t>https://www.fcc.gov/wireless/systems-utilities/universal-licensing-system</w:t>
        </w:r>
      </w:hyperlink>
      <w:r w:rsidR="007769B3">
        <w:t xml:space="preserve"> (last visited Feb</w:t>
      </w:r>
      <w:r w:rsidR="00F30E78">
        <w:t>.</w:t>
      </w:r>
      <w:r w:rsidR="007769B3">
        <w:t xml:space="preserve"> </w:t>
      </w:r>
      <w:r w:rsidR="00B85F4B">
        <w:t>18</w:t>
      </w:r>
      <w:r w:rsidR="007769B3">
        <w:t>, 2021).</w:t>
      </w:r>
    </w:p>
  </w:footnote>
  <w:footnote w:id="13">
    <w:p w:rsidR="002D48D9" w:rsidRPr="00DC7A46" w:rsidP="002D48D9" w14:paraId="4855B091" w14:textId="37BC347D">
      <w:pPr>
        <w:pStyle w:val="FootnoteText"/>
      </w:pPr>
      <w:r w:rsidRPr="00DC7A46">
        <w:rPr>
          <w:rStyle w:val="FootnoteReference"/>
        </w:rPr>
        <w:footnoteRef/>
      </w:r>
      <w:r>
        <w:t xml:space="preserve"> </w:t>
      </w:r>
      <w:r w:rsidRPr="002940D4">
        <w:t xml:space="preserve">FCC Form 477 Filed for data as of </w:t>
      </w:r>
      <w:r>
        <w:t>June 30, 2014</w:t>
      </w:r>
      <w:r w:rsidRPr="002940D4">
        <w:t xml:space="preserve"> for </w:t>
      </w:r>
      <w:r>
        <w:t>Slopeside</w:t>
      </w:r>
      <w:r>
        <w:t xml:space="preserve"> Internet LLC</w:t>
      </w:r>
      <w:r w:rsidRPr="002940D4">
        <w:t xml:space="preserve"> (filed </w:t>
      </w:r>
      <w:r>
        <w:t>Dec</w:t>
      </w:r>
      <w:r w:rsidRPr="002940D4">
        <w:t xml:space="preserve">. </w:t>
      </w:r>
      <w:r>
        <w:t>12</w:t>
      </w:r>
      <w:r w:rsidRPr="002940D4">
        <w:t>, 20</w:t>
      </w:r>
      <w:r>
        <w:t>14</w:t>
      </w:r>
      <w:r w:rsidRPr="002940D4">
        <w:t xml:space="preserve"> at</w:t>
      </w:r>
      <w:r>
        <w:t xml:space="preserve"> 06:30:22</w:t>
      </w:r>
      <w:r w:rsidRPr="002940D4">
        <w:t>)</w:t>
      </w:r>
      <w:r>
        <w:t xml:space="preserve"> </w:t>
      </w:r>
      <w:bookmarkStart w:id="7" w:name="_Hlk64496757"/>
      <w:r w:rsidRPr="00CB1C8F">
        <w:t>(FCC Form 477 Filed for data as of June 30, 2014);</w:t>
      </w:r>
      <w:r>
        <w:t xml:space="preserve"> </w:t>
      </w:r>
      <w:r w:rsidRPr="002940D4">
        <w:t xml:space="preserve">FCC Form 477 Filed for data as of </w:t>
      </w:r>
      <w:r>
        <w:t>December 31, 2014</w:t>
      </w:r>
      <w:r w:rsidRPr="002940D4">
        <w:t xml:space="preserve"> for </w:t>
      </w:r>
      <w:r>
        <w:t>Slopeside</w:t>
      </w:r>
      <w:r>
        <w:t xml:space="preserve"> Internet LLC</w:t>
      </w:r>
      <w:r w:rsidRPr="002940D4">
        <w:t xml:space="preserve"> (filed </w:t>
      </w:r>
      <w:r>
        <w:t>May</w:t>
      </w:r>
      <w:r w:rsidRPr="002940D4">
        <w:t xml:space="preserve"> </w:t>
      </w:r>
      <w:r>
        <w:t>6</w:t>
      </w:r>
      <w:r w:rsidRPr="002940D4">
        <w:t>, 20</w:t>
      </w:r>
      <w:r>
        <w:t>15</w:t>
      </w:r>
      <w:r w:rsidRPr="002940D4">
        <w:t xml:space="preserve"> at </w:t>
      </w:r>
      <w:r>
        <w:t>17:53:58</w:t>
      </w:r>
      <w:r w:rsidRPr="002940D4">
        <w:t>)</w:t>
      </w:r>
      <w:r w:rsidR="002F7B9E">
        <w:t xml:space="preserve"> (</w:t>
      </w:r>
      <w:r w:rsidRPr="00CB1C8F" w:rsidR="002F7B9E">
        <w:t>FCC Form 477 Filed for data as of December 31, 2014)</w:t>
      </w:r>
      <w:r w:rsidRPr="00CB1C8F">
        <w:t>;</w:t>
      </w:r>
      <w:r>
        <w:t xml:space="preserve"> </w:t>
      </w:r>
      <w:r w:rsidRPr="002940D4">
        <w:t xml:space="preserve">FCC Form 477 Filed for data as of </w:t>
      </w:r>
      <w:r>
        <w:t xml:space="preserve">December 31, 2015 </w:t>
      </w:r>
      <w:r w:rsidRPr="002940D4">
        <w:t xml:space="preserve">for </w:t>
      </w:r>
      <w:r>
        <w:t>Slopeside</w:t>
      </w:r>
      <w:r>
        <w:t xml:space="preserve"> Internet LLC</w:t>
      </w:r>
      <w:r w:rsidRPr="002940D4">
        <w:t xml:space="preserve"> (filed </w:t>
      </w:r>
      <w:r>
        <w:t>Jun</w:t>
      </w:r>
      <w:r w:rsidRPr="002940D4">
        <w:t xml:space="preserve">. </w:t>
      </w:r>
      <w:r>
        <w:t>13</w:t>
      </w:r>
      <w:r w:rsidRPr="002940D4">
        <w:t>, 20</w:t>
      </w:r>
      <w:r>
        <w:t>16</w:t>
      </w:r>
      <w:r w:rsidRPr="002940D4">
        <w:t xml:space="preserve"> at </w:t>
      </w:r>
      <w:r>
        <w:t>21:20:24</w:t>
      </w:r>
      <w:r w:rsidRPr="002940D4">
        <w:t>)</w:t>
      </w:r>
      <w:r w:rsidR="002F7B9E">
        <w:t xml:space="preserve"> (</w:t>
      </w:r>
      <w:r w:rsidRPr="00CB1C8F" w:rsidR="002F7B9E">
        <w:t>FCC Form 477 Filed for data as of December 31, 2015)</w:t>
      </w:r>
      <w:r w:rsidRPr="00CB1C8F">
        <w:t xml:space="preserve">; </w:t>
      </w:r>
      <w:bookmarkStart w:id="8" w:name="_Hlk64486061"/>
      <w:r w:rsidRPr="00CB1C8F">
        <w:t>FCC Form 477 Filed for data as of June 30, 2016</w:t>
      </w:r>
      <w:bookmarkEnd w:id="8"/>
      <w:r w:rsidRPr="00CB1C8F">
        <w:t xml:space="preserve"> for </w:t>
      </w:r>
      <w:r w:rsidRPr="00CB1C8F">
        <w:t>Slopeside</w:t>
      </w:r>
      <w:r w:rsidRPr="00CB1C8F">
        <w:t xml:space="preserve"> Internet LLC (filed Sept. 2, 2016 at 11:57:05)</w:t>
      </w:r>
      <w:r w:rsidRPr="00CB1C8F" w:rsidR="002F7B9E">
        <w:t xml:space="preserve"> (FCC Form 477 Filed for data as of June 30, 2016)</w:t>
      </w:r>
      <w:r w:rsidRPr="00CB1C8F">
        <w:t xml:space="preserve">; FCC Form 477 Filed for data as of December 31, 2016 for </w:t>
      </w:r>
      <w:r w:rsidRPr="00CB1C8F">
        <w:t>Slopeside</w:t>
      </w:r>
      <w:r w:rsidRPr="00CB1C8F">
        <w:t xml:space="preserve"> Internet LLC (filed May 12, 2017 at 19:14:14)</w:t>
      </w:r>
      <w:r w:rsidRPr="00CB1C8F" w:rsidR="009640F4">
        <w:t xml:space="preserve"> (FCC Form 477 Filed for data as of December 31, 2016)</w:t>
      </w:r>
      <w:r w:rsidRPr="00CB1C8F">
        <w:t xml:space="preserve">; FCC Form 477 Filed for data as of June 30, 2017 for </w:t>
      </w:r>
      <w:r w:rsidRPr="00CB1C8F">
        <w:t>Slopeside</w:t>
      </w:r>
      <w:r w:rsidRPr="00CB1C8F">
        <w:t xml:space="preserve"> Internet LLC (filed Oct. 13, 2017 at 13:24:44)</w:t>
      </w:r>
      <w:r w:rsidRPr="00CB1C8F" w:rsidR="009640F4">
        <w:t xml:space="preserve"> (FCC Form 477 Filed for data as of June 30, 2017)</w:t>
      </w:r>
      <w:r w:rsidRPr="00CB1C8F">
        <w:t xml:space="preserve">; FCC Form 477 Filed for data as of June 30, 2018 for </w:t>
      </w:r>
      <w:r w:rsidRPr="00CB1C8F">
        <w:t>Slopeside</w:t>
      </w:r>
      <w:r w:rsidRPr="00CB1C8F">
        <w:t xml:space="preserve"> Internet LLC (filed Sept. 30, 2018 at 11:25:30)</w:t>
      </w:r>
      <w:r w:rsidRPr="00CB1C8F" w:rsidR="009640F4">
        <w:t xml:space="preserve"> (FCC Form 477 Filed for data as of June 30, 2018)</w:t>
      </w:r>
      <w:r w:rsidRPr="00CB1C8F">
        <w:t xml:space="preserve">; FCC Form 477 Filed for data as of June 30, 2019 for </w:t>
      </w:r>
      <w:r w:rsidRPr="00CB1C8F">
        <w:t>Slopeside</w:t>
      </w:r>
      <w:r w:rsidRPr="00CB1C8F">
        <w:t xml:space="preserve"> Internet LLC </w:t>
      </w:r>
      <w:bookmarkEnd w:id="7"/>
      <w:r w:rsidRPr="00CB1C8F">
        <w:t>(filed Sept. 11, 2019 at 20:56:41)</w:t>
      </w:r>
      <w:r w:rsidRPr="00CB1C8F" w:rsidR="009640F4">
        <w:t xml:space="preserve"> (FCC Form 477 Filed for data as of June 30, 2019)</w:t>
      </w:r>
      <w:r w:rsidRPr="00CB1C8F">
        <w:t>; FCC Form 477 Filed for data as of December 31, 2019.</w:t>
      </w:r>
    </w:p>
  </w:footnote>
  <w:footnote w:id="14">
    <w:p w:rsidR="002D48D9" w:rsidRPr="00BD3C02" w:rsidP="002D48D9" w14:paraId="46EF822C" w14:textId="77777777">
      <w:pPr>
        <w:pStyle w:val="FootnoteText"/>
      </w:pPr>
      <w:r>
        <w:rPr>
          <w:rStyle w:val="FootnoteReference"/>
        </w:rPr>
        <w:footnoteRef/>
      </w:r>
      <w:r>
        <w:t xml:space="preserve"> </w:t>
      </w:r>
      <w:r w:rsidRPr="002940D4">
        <w:t>FCC Form 477 Filed for data as of December 31, 2019</w:t>
      </w:r>
      <w:r>
        <w:t>.</w:t>
      </w:r>
    </w:p>
  </w:footnote>
  <w:footnote w:id="15">
    <w:p w:rsidR="00F05AFE" w:rsidRPr="00C749D8" w:rsidP="00F05AFE" w14:paraId="546A6B75" w14:textId="19307F02">
      <w:pPr>
        <w:widowControl/>
        <w:autoSpaceDE w:val="0"/>
        <w:autoSpaceDN w:val="0"/>
        <w:adjustRightInd w:val="0"/>
        <w:spacing w:after="120"/>
        <w:rPr>
          <w:sz w:val="20"/>
        </w:rPr>
      </w:pPr>
      <w:r w:rsidRPr="00BD3C02">
        <w:rPr>
          <w:rStyle w:val="FootnoteReference"/>
        </w:rPr>
        <w:footnoteRef/>
      </w:r>
      <w:r>
        <w:rPr>
          <w:rFonts w:eastAsiaTheme="minorHAnsi"/>
          <w:snapToGrid/>
          <w:kern w:val="0"/>
          <w:sz w:val="20"/>
        </w:rPr>
        <w:t xml:space="preserve"> </w:t>
      </w:r>
      <w:r w:rsidRPr="00BD3C02">
        <w:rPr>
          <w:sz w:val="20"/>
        </w:rPr>
        <w:t>E</w:t>
      </w:r>
      <w:r w:rsidR="00D52321">
        <w:rPr>
          <w:sz w:val="20"/>
        </w:rPr>
        <w:t>-</w:t>
      </w:r>
      <w:r w:rsidRPr="00BD3C02">
        <w:rPr>
          <w:sz w:val="20"/>
        </w:rPr>
        <w:t xml:space="preserve">mail from </w:t>
      </w:r>
      <w:r>
        <w:rPr>
          <w:sz w:val="20"/>
        </w:rPr>
        <w:t xml:space="preserve">Dan </w:t>
      </w:r>
      <w:r>
        <w:rPr>
          <w:sz w:val="20"/>
        </w:rPr>
        <w:t>Lubar</w:t>
      </w:r>
      <w:r w:rsidRPr="00BD3C02">
        <w:rPr>
          <w:sz w:val="20"/>
        </w:rPr>
        <w:t>,</w:t>
      </w:r>
      <w:r>
        <w:rPr>
          <w:sz w:val="20"/>
        </w:rPr>
        <w:t xml:space="preserve"> </w:t>
      </w:r>
      <w:r>
        <w:rPr>
          <w:sz w:val="20"/>
        </w:rPr>
        <w:t>Slopeside</w:t>
      </w:r>
      <w:r>
        <w:rPr>
          <w:sz w:val="20"/>
        </w:rPr>
        <w:t xml:space="preserve"> Internet</w:t>
      </w:r>
      <w:r w:rsidRPr="00BD3C02">
        <w:rPr>
          <w:sz w:val="20"/>
        </w:rPr>
        <w:t xml:space="preserve">, to </w:t>
      </w:r>
      <w:r w:rsidR="007D6E3E">
        <w:rPr>
          <w:sz w:val="20"/>
        </w:rPr>
        <w:t xml:space="preserve">Form </w:t>
      </w:r>
      <w:r w:rsidRPr="00BD3C02">
        <w:rPr>
          <w:sz w:val="20"/>
        </w:rPr>
        <w:t xml:space="preserve">477 </w:t>
      </w:r>
      <w:r w:rsidR="007D6E3E">
        <w:rPr>
          <w:sz w:val="20"/>
        </w:rPr>
        <w:t>Desk</w:t>
      </w:r>
      <w:r w:rsidRPr="00BD3C02">
        <w:rPr>
          <w:sz w:val="20"/>
        </w:rPr>
        <w:t xml:space="preserve">, FCC (Sept. </w:t>
      </w:r>
      <w:r>
        <w:rPr>
          <w:sz w:val="20"/>
        </w:rPr>
        <w:t>8</w:t>
      </w:r>
      <w:r w:rsidRPr="00BD3C02">
        <w:rPr>
          <w:sz w:val="20"/>
        </w:rPr>
        <w:t xml:space="preserve">, 2020, </w:t>
      </w:r>
      <w:r>
        <w:rPr>
          <w:sz w:val="20"/>
        </w:rPr>
        <w:t xml:space="preserve">11:30 </w:t>
      </w:r>
      <w:r w:rsidR="007D6E3E">
        <w:rPr>
          <w:sz w:val="20"/>
        </w:rPr>
        <w:t>EDT</w:t>
      </w:r>
      <w:r w:rsidRPr="00BD3C02">
        <w:rPr>
          <w:sz w:val="20"/>
        </w:rPr>
        <w:t>) (</w:t>
      </w:r>
      <w:r w:rsidRPr="00CB75B3">
        <w:rPr>
          <w:sz w:val="20"/>
        </w:rPr>
        <w:t>stating “</w:t>
      </w:r>
      <w:r w:rsidRPr="00CB75B3">
        <w:rPr>
          <w:color w:val="000000"/>
          <w:sz w:val="20"/>
        </w:rPr>
        <w:t xml:space="preserve">we will file this </w:t>
      </w:r>
      <w:r w:rsidRPr="00CB75B3">
        <w:rPr>
          <w:color w:val="000000"/>
          <w:sz w:val="20"/>
        </w:rPr>
        <w:t>data</w:t>
      </w:r>
      <w:r>
        <w:rPr>
          <w:color w:val="000000"/>
          <w:sz w:val="20"/>
        </w:rPr>
        <w:t>[</w:t>
      </w:r>
      <w:r>
        <w:rPr>
          <w:color w:val="000000"/>
          <w:sz w:val="20"/>
        </w:rPr>
        <w:t>;]</w:t>
      </w:r>
      <w:r w:rsidRPr="00CB75B3">
        <w:rPr>
          <w:color w:val="000000"/>
          <w:sz w:val="20"/>
        </w:rPr>
        <w:t xml:space="preserve"> </w:t>
      </w:r>
      <w:r w:rsidRPr="00CB75B3">
        <w:rPr>
          <w:color w:val="000000"/>
          <w:sz w:val="20"/>
        </w:rPr>
        <w:t>its</w:t>
      </w:r>
      <w:r w:rsidRPr="00CB75B3">
        <w:rPr>
          <w:color w:val="000000"/>
          <w:sz w:val="20"/>
        </w:rPr>
        <w:t xml:space="preserve"> just not going to happen right away”)</w:t>
      </w:r>
      <w:r w:rsidRPr="00CB75B3">
        <w:rPr>
          <w:sz w:val="20"/>
        </w:rPr>
        <w:t>.</w:t>
      </w:r>
    </w:p>
  </w:footnote>
  <w:footnote w:id="16">
    <w:p w:rsidR="00111CC4" w:rsidP="009A5B8B" w14:paraId="62FA788D" w14:textId="77777777">
      <w:pPr>
        <w:pStyle w:val="FootnoteText"/>
      </w:pPr>
      <w:r w:rsidRPr="00DC7A46">
        <w:rPr>
          <w:rStyle w:val="FootnoteReference"/>
        </w:rPr>
        <w:footnoteRef/>
      </w:r>
      <w:r w:rsidRPr="00DC7A46">
        <w:t xml:space="preserve"> </w:t>
      </w:r>
      <w:r w:rsidRPr="00DC7A46">
        <w:rPr>
          <w:i/>
        </w:rPr>
        <w:t xml:space="preserve">See </w:t>
      </w:r>
      <w:r w:rsidRPr="00DC7A46">
        <w:t>47 CFR §§ 1.7001, 1.7002.</w:t>
      </w:r>
    </w:p>
  </w:footnote>
  <w:footnote w:id="17">
    <w:p w:rsidR="00F91232" w14:paraId="0C8700A0" w14:textId="5DD9DAB1">
      <w:pPr>
        <w:pStyle w:val="FootnoteText"/>
      </w:pPr>
      <w:r>
        <w:rPr>
          <w:rStyle w:val="FootnoteReference"/>
        </w:rPr>
        <w:footnoteRef/>
      </w:r>
      <w:r>
        <w:t xml:space="preserve"> </w:t>
      </w:r>
      <w:r w:rsidRPr="00742D2A" w:rsidR="00742D2A">
        <w:rPr>
          <w:i/>
          <w:iCs/>
        </w:rPr>
        <w:t xml:space="preserve">See </w:t>
      </w:r>
      <w:r w:rsidRPr="002940D4">
        <w:t xml:space="preserve">FCC Form 477 Filed for data as of </w:t>
      </w:r>
      <w:r>
        <w:t>June 30, 2014.</w:t>
      </w:r>
    </w:p>
  </w:footnote>
  <w:footnote w:id="18">
    <w:p w:rsidR="00111CC4" w:rsidP="00425DE8" w14:paraId="2B0EFCCE" w14:textId="78C1DBDD">
      <w:pPr>
        <w:pStyle w:val="FootnoteText"/>
      </w:pPr>
      <w:r>
        <w:rPr>
          <w:rStyle w:val="FootnoteReference"/>
        </w:rPr>
        <w:footnoteRef/>
      </w:r>
      <w:r>
        <w:t xml:space="preserve"> </w:t>
      </w:r>
      <w:r w:rsidRPr="00FF666E" w:rsidR="00C5006E">
        <w:rPr>
          <w:i/>
          <w:iCs/>
        </w:rPr>
        <w:t>2004 Broadband Reporting Order</w:t>
      </w:r>
      <w:r w:rsidR="00C57163">
        <w:t xml:space="preserve">, 19 FCC </w:t>
      </w:r>
      <w:r w:rsidR="00EB53F5">
        <w:t>Rcd</w:t>
      </w:r>
      <w:r w:rsidR="00EB53F5">
        <w:t xml:space="preserve"> </w:t>
      </w:r>
      <w:r w:rsidR="00C5006E">
        <w:t xml:space="preserve">at </w:t>
      </w:r>
      <w:r w:rsidR="00C57163">
        <w:t xml:space="preserve">22345, </w:t>
      </w:r>
      <w:r w:rsidR="00C5006E">
        <w:t xml:space="preserve">para. 8; </w:t>
      </w:r>
      <w:r w:rsidRPr="00FF666E" w:rsidR="00C5006E">
        <w:rPr>
          <w:i/>
          <w:iCs/>
        </w:rPr>
        <w:t>OMB-Approved Form 477 Public Notice</w:t>
      </w:r>
      <w:r w:rsidR="00C57163">
        <w:rPr>
          <w:i/>
          <w:iCs/>
        </w:rPr>
        <w:t xml:space="preserve">, </w:t>
      </w:r>
      <w:r w:rsidR="00C57163">
        <w:t xml:space="preserve">20 FCC </w:t>
      </w:r>
      <w:r w:rsidR="00C57163">
        <w:t>Rcd</w:t>
      </w:r>
      <w:r w:rsidR="00C57163">
        <w:t xml:space="preserve"> </w:t>
      </w:r>
      <w:r w:rsidR="00C5006E">
        <w:t>at 10456.</w:t>
      </w:r>
      <w:r w:rsidR="00C5006E">
        <w:rPr>
          <w:i/>
          <w:iCs/>
        </w:rPr>
        <w:t xml:space="preserve"> </w:t>
      </w:r>
    </w:p>
  </w:footnote>
  <w:footnote w:id="19">
    <w:p w:rsidR="008C62F9" w:rsidP="008C62F9" w14:paraId="02791D50" w14:textId="1028B157">
      <w:pPr>
        <w:pStyle w:val="FootnoteText"/>
      </w:pPr>
      <w:r w:rsidRPr="00DC7A46">
        <w:rPr>
          <w:rStyle w:val="FootnoteReference"/>
        </w:rPr>
        <w:footnoteRef/>
      </w:r>
      <w:r>
        <w:rPr>
          <w:bdr w:val="none" w:sz="0" w:space="0" w:color="auto" w:frame="1"/>
          <w:shd w:val="clear" w:color="auto" w:fill="FFFFFF"/>
        </w:rPr>
        <w:t xml:space="preserve"> </w:t>
      </w:r>
      <w:r w:rsidRPr="002940D4">
        <w:t xml:space="preserve">FCC Form 477 Filed for data as of </w:t>
      </w:r>
      <w:r>
        <w:t xml:space="preserve">June 30, 2014; </w:t>
      </w:r>
      <w:r w:rsidRPr="002940D4">
        <w:t xml:space="preserve">FCC Form 477 Filed for data as of </w:t>
      </w:r>
      <w:r>
        <w:t xml:space="preserve">December 31, 2014; </w:t>
      </w:r>
      <w:r w:rsidRPr="002940D4">
        <w:t xml:space="preserve">FCC Form 477 Filed for data as of </w:t>
      </w:r>
      <w:r>
        <w:t xml:space="preserve">December 31, 2015; </w:t>
      </w:r>
      <w:r w:rsidRPr="002940D4">
        <w:t xml:space="preserve">FCC Form 477 Filed for data as of </w:t>
      </w:r>
      <w:r>
        <w:t xml:space="preserve">June 30, 2016; </w:t>
      </w:r>
      <w:r w:rsidRPr="002940D4">
        <w:t xml:space="preserve">FCC Form 477 Filed for data as of </w:t>
      </w:r>
      <w:r>
        <w:t xml:space="preserve">December 31, 2016; </w:t>
      </w:r>
      <w:r w:rsidRPr="002940D4">
        <w:t xml:space="preserve">FCC Form 477 Filed for data as of </w:t>
      </w:r>
      <w:r>
        <w:t xml:space="preserve">June 30, 2017; </w:t>
      </w:r>
      <w:r w:rsidRPr="002940D4">
        <w:t xml:space="preserve">FCC Form 477 Filed for data as of </w:t>
      </w:r>
      <w:r>
        <w:t xml:space="preserve">June 30, 2018; </w:t>
      </w:r>
      <w:r w:rsidRPr="002940D4">
        <w:t xml:space="preserve">FCC Form 477 Filed for data as of </w:t>
      </w:r>
      <w:r>
        <w:t>June 30, 2019; FCC Form 477 Filed for data as of December 31, 2019.</w:t>
      </w:r>
    </w:p>
  </w:footnote>
  <w:footnote w:id="20">
    <w:p w:rsidR="00F91232" w:rsidRPr="00BD3C02" w:rsidP="00F91232" w14:paraId="256645EC" w14:textId="77777777">
      <w:pPr>
        <w:pStyle w:val="FootnoteText"/>
      </w:pPr>
      <w:r>
        <w:rPr>
          <w:rStyle w:val="FootnoteReference"/>
        </w:rPr>
        <w:footnoteRef/>
      </w:r>
      <w:r>
        <w:t xml:space="preserve"> </w:t>
      </w:r>
      <w:r w:rsidRPr="002940D4">
        <w:t>FCC Form 477 Filed for data as of December 31, 2019</w:t>
      </w:r>
      <w:r>
        <w:t>.</w:t>
      </w:r>
    </w:p>
  </w:footnote>
  <w:footnote w:id="21">
    <w:p w:rsidR="00111CC4" w:rsidP="00DC7A46" w14:paraId="57CFAD8C" w14:textId="77777777">
      <w:pPr>
        <w:pStyle w:val="FootnoteText"/>
      </w:pPr>
      <w:r w:rsidRPr="00DC7A46">
        <w:rPr>
          <w:rStyle w:val="FootnoteReference"/>
        </w:rPr>
        <w:footnoteRef/>
      </w:r>
      <w:r w:rsidRPr="00DC7A46">
        <w:t xml:space="preserve"> Section 503(b)(6) of the Communications </w:t>
      </w:r>
      <w:r w:rsidRPr="00DC7A46" w:rsidR="00892D96">
        <w:t xml:space="preserve">Act of 1934, as amended (Act), </w:t>
      </w:r>
      <w:r w:rsidRPr="00DC7A46" w:rsidR="00DB1C9A">
        <w:t>prohibits</w:t>
      </w:r>
      <w:r w:rsidRPr="00DC7A46" w:rsidR="00892D96">
        <w:t xml:space="preserve"> the Commission from proposing a forfeiture penalty if the violation charged occurred more than one year prior to the date of the issuance of the notice of apparently liability.  47 U.S.C. § 503(b)(6)</w:t>
      </w:r>
      <w:r w:rsidR="00C97E2B">
        <w:t>.</w:t>
      </w:r>
    </w:p>
  </w:footnote>
  <w:footnote w:id="22">
    <w:p w:rsidR="00111CC4" w14:paraId="5541BEA2" w14:textId="77777777">
      <w:pPr>
        <w:pStyle w:val="FootnoteText"/>
      </w:pPr>
      <w:r>
        <w:rPr>
          <w:rStyle w:val="FootnoteReference"/>
        </w:rPr>
        <w:footnoteRef/>
      </w:r>
      <w:r>
        <w:t xml:space="preserve"> </w:t>
      </w:r>
      <w:r w:rsidRPr="00DC7A46">
        <w:t>47 U.S.C. § 503(b)(</w:t>
      </w:r>
      <w:r>
        <w:t>1</w:t>
      </w:r>
      <w:r w:rsidRPr="00DC7A46">
        <w:t>)(</w:t>
      </w:r>
      <w:r>
        <w:t>B</w:t>
      </w:r>
      <w:r w:rsidRPr="00DC7A46">
        <w:t xml:space="preserve">). </w:t>
      </w:r>
      <w:r>
        <w:t xml:space="preserve"> </w:t>
      </w:r>
    </w:p>
  </w:footnote>
  <w:footnote w:id="23">
    <w:p w:rsidR="00111CC4" w14:paraId="563B2078" w14:textId="1A8FD82B">
      <w:pPr>
        <w:pStyle w:val="FootnoteText"/>
      </w:pPr>
      <w:r>
        <w:rPr>
          <w:rStyle w:val="FootnoteReference"/>
        </w:rPr>
        <w:footnoteRef/>
      </w:r>
      <w:r>
        <w:t xml:space="preserve"> </w:t>
      </w:r>
      <w:r w:rsidRPr="0047161E">
        <w:t>47 U.S.C. § 503(b)(2)(</w:t>
      </w:r>
      <w:r w:rsidRPr="0047161E" w:rsidR="00FD275F">
        <w:t>D</w:t>
      </w:r>
      <w:r w:rsidRPr="0047161E">
        <w:t>)</w:t>
      </w:r>
      <w:r w:rsidRPr="0047161E" w:rsidR="00FD275F">
        <w:t xml:space="preserve">; </w:t>
      </w:r>
      <w:r w:rsidRPr="0047161E" w:rsidR="00FD275F">
        <w:rPr>
          <w:i/>
          <w:iCs/>
        </w:rPr>
        <w:t>s</w:t>
      </w:r>
      <w:r w:rsidRPr="0047161E">
        <w:rPr>
          <w:i/>
          <w:iCs/>
        </w:rPr>
        <w:t>ee generally Amendment of Section 1.80</w:t>
      </w:r>
      <w:r w:rsidR="00AA3E53">
        <w:rPr>
          <w:i/>
          <w:iCs/>
        </w:rPr>
        <w:t>(b)</w:t>
      </w:r>
      <w:r w:rsidRPr="0047161E">
        <w:rPr>
          <w:i/>
          <w:iCs/>
        </w:rPr>
        <w:t xml:space="preserve"> of the Commission’s Rules, Adjustment of Civil Monetary Penalties to Reflect Inflation</w:t>
      </w:r>
      <w:r w:rsidRPr="0047161E">
        <w:t>, Order,</w:t>
      </w:r>
      <w:r w:rsidR="00CE6411">
        <w:t xml:space="preserve"> </w:t>
      </w:r>
      <w:r w:rsidR="0053092B">
        <w:t xml:space="preserve">35 FCC </w:t>
      </w:r>
      <w:r w:rsidR="0053092B">
        <w:t>Rcd</w:t>
      </w:r>
      <w:r w:rsidR="0053092B">
        <w:t xml:space="preserve"> 14879</w:t>
      </w:r>
      <w:r w:rsidRPr="0047161E">
        <w:t xml:space="preserve"> (EB 20</w:t>
      </w:r>
      <w:r w:rsidRPr="0047161E" w:rsidR="0047161E">
        <w:t>20</w:t>
      </w:r>
      <w:r w:rsidRPr="0047161E">
        <w:t xml:space="preserve">); </w:t>
      </w:r>
      <w:r w:rsidRPr="00C37472">
        <w:rPr>
          <w:i/>
          <w:iCs/>
        </w:rPr>
        <w:t xml:space="preserve">see also </w:t>
      </w:r>
      <w:r w:rsidRPr="00C37472">
        <w:t xml:space="preserve">Federal Communications Commission, Annual Adjustment of Civil Monetary Penalties to Reflect Inflation, </w:t>
      </w:r>
      <w:r w:rsidRPr="00835277" w:rsidR="002040C2">
        <w:t>8</w:t>
      </w:r>
      <w:r w:rsidRPr="00835277" w:rsidR="002E6D8B">
        <w:t>6</w:t>
      </w:r>
      <w:r w:rsidRPr="00835277" w:rsidR="002040C2">
        <w:t xml:space="preserve"> </w:t>
      </w:r>
      <w:r w:rsidRPr="00835277">
        <w:t xml:space="preserve">Fed. Reg. </w:t>
      </w:r>
      <w:r w:rsidRPr="00835277" w:rsidR="002E6D8B">
        <w:t>3830</w:t>
      </w:r>
      <w:r w:rsidRPr="00835277">
        <w:t xml:space="preserve"> (Jan. </w:t>
      </w:r>
      <w:r w:rsidRPr="00835277" w:rsidR="002040C2">
        <w:t>15</w:t>
      </w:r>
      <w:r w:rsidRPr="00835277">
        <w:t>, 202</w:t>
      </w:r>
      <w:r w:rsidRPr="00835277" w:rsidR="00C37472">
        <w:t>1</w:t>
      </w:r>
      <w:r w:rsidRPr="00835277">
        <w:t>)</w:t>
      </w:r>
      <w:r w:rsidRPr="00C37472">
        <w:t>.</w:t>
      </w:r>
    </w:p>
  </w:footnote>
  <w:footnote w:id="24">
    <w:p w:rsidR="00111CC4" w:rsidP="00FD275F" w14:paraId="355990B5" w14:textId="6B8091C9">
      <w:pPr>
        <w:pStyle w:val="FootnoteText"/>
      </w:pPr>
      <w:r w:rsidRPr="00573757">
        <w:rPr>
          <w:rStyle w:val="FootnoteReference"/>
        </w:rPr>
        <w:footnoteRef/>
      </w:r>
      <w:r w:rsidRPr="00573757">
        <w:t xml:space="preserve"> 47 U.S.C. § 503(b)(2)(E)</w:t>
      </w:r>
      <w:r w:rsidR="00905926">
        <w:t xml:space="preserve">; </w:t>
      </w:r>
      <w:r w:rsidRPr="00441582" w:rsidR="00905926">
        <w:rPr>
          <w:i/>
          <w:iCs/>
        </w:rPr>
        <w:t>see also</w:t>
      </w:r>
      <w:r w:rsidR="00905926">
        <w:t xml:space="preserve"> </w:t>
      </w:r>
      <w:r w:rsidRPr="00573757" w:rsidR="00905926">
        <w:t>47 CFR § 1.80(b)(</w:t>
      </w:r>
      <w:r w:rsidR="002E6D8B">
        <w:t>9</w:t>
      </w:r>
      <w:r w:rsidRPr="00573757" w:rsidR="00905926">
        <w:t>)</w:t>
      </w:r>
      <w:r w:rsidR="002E6D8B">
        <w:t>.</w:t>
      </w:r>
    </w:p>
  </w:footnote>
  <w:footnote w:id="25">
    <w:p w:rsidR="00111CC4" w:rsidP="00024110" w14:paraId="481145EC" w14:textId="3E65C930">
      <w:pPr>
        <w:pStyle w:val="FootnoteText"/>
      </w:pPr>
      <w:r w:rsidRPr="00573757">
        <w:rPr>
          <w:rStyle w:val="FootnoteReference"/>
        </w:rPr>
        <w:footnoteRef/>
      </w:r>
      <w:r w:rsidRPr="00573757">
        <w:t xml:space="preserve"> </w:t>
      </w:r>
      <w:bookmarkStart w:id="10" w:name="_Hlk60653381"/>
      <w:r w:rsidRPr="00573757">
        <w:t>47 CFR § 1.80(b)(</w:t>
      </w:r>
      <w:r w:rsidR="002E6D8B">
        <w:t>9</w:t>
      </w:r>
      <w:r w:rsidRPr="00573757">
        <w:t xml:space="preserve">), </w:t>
      </w:r>
      <w:r w:rsidRPr="00A216FF">
        <w:t>Note to paragraph (b)(8).</w:t>
      </w:r>
      <w:bookmarkEnd w:id="10"/>
    </w:p>
  </w:footnote>
  <w:footnote w:id="26">
    <w:p w:rsidR="007B4335" w:rsidRPr="007519F9" w:rsidP="007B4335" w14:paraId="6F5B7F0F" w14:textId="46768B33">
      <w:pPr>
        <w:pStyle w:val="CommentText"/>
        <w:spacing w:after="120"/>
        <w:rPr>
          <w:snapToGrid/>
          <w:color w:val="FF0000"/>
          <w:kern w:val="0"/>
        </w:rPr>
      </w:pPr>
      <w:r>
        <w:rPr>
          <w:rStyle w:val="FootnoteReference"/>
        </w:rPr>
        <w:footnoteRef/>
      </w:r>
      <w:r>
        <w:t xml:space="preserve"> </w:t>
      </w:r>
      <w:r w:rsidRPr="007B4335">
        <w:rPr>
          <w:i/>
          <w:iCs/>
        </w:rPr>
        <w:t>The Commission’s Forfeiture Policy Statement and Amendment of Section 1.80 of the Rules to Incorporate the Forfeiture Guidelines</w:t>
      </w:r>
      <w:r w:rsidRPr="007B4335">
        <w:t xml:space="preserve">, Report and Order, 12 FCC </w:t>
      </w:r>
      <w:r w:rsidRPr="007B4335">
        <w:t>Rcd</w:t>
      </w:r>
      <w:r w:rsidRPr="007B4335">
        <w:t xml:space="preserve"> 17087, 17098–99, para. 22 (1997) (noting that “[a]</w:t>
      </w:r>
      <w:r w:rsidRPr="007B4335">
        <w:t>lthough</w:t>
      </w:r>
      <w:r w:rsidRPr="007B4335">
        <w:t xml:space="preserve">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w:t>
      </w:r>
      <w:r w:rsidR="00725233">
        <w:t>.</w:t>
      </w:r>
      <w:r w:rsidRPr="007B4335">
        <w:t>”)</w:t>
      </w:r>
      <w:r w:rsidR="00725233">
        <w:t>.</w:t>
      </w:r>
    </w:p>
  </w:footnote>
  <w:footnote w:id="27">
    <w:p w:rsidR="00111CC4" w14:paraId="73AA4892" w14:textId="61E40DBA">
      <w:pPr>
        <w:pStyle w:val="FootnoteText"/>
      </w:pPr>
      <w:r>
        <w:rPr>
          <w:rStyle w:val="FootnoteReference"/>
        </w:rPr>
        <w:footnoteRef/>
      </w:r>
      <w:r>
        <w:t xml:space="preserve"> </w:t>
      </w:r>
      <w:r w:rsidR="000A63C4">
        <w:rPr>
          <w:i/>
          <w:iCs/>
        </w:rPr>
        <w:t xml:space="preserve">See </w:t>
      </w:r>
      <w:r w:rsidR="000A63C4">
        <w:rPr>
          <w:i/>
          <w:iCs/>
        </w:rPr>
        <w:t>BarrierFree</w:t>
      </w:r>
      <w:r w:rsidR="000A63C4">
        <w:rPr>
          <w:i/>
          <w:iCs/>
        </w:rPr>
        <w:t xml:space="preserve"> </w:t>
      </w:r>
      <w:r w:rsidR="000A63C4">
        <w:rPr>
          <w:i/>
          <w:iCs/>
        </w:rPr>
        <w:t>NAL</w:t>
      </w:r>
      <w:r w:rsidR="000A63C4">
        <w:t>, 3</w:t>
      </w:r>
      <w:r w:rsidR="0071689D">
        <w:t>5</w:t>
      </w:r>
      <w:r w:rsidR="000A63C4">
        <w:t xml:space="preserve"> FCC </w:t>
      </w:r>
      <w:r w:rsidR="000A63C4">
        <w:t>Rcd</w:t>
      </w:r>
      <w:r w:rsidR="000A63C4">
        <w:t xml:space="preserve"> at 10202</w:t>
      </w:r>
      <w:r w:rsidR="00B94222">
        <w:t>,</w:t>
      </w:r>
      <w:r w:rsidR="000A63C4">
        <w:t xml:space="preserve"> para. 41.</w:t>
      </w:r>
    </w:p>
  </w:footnote>
  <w:footnote w:id="28">
    <w:p w:rsidR="009952E2" w14:paraId="1439EAED" w14:textId="303C721B">
      <w:pPr>
        <w:pStyle w:val="FootnoteText"/>
      </w:pPr>
      <w:r w:rsidRPr="00400240">
        <w:rPr>
          <w:rStyle w:val="FootnoteReference"/>
        </w:rPr>
        <w:footnoteRef/>
      </w:r>
      <w:r w:rsidRPr="00400240">
        <w:t xml:space="preserve"> </w:t>
      </w:r>
      <w:r w:rsidRPr="00400240">
        <w:rPr>
          <w:i/>
          <w:iCs/>
        </w:rPr>
        <w:t xml:space="preserve">See supra </w:t>
      </w:r>
      <w:r w:rsidRPr="00400240">
        <w:t>para. 5.</w:t>
      </w:r>
    </w:p>
  </w:footnote>
  <w:footnote w:id="29">
    <w:p w:rsidR="00AF486D" w:rsidP="00AF486D" w14:paraId="2E1E8103" w14:textId="43A96BC7">
      <w:pPr>
        <w:pStyle w:val="FootnoteText"/>
      </w:pPr>
      <w:r>
        <w:rPr>
          <w:rStyle w:val="FootnoteReference"/>
        </w:rPr>
        <w:footnoteRef/>
      </w:r>
      <w:r>
        <w:t xml:space="preserve"> </w:t>
      </w:r>
      <w:r>
        <w:rPr>
          <w:i/>
          <w:iCs/>
        </w:rPr>
        <w:t xml:space="preserve">See supra </w:t>
      </w:r>
      <w:r w:rsidRPr="00400240">
        <w:t xml:space="preserve">para. </w:t>
      </w:r>
      <w:r w:rsidRPr="00400240" w:rsidR="00BF7910">
        <w:t>8</w:t>
      </w:r>
      <w:r w:rsidRPr="00400240">
        <w:t xml:space="preserve"> and note </w:t>
      </w:r>
      <w:r w:rsidRPr="00400240" w:rsidR="00400240">
        <w:t>19</w:t>
      </w:r>
      <w:r>
        <w:t xml:space="preserve"> (noting the statute of limitations has run on all but </w:t>
      </w:r>
      <w:r w:rsidR="00801712">
        <w:t xml:space="preserve">the missed filing and </w:t>
      </w:r>
      <w:r>
        <w:t xml:space="preserve">one of the late filings). </w:t>
      </w:r>
    </w:p>
  </w:footnote>
  <w:footnote w:id="30">
    <w:p w:rsidR="008140D9" w:rsidRPr="00F222AA" w14:paraId="11EE70D1" w14:textId="520CB1D5">
      <w:pPr>
        <w:pStyle w:val="FootnoteText"/>
      </w:pPr>
      <w:r>
        <w:rPr>
          <w:rStyle w:val="FootnoteReference"/>
        </w:rPr>
        <w:footnoteRef/>
      </w:r>
      <w:r>
        <w:t xml:space="preserve"> </w:t>
      </w:r>
      <w:r w:rsidRPr="00441582" w:rsidR="00D063BD">
        <w:rPr>
          <w:i/>
          <w:iCs/>
        </w:rPr>
        <w:t xml:space="preserve">See </w:t>
      </w:r>
      <w:r w:rsidR="00F75901">
        <w:rPr>
          <w:i/>
          <w:iCs/>
        </w:rPr>
        <w:t>BarrierFree</w:t>
      </w:r>
      <w:r w:rsidR="00F75901">
        <w:rPr>
          <w:i/>
          <w:iCs/>
        </w:rPr>
        <w:t xml:space="preserve"> </w:t>
      </w:r>
      <w:r w:rsidR="00F75901">
        <w:rPr>
          <w:i/>
          <w:iCs/>
        </w:rPr>
        <w:t>NAL</w:t>
      </w:r>
      <w:r w:rsidR="00F75901">
        <w:t>, 3</w:t>
      </w:r>
      <w:r w:rsidR="003E7987">
        <w:t>5</w:t>
      </w:r>
      <w:r w:rsidR="00F75901">
        <w:t xml:space="preserve"> FCC </w:t>
      </w:r>
      <w:r w:rsidR="00F75901">
        <w:t>Rcd</w:t>
      </w:r>
      <w:r w:rsidR="00F75901">
        <w:t xml:space="preserve"> at</w:t>
      </w:r>
      <w:r w:rsidR="00F222AA">
        <w:t xml:space="preserve"> 10187</w:t>
      </w:r>
      <w:r w:rsidR="0040706E">
        <w:t xml:space="preserve"> </w:t>
      </w:r>
      <w:r w:rsidR="00F75901">
        <w:t>n.1</w:t>
      </w:r>
      <w:r w:rsidR="00D063BD">
        <w:t xml:space="preserve"> (</w:t>
      </w:r>
      <w:r w:rsidR="005F2CA7">
        <w:t xml:space="preserve">the Commission may use </w:t>
      </w:r>
      <w:r w:rsidR="003679A0">
        <w:t xml:space="preserve">a history of violations, including </w:t>
      </w:r>
      <w:r w:rsidR="005F2CA7">
        <w:t>expired violations</w:t>
      </w:r>
      <w:r w:rsidR="003679A0">
        <w:t>,</w:t>
      </w:r>
      <w:r w:rsidR="005F2CA7">
        <w:t xml:space="preserve"> as a basis for upward</w:t>
      </w:r>
      <w:r w:rsidR="00117633">
        <w:t>ly</w:t>
      </w:r>
      <w:r w:rsidR="005F2CA7">
        <w:t xml:space="preserve"> adjust</w:t>
      </w:r>
      <w:r w:rsidR="00117633">
        <w:t>ing</w:t>
      </w:r>
      <w:r w:rsidR="005F2CA7">
        <w:t xml:space="preserve"> a proposed forfeiture, under </w:t>
      </w:r>
      <w:r w:rsidR="00FC2E56">
        <w:t>s</w:t>
      </w:r>
      <w:r w:rsidR="005F2CA7">
        <w:t>ection 503(b)(2)(E))</w:t>
      </w:r>
      <w:r w:rsidR="00F222AA">
        <w:t xml:space="preserve">; </w:t>
      </w:r>
      <w:r w:rsidR="00F222AA">
        <w:rPr>
          <w:i/>
          <w:iCs/>
        </w:rPr>
        <w:t xml:space="preserve">Rio Verde Wireless </w:t>
      </w:r>
      <w:r w:rsidR="00F222AA">
        <w:rPr>
          <w:i/>
          <w:iCs/>
        </w:rPr>
        <w:t>NAL</w:t>
      </w:r>
      <w:r w:rsidR="00F222AA">
        <w:t xml:space="preserve">, </w:t>
      </w:r>
      <w:r w:rsidRPr="00DC7A46" w:rsidR="00F222AA">
        <w:t xml:space="preserve">30 FCC </w:t>
      </w:r>
      <w:r w:rsidRPr="00DC7A46" w:rsidR="00F222AA">
        <w:t>Rcd</w:t>
      </w:r>
      <w:r w:rsidRPr="00DC7A46" w:rsidR="00F222AA">
        <w:t xml:space="preserve"> </w:t>
      </w:r>
      <w:r w:rsidR="00F222AA">
        <w:t>at 220</w:t>
      </w:r>
      <w:r w:rsidR="003E7987">
        <w:t>1</w:t>
      </w:r>
      <w:r w:rsidR="00F222AA">
        <w:t>, para. 18</w:t>
      </w:r>
      <w:r w:rsidR="00117633">
        <w:t xml:space="preserve"> (</w:t>
      </w:r>
      <w:r w:rsidRPr="00240774" w:rsidR="00117633">
        <w:t>same</w:t>
      </w:r>
      <w:r w:rsidR="00117633">
        <w:t>)</w:t>
      </w:r>
      <w:r w:rsidR="00F222AA">
        <w:t xml:space="preserve">. </w:t>
      </w:r>
    </w:p>
  </w:footnote>
  <w:footnote w:id="31">
    <w:p w:rsidR="00111CC4" w:rsidP="008A369A" w14:paraId="0928C82F" w14:textId="77777777">
      <w:pPr>
        <w:pStyle w:val="FootnoteText"/>
      </w:pPr>
      <w:r>
        <w:rPr>
          <w:rStyle w:val="FootnoteReference"/>
        </w:rPr>
        <w:footnoteRef/>
      </w:r>
      <w:r>
        <w:t xml:space="preserve"> A</w:t>
      </w:r>
      <w:r w:rsidRPr="009803CA">
        <w:t xml:space="preserve">ny entity that is a “Small Business Concern” as defined in the Small Business Act (Pub. L. 85-536, as amended) may avail itself of rights set forth in that Act, including rights set forth in 15 U.S.C. </w:t>
      </w:r>
      <w:r w:rsidRPr="00F14821">
        <w:t>§</w:t>
      </w:r>
      <w:r w:rsidRPr="009803CA">
        <w:t xml:space="preserve"> 657, “Oversight of Regulatory Enforcement,” in addition to other rights set forth herein.</w:t>
      </w:r>
    </w:p>
  </w:footnote>
  <w:footnote w:id="32">
    <w:p w:rsidR="00111CC4" w:rsidP="00DC7A46" w14:paraId="7C945A69" w14:textId="77777777">
      <w:pPr>
        <w:pStyle w:val="FootnoteText"/>
      </w:pPr>
      <w:r w:rsidRPr="003240CD">
        <w:rPr>
          <w:rStyle w:val="FootnoteReference"/>
        </w:rPr>
        <w:footnoteRef/>
      </w:r>
      <w:r w:rsidRPr="003240CD">
        <w:t xml:space="preserve"> </w:t>
      </w:r>
      <w:r w:rsidRPr="003240CD" w:rsidR="003240CD">
        <w:t>47 U.S.C. § 503(b); 47 CFR § 1.80.</w:t>
      </w:r>
    </w:p>
  </w:footnote>
  <w:footnote w:id="33">
    <w:p w:rsidR="00111CC4" w:rsidP="00FF2E02" w14:paraId="625D55D8" w14:textId="7BDB61C0">
      <w:pPr>
        <w:pStyle w:val="FootnoteText"/>
      </w:pPr>
      <w:r w:rsidRPr="003240CD">
        <w:rPr>
          <w:rStyle w:val="FootnoteReference"/>
        </w:rPr>
        <w:footnoteRef/>
      </w:r>
      <w:r w:rsidRPr="003240CD">
        <w:t xml:space="preserve"> </w:t>
      </w:r>
      <w:r w:rsidRPr="003240CD" w:rsidR="003240CD">
        <w:t>47 CFR §</w:t>
      </w:r>
      <w:r w:rsidRPr="003240CD" w:rsidR="00585480">
        <w:t>§</w:t>
      </w:r>
      <w:r w:rsidRPr="003240CD" w:rsidR="003240CD">
        <w:t xml:space="preserve"> 1.7001, 1.7002.</w:t>
      </w:r>
    </w:p>
  </w:footnote>
  <w:footnote w:id="34">
    <w:p w:rsidR="00111CC4" w:rsidP="00FF2E02" w14:paraId="31B3284B" w14:textId="77777777">
      <w:pPr>
        <w:pStyle w:val="FootnoteText"/>
      </w:pPr>
      <w:r w:rsidRPr="00FF2E02">
        <w:rPr>
          <w:rStyle w:val="FootnoteReference"/>
        </w:rPr>
        <w:footnoteRef/>
      </w:r>
      <w:r w:rsidRPr="00FF2E02">
        <w:t xml:space="preserve"> </w:t>
      </w:r>
      <w:r w:rsidR="002E346D">
        <w:t>47 CFR § 1.80.</w:t>
      </w:r>
    </w:p>
  </w:footnote>
  <w:footnote w:id="35">
    <w:p w:rsidR="00111CC4" w:rsidP="00FF2E02" w14:paraId="411DA382" w14:textId="77777777">
      <w:pPr>
        <w:pStyle w:val="FootnoteText"/>
      </w:pPr>
      <w:r w:rsidRPr="00FF2E02">
        <w:rPr>
          <w:rStyle w:val="FootnoteReference"/>
        </w:rPr>
        <w:footnoteRef/>
      </w:r>
      <w:r w:rsidRPr="00FF2E02">
        <w:t xml:space="preserve"> </w:t>
      </w:r>
      <w:r w:rsidR="002E346D">
        <w:t>Payments made using the Commission’s Fee Filer system do not require the submission of an FCC Form 159.</w:t>
      </w:r>
    </w:p>
  </w:footnote>
  <w:footnote w:id="36">
    <w:p w:rsidR="00111CC4" w:rsidP="00225461" w14:paraId="29167909" w14:textId="77777777">
      <w:pPr>
        <w:pStyle w:val="FootnoteText"/>
      </w:pPr>
      <w:r w:rsidRPr="00FF2E02">
        <w:rPr>
          <w:rStyle w:val="FootnoteReference"/>
        </w:rPr>
        <w:footnoteRef/>
      </w:r>
      <w:r w:rsidRPr="00FF2E02">
        <w:t xml:space="preserve"> </w:t>
      </w:r>
      <w:r w:rsidR="002E346D">
        <w:t>For questions regarding payment procedures, please contact the Financial Operations Group Help Desk by pho</w:t>
      </w:r>
      <w:r w:rsidR="00DB1C9A">
        <w:t>ne at 1-877-480-3201 (option #6), or by e-</w:t>
      </w:r>
      <w:r w:rsidRPr="002E346D" w:rsidR="00DB1C9A">
        <w:t xml:space="preserve">mail at </w:t>
      </w:r>
      <w:hyperlink r:id="rId5" w:history="1">
        <w:r w:rsidRPr="00C81521" w:rsidR="00DB1C9A">
          <w:rPr>
            <w:rStyle w:val="Hyperlink"/>
          </w:rPr>
          <w:t>ARINQUIRIES@fcc.gov</w:t>
        </w:r>
      </w:hyperlink>
      <w:r w:rsidRPr="002E346D" w:rsidR="00DB1C9A">
        <w:t>.</w:t>
      </w:r>
      <w:r w:rsidR="00DB1C9A">
        <w:t xml:space="preserve"> </w:t>
      </w:r>
    </w:p>
  </w:footnote>
  <w:footnote w:id="37">
    <w:p w:rsidR="00111CC4" w:rsidP="002E346D" w14:paraId="5E2E1AB2" w14:textId="77777777">
      <w:pPr>
        <w:pStyle w:val="FootnoteText"/>
      </w:pPr>
      <w:r w:rsidRPr="002E346D">
        <w:rPr>
          <w:rStyle w:val="FootnoteReference"/>
        </w:rPr>
        <w:footnoteRef/>
      </w:r>
      <w:r w:rsidRPr="002E346D">
        <w:t xml:space="preserve"> Instructions for completing the form may be obtained at </w:t>
      </w:r>
      <w:hyperlink r:id="rId6" w:history="1">
        <w:r w:rsidRPr="00C81521">
          <w:rPr>
            <w:rStyle w:val="Hyperlink"/>
          </w:rPr>
          <w:t>http://www.fcc.gov/Forms/Form159/159.pdf</w:t>
        </w:r>
      </w:hyperlink>
      <w:r w:rsidRPr="002E346D">
        <w:t>.</w:t>
      </w:r>
      <w:r>
        <w:t xml:space="preserve"> </w:t>
      </w:r>
    </w:p>
  </w:footnote>
  <w:footnote w:id="38">
    <w:p w:rsidR="00111CC4" w:rsidP="002E346D" w14:paraId="29C302FF" w14:textId="77777777">
      <w:pPr>
        <w:pStyle w:val="FootnoteText"/>
      </w:pPr>
      <w:r w:rsidRPr="002E346D">
        <w:rPr>
          <w:rStyle w:val="FootnoteReference"/>
        </w:rPr>
        <w:footnoteRef/>
      </w:r>
      <w:r w:rsidRPr="002E346D">
        <w:t xml:space="preserve"> </w:t>
      </w:r>
      <w:r w:rsidRPr="002E346D" w:rsidR="002E346D">
        <w:rPr>
          <w:i/>
          <w:iCs/>
        </w:rPr>
        <w:t xml:space="preserve">See </w:t>
      </w:r>
      <w:r w:rsidRPr="002E346D" w:rsidR="002E346D">
        <w:t>47 CFR § 1.1914.</w:t>
      </w:r>
    </w:p>
  </w:footnote>
  <w:footnote w:id="39">
    <w:p w:rsidR="00111CC4" w:rsidP="00585480" w14:paraId="3956AC6E" w14:textId="7ED1F28E">
      <w:pPr>
        <w:pStyle w:val="FootnoteText"/>
      </w:pPr>
      <w:r w:rsidRPr="00FF2E02">
        <w:rPr>
          <w:rStyle w:val="FootnoteReference"/>
        </w:rPr>
        <w:footnoteRef/>
      </w:r>
      <w:r>
        <w:t xml:space="preserve"> </w:t>
      </w:r>
      <w:r w:rsidRPr="00A2785D" w:rsidR="002E346D">
        <w:t>47</w:t>
      </w:r>
      <w:r w:rsidR="002E346D">
        <w:t xml:space="preserve"> CFR §§ 1.16, 1.80(f)(3).</w:t>
      </w:r>
    </w:p>
  </w:footnote>
  <w:footnote w:id="40">
    <w:p w:rsidR="000D6D4E" w14:paraId="40350633" w14:textId="2BEAF959">
      <w:pPr>
        <w:pStyle w:val="FootnoteText"/>
      </w:pPr>
      <w:r>
        <w:rPr>
          <w:rStyle w:val="FootnoteReference"/>
        </w:rPr>
        <w:footnoteRef/>
      </w:r>
      <w:r>
        <w:t xml:space="preserve"> </w:t>
      </w:r>
      <w:r>
        <w:rPr>
          <w:i/>
          <w:iCs/>
        </w:rPr>
        <w:t>Adrian Abramovich</w:t>
      </w:r>
      <w:r>
        <w:t xml:space="preserve">, Forfeiture Order, 33 FCC </w:t>
      </w:r>
      <w:r>
        <w:t>Rcd</w:t>
      </w:r>
      <w:r>
        <w:t xml:space="preserve"> 4663, 4678-79, paras. 44-45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05F1" w:rsidRPr="009321F5" w:rsidP="00AF05F1" w14:paraId="2CFA52FF" w14:textId="674BD242">
    <w:pPr>
      <w:pStyle w:val="Header"/>
      <w:pBdr>
        <w:bottom w:val="single" w:sz="12" w:space="1" w:color="auto"/>
      </w:pBdr>
      <w:jc w:val="center"/>
    </w:pPr>
    <w:r>
      <w:rPr>
        <w:b w:val="0"/>
        <w:bCs/>
      </w:rPr>
      <w:tab/>
    </w:r>
    <w:r w:rsidRPr="009321F5">
      <w:t>Federal Communications Commission</w:t>
    </w:r>
    <w:r w:rsidRPr="009321F5">
      <w:tab/>
      <w:t>DA 2</w:t>
    </w:r>
    <w:r w:rsidR="006952A3">
      <w:t>1</w:t>
    </w:r>
    <w:r w:rsidRPr="009321F5">
      <w:t>-</w:t>
    </w:r>
    <w:r w:rsidR="00D52321">
      <w:t>220</w:t>
    </w:r>
  </w:p>
  <w:p w:rsidR="00AF05F1" w14:paraId="1A4EC3B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6E1F" w:rsidRPr="009321F5" w:rsidP="00D52321" w14:paraId="598B5FF0" w14:textId="3149EDBE">
    <w:pPr>
      <w:pStyle w:val="Header"/>
      <w:pBdr>
        <w:bottom w:val="single" w:sz="12" w:space="1" w:color="auto"/>
      </w:pBdr>
    </w:pPr>
    <w:r>
      <w:rPr>
        <w:b w:val="0"/>
        <w:bCs/>
      </w:rPr>
      <w:tab/>
    </w:r>
    <w:r w:rsidRPr="009321F5">
      <w:t>Federal Communications Commission</w:t>
    </w:r>
    <w:r w:rsidRPr="009321F5">
      <w:tab/>
      <w:t>DA 2</w:t>
    </w:r>
    <w:r>
      <w:t>1</w:t>
    </w:r>
    <w:r w:rsidRPr="009321F5">
      <w:t>-</w:t>
    </w:r>
    <w:r w:rsidR="00D52321">
      <w:t>220</w:t>
    </w:r>
  </w:p>
  <w:p w:rsidR="002E6E1F" w14:paraId="101FC27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23D0391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9CCBB1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7845C2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3165BB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5BA17E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7B490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AC0B1C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2C0CD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FCACF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A00288"/>
    <w:lvl w:ilvl="0">
      <w:start w:val="1"/>
      <w:numFmt w:val="bullet"/>
      <w:lvlText w:val=""/>
      <w:lvlJc w:val="left"/>
      <w:pPr>
        <w:tabs>
          <w:tab w:val="num" w:pos="360"/>
        </w:tabs>
        <w:ind w:left="360" w:hanging="360"/>
      </w:pPr>
      <w:rPr>
        <w:rFonts w:ascii="Symbol" w:hAnsi="Symbol" w:hint="default"/>
      </w:rPr>
    </w:lvl>
  </w:abstractNum>
  <w:abstractNum w:abstractNumId="10">
    <w:nsid w:val="037A01FE"/>
    <w:multiLevelType w:val="hybridMultilevel"/>
    <w:tmpl w:val="3474912C"/>
    <w:lvl w:ilvl="0">
      <w:start w:val="1"/>
      <w:numFmt w:val="upperRoman"/>
      <w:lvlText w:val="%1."/>
      <w:lvlJc w:val="left"/>
      <w:pPr>
        <w:ind w:left="1080" w:hanging="72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
    <w:nsid w:val="084B453C"/>
    <w:multiLevelType w:val="singleLevel"/>
    <w:tmpl w:val="40A8E97A"/>
    <w:lvl w:ilvl="0">
      <w:start w:val="1"/>
      <w:numFmt w:val="decimal"/>
      <w:lvlText w:val="%1."/>
      <w:lvlJc w:val="left"/>
      <w:pPr>
        <w:tabs>
          <w:tab w:val="num" w:pos="1080"/>
        </w:tabs>
        <w:ind w:left="0" w:firstLine="720"/>
      </w:pPr>
    </w:lvl>
  </w:abstractNum>
  <w:abstractNum w:abstractNumId="1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3">
    <w:nsid w:val="248246F3"/>
    <w:multiLevelType w:val="singleLevel"/>
    <w:tmpl w:val="B1F45678"/>
    <w:lvl w:ilvl="0">
      <w:start w:val="1"/>
      <w:numFmt w:val="decimal"/>
      <w:lvlText w:val="%1."/>
      <w:lvlJc w:val="left"/>
      <w:pPr>
        <w:tabs>
          <w:tab w:val="num" w:pos="1080"/>
        </w:tabs>
        <w:ind w:left="0" w:firstLine="720"/>
      </w:pPr>
    </w:lvl>
  </w:abstractNum>
  <w:abstractNum w:abstractNumId="1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nsid w:val="284648DA"/>
    <w:multiLevelType w:val="hybridMultilevel"/>
    <w:tmpl w:val="AFBAE6D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nsid w:val="2DA42A08"/>
    <w:multiLevelType w:val="hybridMultilevel"/>
    <w:tmpl w:val="BF467FB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7">
    <w:nsid w:val="313E5FA9"/>
    <w:multiLevelType w:val="hybridMultilevel"/>
    <w:tmpl w:val="9B4050DE"/>
    <w:lvl w:ilvl="0">
      <w:start w:val="1"/>
      <w:numFmt w:val="upperLetter"/>
      <w:lvlText w:val="%1."/>
      <w:lvlJc w:val="left"/>
      <w:pPr>
        <w:ind w:left="720" w:hanging="360"/>
      </w:pPr>
      <w:rPr>
        <w:rFonts w:cs="Times New Roman" w:hint="default"/>
        <w:b/>
        <w:bCs/>
      </w:rPr>
    </w:lvl>
    <w:lvl w:ilvl="1">
      <w:start w:val="1"/>
      <w:numFmt w:val="upp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nsid w:val="3C89027D"/>
    <w:multiLevelType w:val="hybridMultilevel"/>
    <w:tmpl w:val="5A7A62A4"/>
    <w:lvl w:ilvl="0">
      <w:start w:val="1"/>
      <w:numFmt w:val="upperRoman"/>
      <w:lvlText w:val="%1."/>
      <w:lvlJc w:val="left"/>
      <w:pPr>
        <w:ind w:left="1080" w:hanging="72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9">
    <w:nsid w:val="4714204E"/>
    <w:multiLevelType w:val="hybridMultilevel"/>
    <w:tmpl w:val="284C4682"/>
    <w:lvl w:ilvl="0">
      <w:start w:val="1"/>
      <w:numFmt w:val="decimal"/>
      <w:lvlText w:val="%1."/>
      <w:lvlJc w:val="left"/>
      <w:pPr>
        <w:ind w:left="3240" w:hanging="360"/>
      </w:pPr>
      <w:rPr>
        <w:rFonts w:cs="Times New Roman" w:hint="default"/>
      </w:rPr>
    </w:lvl>
    <w:lvl w:ilvl="1" w:tentative="1">
      <w:start w:val="1"/>
      <w:numFmt w:val="lowerLetter"/>
      <w:lvlText w:val="%2."/>
      <w:lvlJc w:val="left"/>
      <w:pPr>
        <w:ind w:left="3960" w:hanging="360"/>
      </w:pPr>
      <w:rPr>
        <w:rFonts w:cs="Times New Roman"/>
      </w:rPr>
    </w:lvl>
    <w:lvl w:ilvl="2" w:tentative="1">
      <w:start w:val="1"/>
      <w:numFmt w:val="lowerRoman"/>
      <w:lvlText w:val="%3."/>
      <w:lvlJc w:val="right"/>
      <w:pPr>
        <w:ind w:left="4680" w:hanging="180"/>
      </w:pPr>
      <w:rPr>
        <w:rFonts w:cs="Times New Roman"/>
      </w:rPr>
    </w:lvl>
    <w:lvl w:ilvl="3" w:tentative="1">
      <w:start w:val="1"/>
      <w:numFmt w:val="decimal"/>
      <w:lvlText w:val="%4."/>
      <w:lvlJc w:val="left"/>
      <w:pPr>
        <w:ind w:left="5400" w:hanging="360"/>
      </w:pPr>
      <w:rPr>
        <w:rFonts w:cs="Times New Roman"/>
      </w:rPr>
    </w:lvl>
    <w:lvl w:ilvl="4" w:tentative="1">
      <w:start w:val="1"/>
      <w:numFmt w:val="lowerLetter"/>
      <w:lvlText w:val="%5."/>
      <w:lvlJc w:val="left"/>
      <w:pPr>
        <w:ind w:left="6120" w:hanging="360"/>
      </w:pPr>
      <w:rPr>
        <w:rFonts w:cs="Times New Roman"/>
      </w:rPr>
    </w:lvl>
    <w:lvl w:ilvl="5" w:tentative="1">
      <w:start w:val="1"/>
      <w:numFmt w:val="lowerRoman"/>
      <w:lvlText w:val="%6."/>
      <w:lvlJc w:val="right"/>
      <w:pPr>
        <w:ind w:left="6840" w:hanging="180"/>
      </w:pPr>
      <w:rPr>
        <w:rFonts w:cs="Times New Roman"/>
      </w:rPr>
    </w:lvl>
    <w:lvl w:ilvl="6" w:tentative="1">
      <w:start w:val="1"/>
      <w:numFmt w:val="decimal"/>
      <w:lvlText w:val="%7."/>
      <w:lvlJc w:val="left"/>
      <w:pPr>
        <w:ind w:left="7560" w:hanging="360"/>
      </w:pPr>
      <w:rPr>
        <w:rFonts w:cs="Times New Roman"/>
      </w:rPr>
    </w:lvl>
    <w:lvl w:ilvl="7" w:tentative="1">
      <w:start w:val="1"/>
      <w:numFmt w:val="lowerLetter"/>
      <w:lvlText w:val="%8."/>
      <w:lvlJc w:val="left"/>
      <w:pPr>
        <w:ind w:left="8280" w:hanging="360"/>
      </w:pPr>
      <w:rPr>
        <w:rFonts w:cs="Times New Roman"/>
      </w:rPr>
    </w:lvl>
    <w:lvl w:ilvl="8" w:tentative="1">
      <w:start w:val="1"/>
      <w:numFmt w:val="lowerRoman"/>
      <w:lvlText w:val="%9."/>
      <w:lvlJc w:val="right"/>
      <w:pPr>
        <w:ind w:left="9000" w:hanging="180"/>
      </w:pPr>
      <w:rPr>
        <w:rFonts w:cs="Times New Roman"/>
      </w:rPr>
    </w:lvl>
  </w:abstractNum>
  <w:abstractNum w:abstractNumId="2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57035C17"/>
    <w:multiLevelType w:val="hybridMultilevel"/>
    <w:tmpl w:val="6A909F4A"/>
    <w:lvl w:ilvl="0">
      <w:start w:val="1"/>
      <w:numFmt w:val="upp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60915E66"/>
    <w:multiLevelType w:val="hybridMultilevel"/>
    <w:tmpl w:val="118216B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4">
    <w:nsid w:val="6A5D3FDF"/>
    <w:multiLevelType w:val="hybridMultilevel"/>
    <w:tmpl w:val="B28E78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0"/>
      <w:numFmt w:val="bullet"/>
      <w:lvlText w:val="•"/>
      <w:lvlJc w:val="left"/>
      <w:pPr>
        <w:ind w:left="3600" w:hanging="360"/>
      </w:pPr>
      <w:rPr>
        <w:rFonts w:ascii="Times New Roman" w:eastAsia="Times New Roman" w:hAnsi="Times New Roman"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DA807F1"/>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77193AE4"/>
    <w:multiLevelType w:val="hybridMultilevel"/>
    <w:tmpl w:val="A4721908"/>
    <w:lvl w:ilvl="0">
      <w:start w:val="1"/>
      <w:numFmt w:val="bullet"/>
      <w:lvlText w:val="-"/>
      <w:lvlJc w:val="left"/>
      <w:pPr>
        <w:ind w:left="720" w:hanging="360"/>
      </w:pPr>
      <w:rPr>
        <w:rFonts w:ascii="Times New Roman" w:eastAsia="Times New Roman" w:hAnsi="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6"/>
  </w:num>
  <w:num w:numId="4">
    <w:abstractNumId w:val="23"/>
  </w:num>
  <w:num w:numId="5">
    <w:abstractNumId w:val="17"/>
  </w:num>
  <w:num w:numId="6">
    <w:abstractNumId w:val="14"/>
  </w:num>
  <w:num w:numId="7">
    <w:abstractNumId w:val="21"/>
  </w:num>
  <w:num w:numId="8">
    <w:abstractNumId w:val="24"/>
  </w:num>
  <w:num w:numId="9">
    <w:abstractNumId w:val="10"/>
  </w:num>
  <w:num w:numId="10">
    <w:abstractNumId w:val="15"/>
  </w:num>
  <w:num w:numId="11">
    <w:abstractNumId w:val="12"/>
  </w:num>
  <w:num w:numId="12">
    <w:abstractNumId w:val="20"/>
  </w:num>
  <w:num w:numId="13">
    <w:abstractNumId w:val="13"/>
  </w:num>
  <w:num w:numId="14">
    <w:abstractNumId w:val="11"/>
  </w:num>
  <w:num w:numId="15">
    <w:abstractNumId w:val="22"/>
  </w:num>
  <w:num w:numId="16">
    <w:abstractNumId w:val="26"/>
  </w:num>
  <w:num w:numId="17">
    <w:abstractNumId w:val="23"/>
  </w:num>
  <w:num w:numId="18">
    <w:abstractNumId w:val="2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linkStyles/>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5F1"/>
    <w:rsid w:val="00003FB6"/>
    <w:rsid w:val="0000649E"/>
    <w:rsid w:val="00007C86"/>
    <w:rsid w:val="00014D90"/>
    <w:rsid w:val="00015875"/>
    <w:rsid w:val="00015B93"/>
    <w:rsid w:val="00016BED"/>
    <w:rsid w:val="000240F3"/>
    <w:rsid w:val="00024110"/>
    <w:rsid w:val="0002502F"/>
    <w:rsid w:val="00025C67"/>
    <w:rsid w:val="00026F1B"/>
    <w:rsid w:val="00035520"/>
    <w:rsid w:val="00036527"/>
    <w:rsid w:val="00037293"/>
    <w:rsid w:val="00041AFA"/>
    <w:rsid w:val="00042172"/>
    <w:rsid w:val="000421B2"/>
    <w:rsid w:val="00044794"/>
    <w:rsid w:val="000449DB"/>
    <w:rsid w:val="00045AFD"/>
    <w:rsid w:val="00046A5C"/>
    <w:rsid w:val="00050ECA"/>
    <w:rsid w:val="00056648"/>
    <w:rsid w:val="00061283"/>
    <w:rsid w:val="00062D31"/>
    <w:rsid w:val="00065305"/>
    <w:rsid w:val="000661D3"/>
    <w:rsid w:val="000707E1"/>
    <w:rsid w:val="00070CC1"/>
    <w:rsid w:val="000729DA"/>
    <w:rsid w:val="00073E23"/>
    <w:rsid w:val="00083EE7"/>
    <w:rsid w:val="000862E0"/>
    <w:rsid w:val="00087AA5"/>
    <w:rsid w:val="00087C4C"/>
    <w:rsid w:val="000906FB"/>
    <w:rsid w:val="000929C4"/>
    <w:rsid w:val="00092E30"/>
    <w:rsid w:val="000955BD"/>
    <w:rsid w:val="00095C84"/>
    <w:rsid w:val="000964C8"/>
    <w:rsid w:val="000975BE"/>
    <w:rsid w:val="0009765E"/>
    <w:rsid w:val="000977E7"/>
    <w:rsid w:val="000A2AAB"/>
    <w:rsid w:val="000A56E2"/>
    <w:rsid w:val="000A5D1C"/>
    <w:rsid w:val="000A63C4"/>
    <w:rsid w:val="000A6C35"/>
    <w:rsid w:val="000B3905"/>
    <w:rsid w:val="000B53C1"/>
    <w:rsid w:val="000B6041"/>
    <w:rsid w:val="000B687C"/>
    <w:rsid w:val="000C146D"/>
    <w:rsid w:val="000C1DE3"/>
    <w:rsid w:val="000C2D29"/>
    <w:rsid w:val="000D2143"/>
    <w:rsid w:val="000D627B"/>
    <w:rsid w:val="000D6511"/>
    <w:rsid w:val="000D6D4E"/>
    <w:rsid w:val="000D7FFC"/>
    <w:rsid w:val="000E3C2D"/>
    <w:rsid w:val="000E4A71"/>
    <w:rsid w:val="000E5CD5"/>
    <w:rsid w:val="000E5DEE"/>
    <w:rsid w:val="000F1E83"/>
    <w:rsid w:val="00103B1B"/>
    <w:rsid w:val="00105FE4"/>
    <w:rsid w:val="001077CA"/>
    <w:rsid w:val="00110C6E"/>
    <w:rsid w:val="00111CC4"/>
    <w:rsid w:val="001143EB"/>
    <w:rsid w:val="00117633"/>
    <w:rsid w:val="00122A9B"/>
    <w:rsid w:val="001304CC"/>
    <w:rsid w:val="00135774"/>
    <w:rsid w:val="00136D9E"/>
    <w:rsid w:val="0014048A"/>
    <w:rsid w:val="00141540"/>
    <w:rsid w:val="00156216"/>
    <w:rsid w:val="0015625C"/>
    <w:rsid w:val="001621E7"/>
    <w:rsid w:val="0017042D"/>
    <w:rsid w:val="0017259E"/>
    <w:rsid w:val="0017296B"/>
    <w:rsid w:val="00173339"/>
    <w:rsid w:val="00176213"/>
    <w:rsid w:val="001813B2"/>
    <w:rsid w:val="001823B9"/>
    <w:rsid w:val="00186427"/>
    <w:rsid w:val="001900C2"/>
    <w:rsid w:val="00190D2C"/>
    <w:rsid w:val="00190E6B"/>
    <w:rsid w:val="0019289F"/>
    <w:rsid w:val="001A2A0A"/>
    <w:rsid w:val="001A3036"/>
    <w:rsid w:val="001A40B8"/>
    <w:rsid w:val="001B0260"/>
    <w:rsid w:val="001B0398"/>
    <w:rsid w:val="001B0557"/>
    <w:rsid w:val="001B1EFC"/>
    <w:rsid w:val="001C350E"/>
    <w:rsid w:val="001C393E"/>
    <w:rsid w:val="001C4C56"/>
    <w:rsid w:val="001C5665"/>
    <w:rsid w:val="001C6A3D"/>
    <w:rsid w:val="001D1DD3"/>
    <w:rsid w:val="001D405A"/>
    <w:rsid w:val="001D5067"/>
    <w:rsid w:val="001D643A"/>
    <w:rsid w:val="001E124C"/>
    <w:rsid w:val="001E234B"/>
    <w:rsid w:val="001E554D"/>
    <w:rsid w:val="001E6FB8"/>
    <w:rsid w:val="001E7AB2"/>
    <w:rsid w:val="002020A4"/>
    <w:rsid w:val="0020343C"/>
    <w:rsid w:val="002040C2"/>
    <w:rsid w:val="00206295"/>
    <w:rsid w:val="002063AD"/>
    <w:rsid w:val="00206F94"/>
    <w:rsid w:val="00215FA0"/>
    <w:rsid w:val="00221E8A"/>
    <w:rsid w:val="00224192"/>
    <w:rsid w:val="002245A6"/>
    <w:rsid w:val="00224F08"/>
    <w:rsid w:val="00225461"/>
    <w:rsid w:val="00236280"/>
    <w:rsid w:val="00236CD2"/>
    <w:rsid w:val="00237E78"/>
    <w:rsid w:val="00240774"/>
    <w:rsid w:val="00243F7F"/>
    <w:rsid w:val="00244869"/>
    <w:rsid w:val="00254775"/>
    <w:rsid w:val="0025616C"/>
    <w:rsid w:val="00257254"/>
    <w:rsid w:val="00261F74"/>
    <w:rsid w:val="002674B5"/>
    <w:rsid w:val="00271B12"/>
    <w:rsid w:val="00277C51"/>
    <w:rsid w:val="00286961"/>
    <w:rsid w:val="00286F8E"/>
    <w:rsid w:val="00287C8F"/>
    <w:rsid w:val="002911E6"/>
    <w:rsid w:val="002940D4"/>
    <w:rsid w:val="00295C88"/>
    <w:rsid w:val="00297420"/>
    <w:rsid w:val="00297EC6"/>
    <w:rsid w:val="002A055D"/>
    <w:rsid w:val="002A0FD9"/>
    <w:rsid w:val="002A23CF"/>
    <w:rsid w:val="002A381D"/>
    <w:rsid w:val="002A60DD"/>
    <w:rsid w:val="002A69FA"/>
    <w:rsid w:val="002A6E30"/>
    <w:rsid w:val="002A7074"/>
    <w:rsid w:val="002B0568"/>
    <w:rsid w:val="002B23DC"/>
    <w:rsid w:val="002B29B3"/>
    <w:rsid w:val="002B3721"/>
    <w:rsid w:val="002C0220"/>
    <w:rsid w:val="002C2149"/>
    <w:rsid w:val="002C35E1"/>
    <w:rsid w:val="002C7904"/>
    <w:rsid w:val="002D15C1"/>
    <w:rsid w:val="002D1AE0"/>
    <w:rsid w:val="002D3816"/>
    <w:rsid w:val="002D4260"/>
    <w:rsid w:val="002D48D9"/>
    <w:rsid w:val="002E0A0E"/>
    <w:rsid w:val="002E346D"/>
    <w:rsid w:val="002E604E"/>
    <w:rsid w:val="002E6663"/>
    <w:rsid w:val="002E6D8B"/>
    <w:rsid w:val="002E6E1F"/>
    <w:rsid w:val="002E7A2F"/>
    <w:rsid w:val="002F07D6"/>
    <w:rsid w:val="002F0CB2"/>
    <w:rsid w:val="002F63D4"/>
    <w:rsid w:val="002F7B4E"/>
    <w:rsid w:val="002F7B9E"/>
    <w:rsid w:val="00304CD4"/>
    <w:rsid w:val="0031279C"/>
    <w:rsid w:val="00313E0C"/>
    <w:rsid w:val="00315A94"/>
    <w:rsid w:val="00315B05"/>
    <w:rsid w:val="00317ED4"/>
    <w:rsid w:val="00321CE8"/>
    <w:rsid w:val="003240CD"/>
    <w:rsid w:val="0032445C"/>
    <w:rsid w:val="00324B67"/>
    <w:rsid w:val="00325532"/>
    <w:rsid w:val="0032722C"/>
    <w:rsid w:val="00331F78"/>
    <w:rsid w:val="0033331E"/>
    <w:rsid w:val="00334ADB"/>
    <w:rsid w:val="00334C79"/>
    <w:rsid w:val="00340054"/>
    <w:rsid w:val="003410B4"/>
    <w:rsid w:val="003422A6"/>
    <w:rsid w:val="003436FD"/>
    <w:rsid w:val="00343CEE"/>
    <w:rsid w:val="00345448"/>
    <w:rsid w:val="00346BB1"/>
    <w:rsid w:val="00351EEF"/>
    <w:rsid w:val="003531D5"/>
    <w:rsid w:val="003537CA"/>
    <w:rsid w:val="00362600"/>
    <w:rsid w:val="00362E76"/>
    <w:rsid w:val="00365AC4"/>
    <w:rsid w:val="00366AB9"/>
    <w:rsid w:val="003679A0"/>
    <w:rsid w:val="003778E1"/>
    <w:rsid w:val="003826AB"/>
    <w:rsid w:val="00394314"/>
    <w:rsid w:val="0039521C"/>
    <w:rsid w:val="003A0B0B"/>
    <w:rsid w:val="003A0C52"/>
    <w:rsid w:val="003A3068"/>
    <w:rsid w:val="003A385A"/>
    <w:rsid w:val="003A5216"/>
    <w:rsid w:val="003A7714"/>
    <w:rsid w:val="003A7B20"/>
    <w:rsid w:val="003B0EE1"/>
    <w:rsid w:val="003B3B21"/>
    <w:rsid w:val="003C0BD1"/>
    <w:rsid w:val="003C295B"/>
    <w:rsid w:val="003C3446"/>
    <w:rsid w:val="003C4620"/>
    <w:rsid w:val="003C5D52"/>
    <w:rsid w:val="003D1741"/>
    <w:rsid w:val="003D2D77"/>
    <w:rsid w:val="003D4964"/>
    <w:rsid w:val="003E49F4"/>
    <w:rsid w:val="003E7987"/>
    <w:rsid w:val="003E7EFF"/>
    <w:rsid w:val="003F65FB"/>
    <w:rsid w:val="00400240"/>
    <w:rsid w:val="0040402B"/>
    <w:rsid w:val="00404C59"/>
    <w:rsid w:val="00406F90"/>
    <w:rsid w:val="0040706E"/>
    <w:rsid w:val="00407E32"/>
    <w:rsid w:val="00410F4B"/>
    <w:rsid w:val="00412909"/>
    <w:rsid w:val="00417B79"/>
    <w:rsid w:val="004208DE"/>
    <w:rsid w:val="00425A5E"/>
    <w:rsid w:val="00425DE8"/>
    <w:rsid w:val="00426ED2"/>
    <w:rsid w:val="00441582"/>
    <w:rsid w:val="0044418C"/>
    <w:rsid w:val="00450D4F"/>
    <w:rsid w:val="004531CC"/>
    <w:rsid w:val="004546F6"/>
    <w:rsid w:val="00461AB3"/>
    <w:rsid w:val="0047161E"/>
    <w:rsid w:val="00472BE4"/>
    <w:rsid w:val="00475829"/>
    <w:rsid w:val="00480D56"/>
    <w:rsid w:val="0048746A"/>
    <w:rsid w:val="004A3DFE"/>
    <w:rsid w:val="004A69EA"/>
    <w:rsid w:val="004B0CBB"/>
    <w:rsid w:val="004B5984"/>
    <w:rsid w:val="004B747D"/>
    <w:rsid w:val="004C289C"/>
    <w:rsid w:val="004C29C4"/>
    <w:rsid w:val="004C30B7"/>
    <w:rsid w:val="004D1B59"/>
    <w:rsid w:val="004D25C7"/>
    <w:rsid w:val="004D73E2"/>
    <w:rsid w:val="004E0870"/>
    <w:rsid w:val="004E2212"/>
    <w:rsid w:val="004E235F"/>
    <w:rsid w:val="004E2DB8"/>
    <w:rsid w:val="004E3821"/>
    <w:rsid w:val="004E4F60"/>
    <w:rsid w:val="004E787F"/>
    <w:rsid w:val="004F0E95"/>
    <w:rsid w:val="004F1F7A"/>
    <w:rsid w:val="00511BC0"/>
    <w:rsid w:val="005120BA"/>
    <w:rsid w:val="0051255B"/>
    <w:rsid w:val="00517806"/>
    <w:rsid w:val="00520480"/>
    <w:rsid w:val="005213CE"/>
    <w:rsid w:val="0052161B"/>
    <w:rsid w:val="005236DF"/>
    <w:rsid w:val="005262E8"/>
    <w:rsid w:val="00530567"/>
    <w:rsid w:val="0053092B"/>
    <w:rsid w:val="005316D8"/>
    <w:rsid w:val="00532267"/>
    <w:rsid w:val="0053248D"/>
    <w:rsid w:val="00537C85"/>
    <w:rsid w:val="00542635"/>
    <w:rsid w:val="00543BA9"/>
    <w:rsid w:val="0054651C"/>
    <w:rsid w:val="0055074A"/>
    <w:rsid w:val="005507DC"/>
    <w:rsid w:val="00556D79"/>
    <w:rsid w:val="00560188"/>
    <w:rsid w:val="00560C7B"/>
    <w:rsid w:val="00563D5E"/>
    <w:rsid w:val="00566FCD"/>
    <w:rsid w:val="00570683"/>
    <w:rsid w:val="005722BC"/>
    <w:rsid w:val="00573757"/>
    <w:rsid w:val="005747EE"/>
    <w:rsid w:val="005770E5"/>
    <w:rsid w:val="005774AC"/>
    <w:rsid w:val="00577C59"/>
    <w:rsid w:val="005816B9"/>
    <w:rsid w:val="00585220"/>
    <w:rsid w:val="00585480"/>
    <w:rsid w:val="00595A96"/>
    <w:rsid w:val="0059682F"/>
    <w:rsid w:val="005A1F36"/>
    <w:rsid w:val="005A51FE"/>
    <w:rsid w:val="005A5F0B"/>
    <w:rsid w:val="005B2E54"/>
    <w:rsid w:val="005B35C0"/>
    <w:rsid w:val="005B468E"/>
    <w:rsid w:val="005C0D52"/>
    <w:rsid w:val="005D0A7F"/>
    <w:rsid w:val="005D34F3"/>
    <w:rsid w:val="005D446E"/>
    <w:rsid w:val="005D49B0"/>
    <w:rsid w:val="005E28D2"/>
    <w:rsid w:val="005E40FD"/>
    <w:rsid w:val="005E6E28"/>
    <w:rsid w:val="005E7BE5"/>
    <w:rsid w:val="005F1F9D"/>
    <w:rsid w:val="005F2CA7"/>
    <w:rsid w:val="0060407A"/>
    <w:rsid w:val="0061357C"/>
    <w:rsid w:val="00615702"/>
    <w:rsid w:val="00615912"/>
    <w:rsid w:val="00615BF1"/>
    <w:rsid w:val="00617CE8"/>
    <w:rsid w:val="00620FD7"/>
    <w:rsid w:val="00623D32"/>
    <w:rsid w:val="006253C3"/>
    <w:rsid w:val="00625407"/>
    <w:rsid w:val="00626171"/>
    <w:rsid w:val="0062635F"/>
    <w:rsid w:val="0063539B"/>
    <w:rsid w:val="00637AD4"/>
    <w:rsid w:val="0064525D"/>
    <w:rsid w:val="00647595"/>
    <w:rsid w:val="00647AF0"/>
    <w:rsid w:val="00653255"/>
    <w:rsid w:val="00653D1B"/>
    <w:rsid w:val="00665C35"/>
    <w:rsid w:val="00667BB2"/>
    <w:rsid w:val="00667CAC"/>
    <w:rsid w:val="00670EED"/>
    <w:rsid w:val="006713FA"/>
    <w:rsid w:val="00674D9F"/>
    <w:rsid w:val="006764BA"/>
    <w:rsid w:val="00676839"/>
    <w:rsid w:val="006776A4"/>
    <w:rsid w:val="006802BA"/>
    <w:rsid w:val="00680A63"/>
    <w:rsid w:val="0068121B"/>
    <w:rsid w:val="006900A1"/>
    <w:rsid w:val="00693CD0"/>
    <w:rsid w:val="006952A3"/>
    <w:rsid w:val="006A0C6E"/>
    <w:rsid w:val="006A1273"/>
    <w:rsid w:val="006A3143"/>
    <w:rsid w:val="006A3789"/>
    <w:rsid w:val="006A538A"/>
    <w:rsid w:val="006A7AF6"/>
    <w:rsid w:val="006B6DCA"/>
    <w:rsid w:val="006C3872"/>
    <w:rsid w:val="006C41AC"/>
    <w:rsid w:val="006C4CBB"/>
    <w:rsid w:val="006C66B7"/>
    <w:rsid w:val="006D061A"/>
    <w:rsid w:val="006D4F5F"/>
    <w:rsid w:val="006D6E08"/>
    <w:rsid w:val="006E0077"/>
    <w:rsid w:val="006E0867"/>
    <w:rsid w:val="006E38B2"/>
    <w:rsid w:val="006E6AC0"/>
    <w:rsid w:val="006F0D61"/>
    <w:rsid w:val="006F2DAA"/>
    <w:rsid w:val="006F66DC"/>
    <w:rsid w:val="006F6D40"/>
    <w:rsid w:val="00710B31"/>
    <w:rsid w:val="007113B0"/>
    <w:rsid w:val="0071689D"/>
    <w:rsid w:val="007204AA"/>
    <w:rsid w:val="00721B65"/>
    <w:rsid w:val="00724650"/>
    <w:rsid w:val="00725233"/>
    <w:rsid w:val="00727185"/>
    <w:rsid w:val="00733F00"/>
    <w:rsid w:val="00734F87"/>
    <w:rsid w:val="00737D08"/>
    <w:rsid w:val="00740ACD"/>
    <w:rsid w:val="00742D2A"/>
    <w:rsid w:val="00750307"/>
    <w:rsid w:val="007519F9"/>
    <w:rsid w:val="00752014"/>
    <w:rsid w:val="00753282"/>
    <w:rsid w:val="00756257"/>
    <w:rsid w:val="00757B60"/>
    <w:rsid w:val="00764199"/>
    <w:rsid w:val="00766AF8"/>
    <w:rsid w:val="007677B9"/>
    <w:rsid w:val="00770E6C"/>
    <w:rsid w:val="00772F63"/>
    <w:rsid w:val="0077683A"/>
    <w:rsid w:val="007769B3"/>
    <w:rsid w:val="0077741D"/>
    <w:rsid w:val="00777560"/>
    <w:rsid w:val="007801DB"/>
    <w:rsid w:val="00782740"/>
    <w:rsid w:val="007839A1"/>
    <w:rsid w:val="00785D88"/>
    <w:rsid w:val="00791B93"/>
    <w:rsid w:val="00795F57"/>
    <w:rsid w:val="007A289B"/>
    <w:rsid w:val="007A4652"/>
    <w:rsid w:val="007A69FB"/>
    <w:rsid w:val="007B18DA"/>
    <w:rsid w:val="007B4335"/>
    <w:rsid w:val="007B58A9"/>
    <w:rsid w:val="007B6B47"/>
    <w:rsid w:val="007D6E3E"/>
    <w:rsid w:val="007E55D5"/>
    <w:rsid w:val="007E7A5E"/>
    <w:rsid w:val="007F2C5E"/>
    <w:rsid w:val="00801712"/>
    <w:rsid w:val="008036D8"/>
    <w:rsid w:val="00805E8E"/>
    <w:rsid w:val="0080755A"/>
    <w:rsid w:val="008140D9"/>
    <w:rsid w:val="00814CBD"/>
    <w:rsid w:val="00824FE7"/>
    <w:rsid w:val="008260FE"/>
    <w:rsid w:val="0083522E"/>
    <w:rsid w:val="00835277"/>
    <w:rsid w:val="00836192"/>
    <w:rsid w:val="00842790"/>
    <w:rsid w:val="00855757"/>
    <w:rsid w:val="008559B8"/>
    <w:rsid w:val="00856095"/>
    <w:rsid w:val="00863F86"/>
    <w:rsid w:val="0087127F"/>
    <w:rsid w:val="00873808"/>
    <w:rsid w:val="00875065"/>
    <w:rsid w:val="00880227"/>
    <w:rsid w:val="00881B10"/>
    <w:rsid w:val="00883B35"/>
    <w:rsid w:val="00884D0E"/>
    <w:rsid w:val="00892770"/>
    <w:rsid w:val="00892CF6"/>
    <w:rsid w:val="00892D96"/>
    <w:rsid w:val="00896653"/>
    <w:rsid w:val="008A22D3"/>
    <w:rsid w:val="008A369A"/>
    <w:rsid w:val="008A39C2"/>
    <w:rsid w:val="008B4259"/>
    <w:rsid w:val="008B4560"/>
    <w:rsid w:val="008B502F"/>
    <w:rsid w:val="008B6D46"/>
    <w:rsid w:val="008C1F57"/>
    <w:rsid w:val="008C3819"/>
    <w:rsid w:val="008C62F9"/>
    <w:rsid w:val="008C6FB4"/>
    <w:rsid w:val="008D299C"/>
    <w:rsid w:val="008D4928"/>
    <w:rsid w:val="008E2595"/>
    <w:rsid w:val="008E3063"/>
    <w:rsid w:val="008E59CE"/>
    <w:rsid w:val="008F01E0"/>
    <w:rsid w:val="008F3937"/>
    <w:rsid w:val="00900075"/>
    <w:rsid w:val="0090024C"/>
    <w:rsid w:val="00900795"/>
    <w:rsid w:val="009023C5"/>
    <w:rsid w:val="00902FC0"/>
    <w:rsid w:val="00904BAA"/>
    <w:rsid w:val="00905184"/>
    <w:rsid w:val="00905926"/>
    <w:rsid w:val="00905A50"/>
    <w:rsid w:val="00907CB2"/>
    <w:rsid w:val="00914FF5"/>
    <w:rsid w:val="009151F0"/>
    <w:rsid w:val="00924639"/>
    <w:rsid w:val="0093066D"/>
    <w:rsid w:val="00931A54"/>
    <w:rsid w:val="009321F5"/>
    <w:rsid w:val="009323EA"/>
    <w:rsid w:val="00935034"/>
    <w:rsid w:val="0093692C"/>
    <w:rsid w:val="009369DB"/>
    <w:rsid w:val="0093798B"/>
    <w:rsid w:val="00937ECB"/>
    <w:rsid w:val="009433A7"/>
    <w:rsid w:val="00945151"/>
    <w:rsid w:val="00945165"/>
    <w:rsid w:val="00945229"/>
    <w:rsid w:val="009504E8"/>
    <w:rsid w:val="009578B6"/>
    <w:rsid w:val="00957D00"/>
    <w:rsid w:val="009606E7"/>
    <w:rsid w:val="00961E29"/>
    <w:rsid w:val="00963380"/>
    <w:rsid w:val="009640F4"/>
    <w:rsid w:val="00970D7C"/>
    <w:rsid w:val="0097154F"/>
    <w:rsid w:val="00971A7E"/>
    <w:rsid w:val="0097730F"/>
    <w:rsid w:val="009803CA"/>
    <w:rsid w:val="00981C29"/>
    <w:rsid w:val="00982CAE"/>
    <w:rsid w:val="0098632C"/>
    <w:rsid w:val="00986D87"/>
    <w:rsid w:val="00992506"/>
    <w:rsid w:val="00992970"/>
    <w:rsid w:val="00992EBD"/>
    <w:rsid w:val="00993567"/>
    <w:rsid w:val="00993B62"/>
    <w:rsid w:val="009952E2"/>
    <w:rsid w:val="00997F0C"/>
    <w:rsid w:val="009A1204"/>
    <w:rsid w:val="009A14B5"/>
    <w:rsid w:val="009A17C8"/>
    <w:rsid w:val="009A56C9"/>
    <w:rsid w:val="009A5B8B"/>
    <w:rsid w:val="009B0C8F"/>
    <w:rsid w:val="009B1CA1"/>
    <w:rsid w:val="009B459E"/>
    <w:rsid w:val="009B5077"/>
    <w:rsid w:val="009C3D21"/>
    <w:rsid w:val="009C4287"/>
    <w:rsid w:val="009C66FB"/>
    <w:rsid w:val="009D09C9"/>
    <w:rsid w:val="009E177E"/>
    <w:rsid w:val="009F202F"/>
    <w:rsid w:val="009F2273"/>
    <w:rsid w:val="00A04089"/>
    <w:rsid w:val="00A07D24"/>
    <w:rsid w:val="00A07E3F"/>
    <w:rsid w:val="00A125CB"/>
    <w:rsid w:val="00A15098"/>
    <w:rsid w:val="00A200B5"/>
    <w:rsid w:val="00A216FF"/>
    <w:rsid w:val="00A234C0"/>
    <w:rsid w:val="00A2785D"/>
    <w:rsid w:val="00A300BA"/>
    <w:rsid w:val="00A30157"/>
    <w:rsid w:val="00A309C9"/>
    <w:rsid w:val="00A3483A"/>
    <w:rsid w:val="00A42105"/>
    <w:rsid w:val="00A44A4F"/>
    <w:rsid w:val="00A52BA8"/>
    <w:rsid w:val="00A55267"/>
    <w:rsid w:val="00A55801"/>
    <w:rsid w:val="00A61C9A"/>
    <w:rsid w:val="00A6520C"/>
    <w:rsid w:val="00A7009F"/>
    <w:rsid w:val="00A70226"/>
    <w:rsid w:val="00A760FF"/>
    <w:rsid w:val="00A77E2B"/>
    <w:rsid w:val="00A80B8F"/>
    <w:rsid w:val="00A8147C"/>
    <w:rsid w:val="00A84221"/>
    <w:rsid w:val="00A851BF"/>
    <w:rsid w:val="00A87215"/>
    <w:rsid w:val="00A90148"/>
    <w:rsid w:val="00A90E3A"/>
    <w:rsid w:val="00A9131D"/>
    <w:rsid w:val="00A916C9"/>
    <w:rsid w:val="00A92BCA"/>
    <w:rsid w:val="00A94369"/>
    <w:rsid w:val="00AA1776"/>
    <w:rsid w:val="00AA3E53"/>
    <w:rsid w:val="00AB3E56"/>
    <w:rsid w:val="00AB6806"/>
    <w:rsid w:val="00AC35A6"/>
    <w:rsid w:val="00AC5AF5"/>
    <w:rsid w:val="00AD0726"/>
    <w:rsid w:val="00AD17CC"/>
    <w:rsid w:val="00AD2969"/>
    <w:rsid w:val="00AD2BE0"/>
    <w:rsid w:val="00AE353A"/>
    <w:rsid w:val="00AE3C54"/>
    <w:rsid w:val="00AE528A"/>
    <w:rsid w:val="00AE6406"/>
    <w:rsid w:val="00AE64DC"/>
    <w:rsid w:val="00AF05F1"/>
    <w:rsid w:val="00AF0869"/>
    <w:rsid w:val="00AF3C4E"/>
    <w:rsid w:val="00AF411A"/>
    <w:rsid w:val="00AF4267"/>
    <w:rsid w:val="00AF486D"/>
    <w:rsid w:val="00AF6125"/>
    <w:rsid w:val="00B016D2"/>
    <w:rsid w:val="00B10A6E"/>
    <w:rsid w:val="00B12783"/>
    <w:rsid w:val="00B12A90"/>
    <w:rsid w:val="00B146C2"/>
    <w:rsid w:val="00B1525B"/>
    <w:rsid w:val="00B16B4B"/>
    <w:rsid w:val="00B17683"/>
    <w:rsid w:val="00B22E0D"/>
    <w:rsid w:val="00B23169"/>
    <w:rsid w:val="00B24963"/>
    <w:rsid w:val="00B25EC3"/>
    <w:rsid w:val="00B31420"/>
    <w:rsid w:val="00B343BA"/>
    <w:rsid w:val="00B34AA2"/>
    <w:rsid w:val="00B34D27"/>
    <w:rsid w:val="00B34DB9"/>
    <w:rsid w:val="00B35E69"/>
    <w:rsid w:val="00B42A1A"/>
    <w:rsid w:val="00B447CA"/>
    <w:rsid w:val="00B44EFC"/>
    <w:rsid w:val="00B5021D"/>
    <w:rsid w:val="00B50FEA"/>
    <w:rsid w:val="00B524C0"/>
    <w:rsid w:val="00B53E2F"/>
    <w:rsid w:val="00B554E9"/>
    <w:rsid w:val="00B5637C"/>
    <w:rsid w:val="00B61B52"/>
    <w:rsid w:val="00B64790"/>
    <w:rsid w:val="00B65D09"/>
    <w:rsid w:val="00B67207"/>
    <w:rsid w:val="00B71942"/>
    <w:rsid w:val="00B83D6C"/>
    <w:rsid w:val="00B83EF3"/>
    <w:rsid w:val="00B8432F"/>
    <w:rsid w:val="00B85F4B"/>
    <w:rsid w:val="00B906E9"/>
    <w:rsid w:val="00B9181D"/>
    <w:rsid w:val="00B92945"/>
    <w:rsid w:val="00B93EAF"/>
    <w:rsid w:val="00B94222"/>
    <w:rsid w:val="00BA0EF2"/>
    <w:rsid w:val="00BA3F91"/>
    <w:rsid w:val="00BA6852"/>
    <w:rsid w:val="00BB1379"/>
    <w:rsid w:val="00BB22DA"/>
    <w:rsid w:val="00BB2EA4"/>
    <w:rsid w:val="00BB39D6"/>
    <w:rsid w:val="00BB747F"/>
    <w:rsid w:val="00BB7576"/>
    <w:rsid w:val="00BC5A32"/>
    <w:rsid w:val="00BC5D01"/>
    <w:rsid w:val="00BC6425"/>
    <w:rsid w:val="00BC657A"/>
    <w:rsid w:val="00BD3C02"/>
    <w:rsid w:val="00BD3FD3"/>
    <w:rsid w:val="00BD55E0"/>
    <w:rsid w:val="00BE0E63"/>
    <w:rsid w:val="00BE4047"/>
    <w:rsid w:val="00BE74DF"/>
    <w:rsid w:val="00BF4616"/>
    <w:rsid w:val="00BF61DE"/>
    <w:rsid w:val="00BF7910"/>
    <w:rsid w:val="00C00137"/>
    <w:rsid w:val="00C03543"/>
    <w:rsid w:val="00C070F8"/>
    <w:rsid w:val="00C16865"/>
    <w:rsid w:val="00C201E3"/>
    <w:rsid w:val="00C20E85"/>
    <w:rsid w:val="00C24B0B"/>
    <w:rsid w:val="00C27544"/>
    <w:rsid w:val="00C30526"/>
    <w:rsid w:val="00C306BE"/>
    <w:rsid w:val="00C338C6"/>
    <w:rsid w:val="00C367AB"/>
    <w:rsid w:val="00C37472"/>
    <w:rsid w:val="00C378B6"/>
    <w:rsid w:val="00C37E21"/>
    <w:rsid w:val="00C40FBC"/>
    <w:rsid w:val="00C415F0"/>
    <w:rsid w:val="00C43E09"/>
    <w:rsid w:val="00C4513B"/>
    <w:rsid w:val="00C5006E"/>
    <w:rsid w:val="00C506A7"/>
    <w:rsid w:val="00C50D5D"/>
    <w:rsid w:val="00C57163"/>
    <w:rsid w:val="00C600BC"/>
    <w:rsid w:val="00C60376"/>
    <w:rsid w:val="00C60568"/>
    <w:rsid w:val="00C664DB"/>
    <w:rsid w:val="00C677E7"/>
    <w:rsid w:val="00C71587"/>
    <w:rsid w:val="00C7181C"/>
    <w:rsid w:val="00C71B0F"/>
    <w:rsid w:val="00C728A0"/>
    <w:rsid w:val="00C749D8"/>
    <w:rsid w:val="00C75C9E"/>
    <w:rsid w:val="00C7656D"/>
    <w:rsid w:val="00C769D2"/>
    <w:rsid w:val="00C81521"/>
    <w:rsid w:val="00C912C4"/>
    <w:rsid w:val="00C94EDA"/>
    <w:rsid w:val="00C95A4C"/>
    <w:rsid w:val="00C97E2B"/>
    <w:rsid w:val="00CA07CC"/>
    <w:rsid w:val="00CA5A43"/>
    <w:rsid w:val="00CB1C8F"/>
    <w:rsid w:val="00CB3739"/>
    <w:rsid w:val="00CB75B3"/>
    <w:rsid w:val="00CB7DE1"/>
    <w:rsid w:val="00CC37B4"/>
    <w:rsid w:val="00CD1127"/>
    <w:rsid w:val="00CD39A8"/>
    <w:rsid w:val="00CE0E12"/>
    <w:rsid w:val="00CE11F3"/>
    <w:rsid w:val="00CE1DDF"/>
    <w:rsid w:val="00CE3151"/>
    <w:rsid w:val="00CE6411"/>
    <w:rsid w:val="00CF2CD6"/>
    <w:rsid w:val="00D00183"/>
    <w:rsid w:val="00D02968"/>
    <w:rsid w:val="00D0401D"/>
    <w:rsid w:val="00D04CE4"/>
    <w:rsid w:val="00D063BD"/>
    <w:rsid w:val="00D06EFF"/>
    <w:rsid w:val="00D07C42"/>
    <w:rsid w:val="00D07DF1"/>
    <w:rsid w:val="00D12B43"/>
    <w:rsid w:val="00D2284E"/>
    <w:rsid w:val="00D23DAC"/>
    <w:rsid w:val="00D23ED2"/>
    <w:rsid w:val="00D414D6"/>
    <w:rsid w:val="00D435C4"/>
    <w:rsid w:val="00D45C33"/>
    <w:rsid w:val="00D45FA4"/>
    <w:rsid w:val="00D52321"/>
    <w:rsid w:val="00D63C90"/>
    <w:rsid w:val="00D641D3"/>
    <w:rsid w:val="00D65761"/>
    <w:rsid w:val="00D72204"/>
    <w:rsid w:val="00D76818"/>
    <w:rsid w:val="00D77ED9"/>
    <w:rsid w:val="00D81E4D"/>
    <w:rsid w:val="00D85A2F"/>
    <w:rsid w:val="00D86160"/>
    <w:rsid w:val="00D873BE"/>
    <w:rsid w:val="00D87562"/>
    <w:rsid w:val="00D91726"/>
    <w:rsid w:val="00D95D83"/>
    <w:rsid w:val="00DA0C93"/>
    <w:rsid w:val="00DA25DA"/>
    <w:rsid w:val="00DA49ED"/>
    <w:rsid w:val="00DB0870"/>
    <w:rsid w:val="00DB089F"/>
    <w:rsid w:val="00DB1C9A"/>
    <w:rsid w:val="00DB6076"/>
    <w:rsid w:val="00DC01C7"/>
    <w:rsid w:val="00DC01D7"/>
    <w:rsid w:val="00DC12E2"/>
    <w:rsid w:val="00DC25AC"/>
    <w:rsid w:val="00DC2A2C"/>
    <w:rsid w:val="00DC35C0"/>
    <w:rsid w:val="00DC3846"/>
    <w:rsid w:val="00DC7A46"/>
    <w:rsid w:val="00DD3761"/>
    <w:rsid w:val="00DE23E6"/>
    <w:rsid w:val="00DE3247"/>
    <w:rsid w:val="00DE57B1"/>
    <w:rsid w:val="00DE61E7"/>
    <w:rsid w:val="00DF6670"/>
    <w:rsid w:val="00E00835"/>
    <w:rsid w:val="00E0269B"/>
    <w:rsid w:val="00E02C67"/>
    <w:rsid w:val="00E03F3E"/>
    <w:rsid w:val="00E05C1C"/>
    <w:rsid w:val="00E063ED"/>
    <w:rsid w:val="00E200CD"/>
    <w:rsid w:val="00E2201E"/>
    <w:rsid w:val="00E2676C"/>
    <w:rsid w:val="00E46D03"/>
    <w:rsid w:val="00E51E0B"/>
    <w:rsid w:val="00E5274C"/>
    <w:rsid w:val="00E5445F"/>
    <w:rsid w:val="00E559A5"/>
    <w:rsid w:val="00E616C4"/>
    <w:rsid w:val="00E6333B"/>
    <w:rsid w:val="00E75137"/>
    <w:rsid w:val="00E772E2"/>
    <w:rsid w:val="00E801CA"/>
    <w:rsid w:val="00E81D86"/>
    <w:rsid w:val="00E82820"/>
    <w:rsid w:val="00E84D16"/>
    <w:rsid w:val="00E854AD"/>
    <w:rsid w:val="00E86BB3"/>
    <w:rsid w:val="00E9169F"/>
    <w:rsid w:val="00E93705"/>
    <w:rsid w:val="00E963DB"/>
    <w:rsid w:val="00E96609"/>
    <w:rsid w:val="00EA28C2"/>
    <w:rsid w:val="00EA426F"/>
    <w:rsid w:val="00EA45A8"/>
    <w:rsid w:val="00EA5162"/>
    <w:rsid w:val="00EB3AAA"/>
    <w:rsid w:val="00EB53F5"/>
    <w:rsid w:val="00EB630A"/>
    <w:rsid w:val="00EC0147"/>
    <w:rsid w:val="00EC2A2C"/>
    <w:rsid w:val="00EC46E7"/>
    <w:rsid w:val="00EC49AE"/>
    <w:rsid w:val="00EC7B44"/>
    <w:rsid w:val="00ED39AE"/>
    <w:rsid w:val="00EE0F0F"/>
    <w:rsid w:val="00EE4C46"/>
    <w:rsid w:val="00EE5BEF"/>
    <w:rsid w:val="00EE6BAA"/>
    <w:rsid w:val="00EF1D02"/>
    <w:rsid w:val="00EF2D09"/>
    <w:rsid w:val="00EF47B4"/>
    <w:rsid w:val="00EF7E27"/>
    <w:rsid w:val="00F00407"/>
    <w:rsid w:val="00F03BF2"/>
    <w:rsid w:val="00F05AFE"/>
    <w:rsid w:val="00F06398"/>
    <w:rsid w:val="00F130D7"/>
    <w:rsid w:val="00F14821"/>
    <w:rsid w:val="00F15F4C"/>
    <w:rsid w:val="00F21CA2"/>
    <w:rsid w:val="00F222AA"/>
    <w:rsid w:val="00F25061"/>
    <w:rsid w:val="00F2558C"/>
    <w:rsid w:val="00F26219"/>
    <w:rsid w:val="00F2762B"/>
    <w:rsid w:val="00F30E78"/>
    <w:rsid w:val="00F3315B"/>
    <w:rsid w:val="00F345BC"/>
    <w:rsid w:val="00F37A2E"/>
    <w:rsid w:val="00F4598B"/>
    <w:rsid w:val="00F514E9"/>
    <w:rsid w:val="00F527F4"/>
    <w:rsid w:val="00F55566"/>
    <w:rsid w:val="00F56DE8"/>
    <w:rsid w:val="00F617EC"/>
    <w:rsid w:val="00F63DAB"/>
    <w:rsid w:val="00F649C8"/>
    <w:rsid w:val="00F65830"/>
    <w:rsid w:val="00F71620"/>
    <w:rsid w:val="00F74B71"/>
    <w:rsid w:val="00F75496"/>
    <w:rsid w:val="00F75901"/>
    <w:rsid w:val="00F77790"/>
    <w:rsid w:val="00F77E61"/>
    <w:rsid w:val="00F804C4"/>
    <w:rsid w:val="00F816D0"/>
    <w:rsid w:val="00F91232"/>
    <w:rsid w:val="00F93ADE"/>
    <w:rsid w:val="00F93EC0"/>
    <w:rsid w:val="00F93F35"/>
    <w:rsid w:val="00F978D7"/>
    <w:rsid w:val="00FA0370"/>
    <w:rsid w:val="00FA35F2"/>
    <w:rsid w:val="00FA368D"/>
    <w:rsid w:val="00FA6B8E"/>
    <w:rsid w:val="00FA7481"/>
    <w:rsid w:val="00FB1BA5"/>
    <w:rsid w:val="00FB5A39"/>
    <w:rsid w:val="00FB5AF3"/>
    <w:rsid w:val="00FB5F79"/>
    <w:rsid w:val="00FB67A5"/>
    <w:rsid w:val="00FC0C14"/>
    <w:rsid w:val="00FC154A"/>
    <w:rsid w:val="00FC2E56"/>
    <w:rsid w:val="00FC7C79"/>
    <w:rsid w:val="00FD275F"/>
    <w:rsid w:val="00FD3BAC"/>
    <w:rsid w:val="00FD41B3"/>
    <w:rsid w:val="00FD4A1B"/>
    <w:rsid w:val="00FD4C7E"/>
    <w:rsid w:val="00FD541D"/>
    <w:rsid w:val="00FE0242"/>
    <w:rsid w:val="00FE04EB"/>
    <w:rsid w:val="00FE1859"/>
    <w:rsid w:val="00FE2DC0"/>
    <w:rsid w:val="00FE2E65"/>
    <w:rsid w:val="00FE480C"/>
    <w:rsid w:val="00FE61AE"/>
    <w:rsid w:val="00FE7464"/>
    <w:rsid w:val="00FF0F24"/>
    <w:rsid w:val="00FF2E02"/>
    <w:rsid w:val="00FF3519"/>
    <w:rsid w:val="00FF626B"/>
    <w:rsid w:val="00FF66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96"/>
  <w15:docId w15:val="{857D8AB8-FF49-4CE8-A032-35E309F7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84E"/>
    <w:pPr>
      <w:widowControl w:val="0"/>
      <w:spacing w:after="0" w:line="240" w:lineRule="auto"/>
    </w:pPr>
    <w:rPr>
      <w:rFonts w:ascii="Times New Roman" w:hAnsi="Times New Roman" w:cs="Times New Roman"/>
      <w:snapToGrid w:val="0"/>
      <w:kern w:val="28"/>
      <w:szCs w:val="20"/>
    </w:rPr>
  </w:style>
  <w:style w:type="paragraph" w:styleId="Heading1">
    <w:name w:val="heading 1"/>
    <w:basedOn w:val="Normal"/>
    <w:next w:val="ParaNum"/>
    <w:link w:val="Heading1Char"/>
    <w:qFormat/>
    <w:rsid w:val="00D2284E"/>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2284E"/>
    <w:pPr>
      <w:keepNext/>
      <w:numPr>
        <w:ilvl w:val="1"/>
        <w:numId w:val="6"/>
      </w:numPr>
      <w:spacing w:after="120"/>
      <w:outlineLvl w:val="1"/>
    </w:pPr>
    <w:rPr>
      <w:b/>
    </w:rPr>
  </w:style>
  <w:style w:type="paragraph" w:styleId="Heading3">
    <w:name w:val="heading 3"/>
    <w:basedOn w:val="Normal"/>
    <w:next w:val="ParaNum"/>
    <w:link w:val="Heading3Char"/>
    <w:qFormat/>
    <w:rsid w:val="00D2284E"/>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D2284E"/>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D2284E"/>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D2284E"/>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D2284E"/>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D2284E"/>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D2284E"/>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228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284E"/>
  </w:style>
  <w:style w:type="character" w:customStyle="1" w:styleId="Heading1Char">
    <w:name w:val="Heading 1 Char"/>
    <w:basedOn w:val="DefaultParagraphFont"/>
    <w:link w:val="Heading1"/>
    <w:locked/>
    <w:rsid w:val="00AF05F1"/>
    <w:rPr>
      <w:rFonts w:ascii="Times New Roman Bold" w:hAnsi="Times New Roman Bold" w:cs="Times New Roman"/>
      <w:b/>
      <w:caps/>
      <w:snapToGrid w:val="0"/>
      <w:kern w:val="28"/>
      <w:szCs w:val="20"/>
    </w:rPr>
  </w:style>
  <w:style w:type="character" w:customStyle="1" w:styleId="Heading2Char">
    <w:name w:val="Heading 2 Char"/>
    <w:basedOn w:val="DefaultParagraphFont"/>
    <w:link w:val="Heading2"/>
    <w:locked/>
    <w:rsid w:val="00AF05F1"/>
    <w:rPr>
      <w:rFonts w:ascii="Times New Roman" w:hAnsi="Times New Roman" w:cs="Times New Roman"/>
      <w:b/>
      <w:snapToGrid w:val="0"/>
      <w:kern w:val="28"/>
      <w:szCs w:val="20"/>
    </w:rPr>
  </w:style>
  <w:style w:type="character" w:customStyle="1" w:styleId="Heading3Char">
    <w:name w:val="Heading 3 Char"/>
    <w:basedOn w:val="DefaultParagraphFont"/>
    <w:link w:val="Heading3"/>
    <w:locked/>
    <w:rsid w:val="00AF05F1"/>
    <w:rPr>
      <w:rFonts w:ascii="Times New Roman" w:hAnsi="Times New Roman" w:cs="Times New Roman"/>
      <w:b/>
      <w:snapToGrid w:val="0"/>
      <w:kern w:val="28"/>
      <w:szCs w:val="20"/>
    </w:rPr>
  </w:style>
  <w:style w:type="character" w:customStyle="1" w:styleId="Heading4Char">
    <w:name w:val="Heading 4 Char"/>
    <w:basedOn w:val="DefaultParagraphFont"/>
    <w:link w:val="Heading4"/>
    <w:locked/>
    <w:rsid w:val="00AF05F1"/>
    <w:rPr>
      <w:rFonts w:ascii="Times New Roman" w:hAnsi="Times New Roman" w:cs="Times New Roman"/>
      <w:b/>
      <w:snapToGrid w:val="0"/>
      <w:kern w:val="28"/>
      <w:szCs w:val="20"/>
    </w:rPr>
  </w:style>
  <w:style w:type="character" w:customStyle="1" w:styleId="Heading5Char">
    <w:name w:val="Heading 5 Char"/>
    <w:basedOn w:val="DefaultParagraphFont"/>
    <w:link w:val="Heading5"/>
    <w:locked/>
    <w:rsid w:val="00AF05F1"/>
    <w:rPr>
      <w:rFonts w:ascii="Times New Roman" w:hAnsi="Times New Roman" w:cs="Times New Roman"/>
      <w:b/>
      <w:snapToGrid w:val="0"/>
      <w:kern w:val="28"/>
      <w:szCs w:val="20"/>
    </w:rPr>
  </w:style>
  <w:style w:type="character" w:customStyle="1" w:styleId="Heading6Char">
    <w:name w:val="Heading 6 Char"/>
    <w:basedOn w:val="DefaultParagraphFont"/>
    <w:link w:val="Heading6"/>
    <w:locked/>
    <w:rsid w:val="00AF05F1"/>
    <w:rPr>
      <w:rFonts w:ascii="Times New Roman" w:hAnsi="Times New Roman" w:cs="Times New Roman"/>
      <w:b/>
      <w:snapToGrid w:val="0"/>
      <w:kern w:val="28"/>
      <w:szCs w:val="20"/>
    </w:rPr>
  </w:style>
  <w:style w:type="character" w:customStyle="1" w:styleId="Heading7Char">
    <w:name w:val="Heading 7 Char"/>
    <w:basedOn w:val="DefaultParagraphFont"/>
    <w:link w:val="Heading7"/>
    <w:locked/>
    <w:rsid w:val="00AF05F1"/>
    <w:rPr>
      <w:rFonts w:ascii="Times New Roman" w:hAnsi="Times New Roman" w:cs="Times New Roman"/>
      <w:b/>
      <w:snapToGrid w:val="0"/>
      <w:kern w:val="28"/>
      <w:szCs w:val="20"/>
    </w:rPr>
  </w:style>
  <w:style w:type="character" w:customStyle="1" w:styleId="Heading8Char">
    <w:name w:val="Heading 8 Char"/>
    <w:basedOn w:val="DefaultParagraphFont"/>
    <w:link w:val="Heading8"/>
    <w:locked/>
    <w:rsid w:val="00AF05F1"/>
    <w:rPr>
      <w:rFonts w:ascii="Times New Roman" w:hAnsi="Times New Roman" w:cs="Times New Roman"/>
      <w:b/>
      <w:snapToGrid w:val="0"/>
      <w:kern w:val="28"/>
      <w:szCs w:val="20"/>
    </w:rPr>
  </w:style>
  <w:style w:type="character" w:customStyle="1" w:styleId="Heading9Char">
    <w:name w:val="Heading 9 Char"/>
    <w:basedOn w:val="DefaultParagraphFont"/>
    <w:link w:val="Heading9"/>
    <w:locked/>
    <w:rsid w:val="00AF05F1"/>
    <w:rPr>
      <w:rFonts w:ascii="Times New Roman" w:hAnsi="Times New Roman" w:cs="Times New Roman"/>
      <w:b/>
      <w:snapToGrid w:val="0"/>
      <w:kern w:val="28"/>
      <w:szCs w:val="20"/>
    </w:rPr>
  </w:style>
  <w:style w:type="paragraph" w:styleId="BalloonText">
    <w:name w:val="Balloon Text"/>
    <w:basedOn w:val="Normal"/>
    <w:link w:val="BalloonTextChar"/>
    <w:uiPriority w:val="99"/>
    <w:semiHidden/>
    <w:unhideWhenUsed/>
    <w:rsid w:val="00AF05F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F05F1"/>
    <w:rPr>
      <w:rFonts w:ascii="Segoe UI" w:hAnsi="Segoe UI" w:cs="Segoe UI"/>
      <w:sz w:val="18"/>
      <w:szCs w:val="18"/>
    </w:rPr>
  </w:style>
  <w:style w:type="paragraph" w:styleId="ListParagraph">
    <w:name w:val="List Paragraph"/>
    <w:basedOn w:val="Normal"/>
    <w:uiPriority w:val="34"/>
    <w:qFormat/>
    <w:rsid w:val="00AF05F1"/>
    <w:pPr>
      <w:ind w:left="720"/>
      <w:contextualSpacing/>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D2284E"/>
    <w:rPr>
      <w:rFonts w:ascii="Times New Roman" w:hAnsi="Times New Roman"/>
      <w:dstrike w:val="0"/>
      <w:color w:val="auto"/>
      <w:sz w:val="20"/>
      <w:vertAlign w:val="superscript"/>
    </w:rPr>
  </w:style>
  <w:style w:type="paragraph" w:styleId="FootnoteText">
    <w:name w:val="footnote text"/>
    <w:aliases w:val="ALTS FOOTNOTE Cha,Footnote Text Char Char Char,Footnote Text Char Char Char Char Char,Footnote Text Char1,Footnote Text Char1 Char,Footnote Text Char1 Char Char Char,Footnote Text Char1 Char Char Char Char Char,f,rrfootnote Char Char Char"/>
    <w:link w:val="FootnoteTextChar"/>
    <w:rsid w:val="00D2284E"/>
    <w:pPr>
      <w:spacing w:after="120" w:line="240" w:lineRule="auto"/>
    </w:pPr>
    <w:rPr>
      <w:rFonts w:ascii="Times New Roman" w:hAnsi="Times New Roman" w:cs="Times New Roman"/>
      <w:sz w:val="20"/>
      <w:szCs w:val="20"/>
    </w:rPr>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rrfootnote Char Char Char Char"/>
    <w:basedOn w:val="DefaultParagraphFont"/>
    <w:link w:val="FootnoteText"/>
    <w:locked/>
    <w:rsid w:val="00AF05F1"/>
    <w:rPr>
      <w:rFonts w:ascii="Times New Roman" w:hAnsi="Times New Roman" w:cs="Times New Roman"/>
      <w:sz w:val="20"/>
      <w:szCs w:val="20"/>
    </w:rPr>
  </w:style>
  <w:style w:type="character" w:styleId="Hyperlink">
    <w:name w:val="Hyperlink"/>
    <w:rsid w:val="00D2284E"/>
    <w:rPr>
      <w:color w:val="0000FF"/>
      <w:u w:val="single"/>
    </w:rPr>
  </w:style>
  <w:style w:type="character" w:customStyle="1" w:styleId="markgui5yvd3s">
    <w:name w:val="markgui5yvd3s"/>
    <w:basedOn w:val="DefaultParagraphFont"/>
    <w:rsid w:val="00AF05F1"/>
    <w:rPr>
      <w:rFonts w:cs="Times New Roman"/>
    </w:rPr>
  </w:style>
  <w:style w:type="paragraph" w:customStyle="1" w:styleId="ParaNum">
    <w:name w:val="ParaNum"/>
    <w:basedOn w:val="Normal"/>
    <w:link w:val="ParaNumChar"/>
    <w:rsid w:val="00D2284E"/>
    <w:pPr>
      <w:numPr>
        <w:numId w:val="4"/>
      </w:numPr>
      <w:tabs>
        <w:tab w:val="clear" w:pos="1080"/>
        <w:tab w:val="num" w:pos="1440"/>
      </w:tabs>
      <w:spacing w:after="120"/>
    </w:pPr>
  </w:style>
  <w:style w:type="character" w:customStyle="1" w:styleId="ParaNumChar">
    <w:name w:val="ParaNum Char"/>
    <w:link w:val="ParaNum"/>
    <w:locked/>
    <w:rsid w:val="00AF05F1"/>
    <w:rPr>
      <w:rFonts w:ascii="Times New Roman" w:hAnsi="Times New Roman" w:cs="Times New Roman"/>
      <w:snapToGrid w:val="0"/>
      <w:kern w:val="28"/>
      <w:szCs w:val="20"/>
    </w:rPr>
  </w:style>
  <w:style w:type="paragraph" w:styleId="Header">
    <w:name w:val="header"/>
    <w:basedOn w:val="Normal"/>
    <w:link w:val="HeaderChar"/>
    <w:autoRedefine/>
    <w:rsid w:val="00D2284E"/>
    <w:pPr>
      <w:tabs>
        <w:tab w:val="center" w:pos="4680"/>
        <w:tab w:val="right" w:pos="9360"/>
      </w:tabs>
    </w:pPr>
    <w:rPr>
      <w:b/>
    </w:rPr>
  </w:style>
  <w:style w:type="character" w:customStyle="1" w:styleId="HeaderChar">
    <w:name w:val="Header Char"/>
    <w:basedOn w:val="DefaultParagraphFont"/>
    <w:link w:val="Header"/>
    <w:locked/>
    <w:rsid w:val="00AF05F1"/>
    <w:rPr>
      <w:rFonts w:ascii="Times New Roman" w:hAnsi="Times New Roman" w:cs="Times New Roman"/>
      <w:b/>
      <w:snapToGrid w:val="0"/>
      <w:kern w:val="28"/>
      <w:szCs w:val="20"/>
    </w:rPr>
  </w:style>
  <w:style w:type="paragraph" w:styleId="Footer">
    <w:name w:val="footer"/>
    <w:basedOn w:val="Normal"/>
    <w:link w:val="FooterChar"/>
    <w:uiPriority w:val="99"/>
    <w:rsid w:val="00D2284E"/>
    <w:pPr>
      <w:tabs>
        <w:tab w:val="center" w:pos="4320"/>
        <w:tab w:val="right" w:pos="8640"/>
      </w:tabs>
    </w:pPr>
  </w:style>
  <w:style w:type="character" w:customStyle="1" w:styleId="FooterChar">
    <w:name w:val="Footer Char"/>
    <w:link w:val="Footer"/>
    <w:uiPriority w:val="99"/>
    <w:locked/>
    <w:rsid w:val="00D2284E"/>
    <w:rPr>
      <w:rFonts w:ascii="Times New Roman" w:hAnsi="Times New Roman" w:cs="Times New Roman"/>
      <w:snapToGrid w:val="0"/>
      <w:kern w:val="28"/>
      <w:szCs w:val="20"/>
    </w:rPr>
  </w:style>
  <w:style w:type="character" w:styleId="CommentReference">
    <w:name w:val="annotation reference"/>
    <w:basedOn w:val="DefaultParagraphFont"/>
    <w:uiPriority w:val="99"/>
    <w:semiHidden/>
    <w:unhideWhenUsed/>
    <w:rsid w:val="00190E6B"/>
    <w:rPr>
      <w:rFonts w:cs="Times New Roman"/>
      <w:sz w:val="16"/>
      <w:szCs w:val="16"/>
    </w:rPr>
  </w:style>
  <w:style w:type="paragraph" w:styleId="CommentText">
    <w:name w:val="annotation text"/>
    <w:basedOn w:val="Normal"/>
    <w:link w:val="CommentTextChar"/>
    <w:uiPriority w:val="99"/>
    <w:unhideWhenUsed/>
    <w:rsid w:val="00190E6B"/>
    <w:rPr>
      <w:sz w:val="20"/>
    </w:rPr>
  </w:style>
  <w:style w:type="character" w:customStyle="1" w:styleId="CommentTextChar">
    <w:name w:val="Comment Text Char"/>
    <w:basedOn w:val="DefaultParagraphFont"/>
    <w:link w:val="CommentText"/>
    <w:uiPriority w:val="99"/>
    <w:locked/>
    <w:rsid w:val="00190E6B"/>
    <w:rPr>
      <w:rFonts w:cs="Times New Roman"/>
      <w:sz w:val="20"/>
      <w:szCs w:val="20"/>
    </w:rPr>
  </w:style>
  <w:style w:type="paragraph" w:styleId="CommentSubject">
    <w:name w:val="annotation subject"/>
    <w:basedOn w:val="CommentText"/>
    <w:next w:val="CommentText"/>
    <w:link w:val="CommentSubjectChar"/>
    <w:uiPriority w:val="99"/>
    <w:semiHidden/>
    <w:unhideWhenUsed/>
    <w:rsid w:val="00190E6B"/>
    <w:rPr>
      <w:b/>
      <w:bCs/>
    </w:rPr>
  </w:style>
  <w:style w:type="character" w:customStyle="1" w:styleId="CommentSubjectChar">
    <w:name w:val="Comment Subject Char"/>
    <w:basedOn w:val="CommentTextChar"/>
    <w:link w:val="CommentSubject"/>
    <w:uiPriority w:val="99"/>
    <w:semiHidden/>
    <w:locked/>
    <w:rsid w:val="00190E6B"/>
    <w:rPr>
      <w:rFonts w:cs="Times New Roman"/>
      <w:b/>
      <w:bCs/>
      <w:sz w:val="20"/>
      <w:szCs w:val="20"/>
    </w:rPr>
  </w:style>
  <w:style w:type="character" w:customStyle="1" w:styleId="UnresolvedMention">
    <w:name w:val="Unresolved Mention"/>
    <w:basedOn w:val="DefaultParagraphFont"/>
    <w:uiPriority w:val="99"/>
    <w:semiHidden/>
    <w:unhideWhenUsed/>
    <w:rsid w:val="002E346D"/>
    <w:rPr>
      <w:rFonts w:cs="Times New Roman"/>
      <w:color w:val="605E5C"/>
      <w:shd w:val="clear" w:color="auto" w:fill="E1DFDD"/>
    </w:rPr>
  </w:style>
  <w:style w:type="paragraph" w:styleId="EndnoteText">
    <w:name w:val="endnote text"/>
    <w:basedOn w:val="Normal"/>
    <w:link w:val="EndnoteTextChar"/>
    <w:semiHidden/>
    <w:rsid w:val="00D2284E"/>
    <w:rPr>
      <w:sz w:val="20"/>
    </w:rPr>
  </w:style>
  <w:style w:type="character" w:customStyle="1" w:styleId="EndnoteTextChar">
    <w:name w:val="Endnote Text Char"/>
    <w:basedOn w:val="DefaultParagraphFont"/>
    <w:link w:val="EndnoteText"/>
    <w:semiHidden/>
    <w:locked/>
    <w:rsid w:val="000B6041"/>
    <w:rPr>
      <w:rFonts w:ascii="Times New Roman" w:hAnsi="Times New Roman" w:cs="Times New Roman"/>
      <w:snapToGrid w:val="0"/>
      <w:kern w:val="28"/>
      <w:sz w:val="20"/>
      <w:szCs w:val="20"/>
    </w:rPr>
  </w:style>
  <w:style w:type="character" w:styleId="EndnoteReference">
    <w:name w:val="endnote reference"/>
    <w:semiHidden/>
    <w:rsid w:val="00D2284E"/>
    <w:rPr>
      <w:vertAlign w:val="superscript"/>
    </w:rPr>
  </w:style>
  <w:style w:type="character" w:styleId="FollowedHyperlink">
    <w:name w:val="FollowedHyperlink"/>
    <w:basedOn w:val="DefaultParagraphFont"/>
    <w:uiPriority w:val="99"/>
    <w:semiHidden/>
    <w:unhideWhenUsed/>
    <w:rsid w:val="00945151"/>
    <w:rPr>
      <w:rFonts w:cs="Times New Roman"/>
      <w:color w:val="954F72" w:themeColor="followedHyperlink"/>
      <w:u w:val="single"/>
    </w:rPr>
  </w:style>
  <w:style w:type="paragraph" w:styleId="Revision">
    <w:name w:val="Revision"/>
    <w:hidden/>
    <w:uiPriority w:val="99"/>
    <w:semiHidden/>
    <w:rsid w:val="00404C59"/>
    <w:pPr>
      <w:spacing w:after="0" w:line="240" w:lineRule="auto"/>
    </w:pPr>
    <w:rPr>
      <w:rFonts w:cs="Times New Roman"/>
    </w:rPr>
  </w:style>
  <w:style w:type="paragraph" w:styleId="TOC1">
    <w:name w:val="toc 1"/>
    <w:basedOn w:val="Normal"/>
    <w:next w:val="Normal"/>
    <w:semiHidden/>
    <w:rsid w:val="00D2284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2284E"/>
    <w:pPr>
      <w:tabs>
        <w:tab w:val="left" w:pos="720"/>
        <w:tab w:val="right" w:leader="dot" w:pos="9360"/>
      </w:tabs>
      <w:suppressAutoHyphens/>
      <w:ind w:left="720" w:right="720" w:hanging="360"/>
    </w:pPr>
    <w:rPr>
      <w:noProof/>
    </w:rPr>
  </w:style>
  <w:style w:type="paragraph" w:styleId="TOC3">
    <w:name w:val="toc 3"/>
    <w:basedOn w:val="Normal"/>
    <w:next w:val="Normal"/>
    <w:semiHidden/>
    <w:rsid w:val="00D2284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2284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2284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2284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2284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2284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2284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2284E"/>
    <w:pPr>
      <w:tabs>
        <w:tab w:val="right" w:pos="9360"/>
      </w:tabs>
      <w:suppressAutoHyphens/>
    </w:pPr>
  </w:style>
  <w:style w:type="character" w:customStyle="1" w:styleId="EquationCaption">
    <w:name w:val="_Equation Caption"/>
    <w:rsid w:val="00D2284E"/>
  </w:style>
  <w:style w:type="character" w:styleId="PageNumber">
    <w:name w:val="page number"/>
    <w:basedOn w:val="DefaultParagraphFont"/>
    <w:rsid w:val="00D2284E"/>
  </w:style>
  <w:style w:type="paragraph" w:styleId="BlockText">
    <w:name w:val="Block Text"/>
    <w:basedOn w:val="Normal"/>
    <w:rsid w:val="00D2284E"/>
    <w:pPr>
      <w:spacing w:after="240"/>
      <w:ind w:left="1440" w:right="1440"/>
    </w:pPr>
  </w:style>
  <w:style w:type="paragraph" w:customStyle="1" w:styleId="Paratitle">
    <w:name w:val="Para title"/>
    <w:basedOn w:val="Normal"/>
    <w:rsid w:val="00D2284E"/>
    <w:pPr>
      <w:tabs>
        <w:tab w:val="center" w:pos="9270"/>
      </w:tabs>
      <w:spacing w:after="240"/>
    </w:pPr>
    <w:rPr>
      <w:spacing w:val="-2"/>
    </w:rPr>
  </w:style>
  <w:style w:type="paragraph" w:customStyle="1" w:styleId="Bullet">
    <w:name w:val="Bullet"/>
    <w:basedOn w:val="Normal"/>
    <w:rsid w:val="00D2284E"/>
    <w:pPr>
      <w:tabs>
        <w:tab w:val="left" w:pos="2160"/>
      </w:tabs>
      <w:spacing w:after="220"/>
      <w:ind w:left="2160" w:hanging="720"/>
    </w:pPr>
  </w:style>
  <w:style w:type="paragraph" w:customStyle="1" w:styleId="TableFormat">
    <w:name w:val="TableFormat"/>
    <w:basedOn w:val="Bullet"/>
    <w:rsid w:val="00D2284E"/>
    <w:pPr>
      <w:tabs>
        <w:tab w:val="clear" w:pos="2160"/>
        <w:tab w:val="left" w:pos="5040"/>
      </w:tabs>
      <w:ind w:left="5040" w:hanging="3600"/>
    </w:pPr>
  </w:style>
  <w:style w:type="paragraph" w:customStyle="1" w:styleId="TOCTitle">
    <w:name w:val="TOC Title"/>
    <w:basedOn w:val="Normal"/>
    <w:rsid w:val="00D2284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2284E"/>
    <w:pPr>
      <w:jc w:val="center"/>
    </w:pPr>
    <w:rPr>
      <w:rFonts w:ascii="Times New Roman Bold" w:hAnsi="Times New Roman Bold"/>
      <w:b/>
      <w:bCs/>
      <w:caps/>
      <w:szCs w:val="22"/>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uiPriority w:val="99"/>
    <w:locked/>
    <w:rsid w:val="008A369A"/>
    <w:rPr>
      <w:sz w:val="20"/>
    </w:rPr>
  </w:style>
  <w:style w:type="paragraph" w:customStyle="1" w:styleId="Default">
    <w:name w:val="Default"/>
    <w:basedOn w:val="Normal"/>
    <w:rsid w:val="00441582"/>
    <w:pPr>
      <w:widowControl/>
      <w:autoSpaceDE w:val="0"/>
      <w:autoSpaceDN w:val="0"/>
    </w:pPr>
    <w:rPr>
      <w:rFonts w:eastAsiaTheme="minorHAns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ES@fcc.gov" TargetMode="External" /><Relationship Id="rId11" Type="http://schemas.openxmlformats.org/officeDocument/2006/relationships/hyperlink" Target="mailto:Jeffrey.Gee@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FeeFiler/login.cfm" TargetMode="External" /><Relationship Id="rId9" Type="http://schemas.openxmlformats.org/officeDocument/2006/relationships/hyperlink" Target="mailto:Scott.Radcliffe@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improves-data-collection-monitor-nationwide-broadband-rollout" TargetMode="External" /><Relationship Id="rId2" Type="http://schemas.openxmlformats.org/officeDocument/2006/relationships/hyperlink" Target="http://www.slopeside.net/" TargetMode="External" /><Relationship Id="rId3" Type="http://schemas.openxmlformats.org/officeDocument/2006/relationships/hyperlink" Target="https://wireless2.fcc.gov/UlsApp/UlsSearch/license.jsp?licKey=2973497" TargetMode="External" /><Relationship Id="rId4" Type="http://schemas.openxmlformats.org/officeDocument/2006/relationships/hyperlink" Target="https://www.fcc.gov/wireless/systems-utilities/universal-licensing-system" TargetMode="External" /><Relationship Id="rId5" Type="http://schemas.openxmlformats.org/officeDocument/2006/relationships/hyperlink" Target="mailto:ARINQUIRIES@fcc.gov" TargetMode="External" /><Relationship Id="rId6"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