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1E1AD8" w:rsidP="00AF05F1" w14:paraId="6A56E925" w14:textId="77777777">
            <w:pPr>
              <w:tabs>
                <w:tab w:val="center" w:pos="4680"/>
              </w:tabs>
              <w:suppressAutoHyphens/>
              <w:rPr>
                <w:color w:val="000000"/>
                <w:spacing w:val="-2"/>
              </w:rPr>
            </w:pPr>
            <w:r w:rsidRPr="00AF05F1">
              <w:rPr>
                <w:color w:val="000000"/>
                <w:spacing w:val="-2"/>
              </w:rPr>
              <w:t>In the Matter of</w:t>
            </w:r>
            <w:r w:rsidR="006947BF">
              <w:rPr>
                <w:color w:val="000000"/>
                <w:spacing w:val="-2"/>
              </w:rPr>
              <w:t xml:space="preserve"> </w:t>
            </w:r>
          </w:p>
          <w:p w:rsidR="001E1AD8" w:rsidP="00AF05F1" w14:paraId="2DF75BF2" w14:textId="77777777">
            <w:pPr>
              <w:tabs>
                <w:tab w:val="center" w:pos="4680"/>
              </w:tabs>
              <w:suppressAutoHyphens/>
              <w:rPr>
                <w:color w:val="000000"/>
                <w:spacing w:val="-2"/>
              </w:rPr>
            </w:pPr>
          </w:p>
          <w:p w:rsidR="00AF05F1" w:rsidRPr="00AF05F1" w:rsidP="00AF05F1" w14:paraId="6AE3211C" w14:textId="233B1DEA">
            <w:pPr>
              <w:tabs>
                <w:tab w:val="center" w:pos="4680"/>
              </w:tabs>
              <w:suppressAutoHyphens/>
              <w:rPr>
                <w:color w:val="000000"/>
                <w:spacing w:val="-2"/>
              </w:rPr>
            </w:pPr>
            <w:r>
              <w:rPr>
                <w:color w:val="000000"/>
                <w:spacing w:val="-2"/>
              </w:rPr>
              <w:t>MidwayNet, LLC</w:t>
            </w:r>
          </w:p>
          <w:p w:rsidR="00AF05F1" w:rsidRPr="00AF05F1" w:rsidP="00AF05F1" w14:paraId="267A2BEE" w14:textId="77777777">
            <w:pPr>
              <w:tabs>
                <w:tab w:val="center" w:pos="4680"/>
              </w:tabs>
              <w:suppressAutoHyphens/>
              <w:rPr>
                <w:color w:val="000000"/>
                <w:spacing w:val="-2"/>
              </w:rPr>
            </w:pPr>
          </w:p>
          <w:p w:rsidR="00AF05F1" w:rsidRPr="00AF05F1" w:rsidP="00AF05F1" w14:paraId="28B97827" w14:textId="77777777">
            <w:pPr>
              <w:tabs>
                <w:tab w:val="center" w:pos="4680"/>
              </w:tabs>
              <w:suppressAutoHyphens/>
              <w:rPr>
                <w:color w:val="000000" w:themeColor="text1"/>
              </w:rPr>
            </w:pPr>
          </w:p>
          <w:p w:rsidR="00AF05F1" w:rsidRPr="00AF05F1" w:rsidP="00AF05F1" w14:paraId="218A394E" w14:textId="77777777">
            <w:pPr>
              <w:tabs>
                <w:tab w:val="center" w:pos="4680"/>
              </w:tabs>
              <w:suppressAutoHyphens/>
              <w:rPr>
                <w:color w:val="000000"/>
                <w:spacing w:val="-2"/>
              </w:rPr>
            </w:pPr>
          </w:p>
          <w:p w:rsidR="00AF05F1" w:rsidRPr="00AF05F1" w:rsidP="00AF05F1" w14:paraId="4EC522B4" w14:textId="77777777">
            <w:pPr>
              <w:tabs>
                <w:tab w:val="center" w:pos="4680"/>
              </w:tabs>
              <w:suppressAutoHyphens/>
              <w:rPr>
                <w:color w:val="000000"/>
                <w:spacing w:val="-2"/>
              </w:rPr>
            </w:pP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1F4AD927" w14:textId="77777777">
            <w:pPr>
              <w:tabs>
                <w:tab w:val="center" w:pos="4680"/>
              </w:tabs>
              <w:suppressAutoHyphens/>
              <w:rPr>
                <w:color w:val="000000"/>
                <w:spacing w:val="-2"/>
              </w:rPr>
            </w:pPr>
            <w:r w:rsidRPr="00AF05F1">
              <w:rPr>
                <w:color w:val="000000"/>
                <w:spacing w:val="-2"/>
              </w:rPr>
              <w:t>)</w:t>
            </w:r>
          </w:p>
          <w:p w:rsidR="00AF05F1" w:rsidRPr="00AF05F1" w:rsidP="00AF05F1" w14:paraId="157967D7" w14:textId="77777777">
            <w:pPr>
              <w:tabs>
                <w:tab w:val="center" w:pos="4680"/>
              </w:tabs>
              <w:suppressAutoHyphens/>
              <w:rPr>
                <w:b/>
                <w:color w:val="000000"/>
                <w:spacing w:val="-2"/>
              </w:rPr>
            </w:pPr>
          </w:p>
          <w:p w:rsidR="00AF05F1" w:rsidRPr="00AF05F1" w:rsidP="00AF05F1" w14:paraId="6D915F32" w14:textId="77777777">
            <w:pPr>
              <w:tabs>
                <w:tab w:val="center" w:pos="4680"/>
              </w:tabs>
              <w:suppressAutoHyphens/>
              <w:rPr>
                <w:b/>
                <w:color w:val="000000"/>
                <w:spacing w:val="-2"/>
              </w:rPr>
            </w:pPr>
          </w:p>
        </w:tc>
        <w:tc>
          <w:tcPr>
            <w:tcW w:w="4248" w:type="dxa"/>
          </w:tcPr>
          <w:p w:rsidR="00AF05F1" w:rsidRPr="00AF05F1" w:rsidP="00AF05F1" w14:paraId="7CFDF4ED" w14:textId="77777777">
            <w:pPr>
              <w:rPr>
                <w:color w:val="000000" w:themeColor="text1"/>
              </w:rPr>
            </w:pPr>
          </w:p>
          <w:p w:rsidR="00AF05F1" w:rsidRPr="00315A94" w:rsidP="00AF05F1" w14:paraId="35AA1A5D" w14:textId="70C2681D">
            <w:pPr>
              <w:spacing w:line="480" w:lineRule="auto"/>
              <w:rPr>
                <w:color w:val="000000"/>
                <w:spacing w:val="-2"/>
                <w:szCs w:val="22"/>
              </w:rPr>
            </w:pPr>
            <w:r w:rsidRPr="00315A94">
              <w:rPr>
                <w:color w:val="000000"/>
                <w:spacing w:val="-2"/>
                <w:szCs w:val="22"/>
              </w:rPr>
              <w:t xml:space="preserve">File No.: </w:t>
            </w:r>
            <w:r w:rsidR="000964C8">
              <w:rPr>
                <w:color w:val="000000"/>
                <w:spacing w:val="-2"/>
                <w:szCs w:val="22"/>
              </w:rPr>
              <w:t xml:space="preserve"> </w:t>
            </w:r>
            <w:r w:rsidRPr="00315A94" w:rsidR="00315A94">
              <w:rPr>
                <w:color w:val="222222"/>
                <w:szCs w:val="22"/>
                <w:shd w:val="clear" w:color="auto" w:fill="FFFFFF"/>
              </w:rPr>
              <w:t>EB-IHD-2</w:t>
            </w:r>
            <w:r w:rsidR="00003FB6">
              <w:rPr>
                <w:color w:val="222222"/>
                <w:szCs w:val="22"/>
                <w:shd w:val="clear" w:color="auto" w:fill="FFFFFF"/>
              </w:rPr>
              <w:t>1</w:t>
            </w:r>
            <w:r w:rsidRPr="00315A94" w:rsidR="00315A94">
              <w:rPr>
                <w:color w:val="222222"/>
                <w:szCs w:val="22"/>
                <w:shd w:val="clear" w:color="auto" w:fill="FFFFFF"/>
              </w:rPr>
              <w:t>-000</w:t>
            </w:r>
            <w:r w:rsidR="007C2B72">
              <w:rPr>
                <w:color w:val="222222"/>
                <w:szCs w:val="22"/>
                <w:shd w:val="clear" w:color="auto" w:fill="FFFFFF"/>
              </w:rPr>
              <w:t>31881</w:t>
            </w:r>
          </w:p>
          <w:p w:rsidR="00AF05F1" w:rsidRPr="00AF05F1" w:rsidP="00AF05F1" w14:paraId="59C23BC6" w14:textId="46F068EF">
            <w:pPr>
              <w:spacing w:line="480" w:lineRule="auto"/>
              <w:rPr>
                <w:color w:val="000000"/>
                <w:spacing w:val="-2"/>
              </w:rPr>
            </w:pPr>
            <w:r w:rsidRPr="00AF05F1">
              <w:rPr>
                <w:color w:val="000000"/>
                <w:spacing w:val="-2"/>
              </w:rPr>
              <w:t>NAL</w:t>
            </w:r>
            <w:r w:rsidR="007C2B72">
              <w:rPr>
                <w:color w:val="000000"/>
                <w:spacing w:val="-2"/>
              </w:rPr>
              <w:t xml:space="preserve"> </w:t>
            </w:r>
            <w:r w:rsidRPr="00AF05F1">
              <w:rPr>
                <w:color w:val="000000"/>
                <w:spacing w:val="-2"/>
              </w:rPr>
              <w:t>Acct. No.:</w:t>
            </w:r>
            <w:r w:rsidR="000964C8">
              <w:rPr>
                <w:color w:val="000000"/>
                <w:spacing w:val="-2"/>
              </w:rPr>
              <w:t xml:space="preserve"> </w:t>
            </w:r>
            <w:r w:rsidRPr="00AF05F1">
              <w:rPr>
                <w:color w:val="000000"/>
                <w:spacing w:val="-2"/>
              </w:rPr>
              <w:t xml:space="preserve"> </w:t>
            </w:r>
            <w:r w:rsidR="007C2B72">
              <w:rPr>
                <w:color w:val="000000"/>
                <w:spacing w:val="-2"/>
              </w:rPr>
              <w:t>202132080019</w:t>
            </w:r>
          </w:p>
          <w:p w:rsidR="00AF05F1" w:rsidRPr="00AF05F1" w:rsidP="00AF05F1" w14:paraId="0B7BFA8B" w14:textId="4370C086">
            <w:pPr>
              <w:spacing w:line="480" w:lineRule="auto"/>
              <w:rPr>
                <w:color w:val="000000"/>
                <w:spacing w:val="-2"/>
              </w:rPr>
            </w:pPr>
            <w:r w:rsidRPr="00AF05F1">
              <w:rPr>
                <w:color w:val="000000"/>
                <w:spacing w:val="-2"/>
              </w:rPr>
              <w:t>FRN:</w:t>
            </w:r>
            <w:r w:rsidR="00A42105">
              <w:rPr>
                <w:color w:val="000000"/>
                <w:spacing w:val="-2"/>
              </w:rPr>
              <w:t xml:space="preserve">  </w:t>
            </w:r>
            <w:r w:rsidR="00650216">
              <w:rPr>
                <w:color w:val="000000"/>
                <w:spacing w:val="-2"/>
              </w:rPr>
              <w:t>0027768563</w:t>
            </w:r>
          </w:p>
          <w:p w:rsidR="00AF05F1" w:rsidRPr="00AF05F1" w:rsidP="00AF05F1" w14:paraId="2E475148" w14:textId="77777777">
            <w:pPr>
              <w:rPr>
                <w:color w:val="000000"/>
              </w:rPr>
            </w:pPr>
          </w:p>
        </w:tc>
      </w:tr>
    </w:tbl>
    <w:p w:rsidR="00AF05F1" w:rsidRPr="00AF05F1" w:rsidP="00AF05F1"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0129E932">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 xml:space="preserve">February </w:t>
      </w:r>
      <w:r w:rsidR="009D418A">
        <w:rPr>
          <w:b/>
          <w:bCs/>
          <w:spacing w:val="-2"/>
        </w:rPr>
        <w:t>25</w:t>
      </w:r>
      <w:r w:rsidRPr="00AF05F1">
        <w:rPr>
          <w:b/>
          <w:bCs/>
          <w:spacing w:val="-2"/>
        </w:rPr>
        <w:t>,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9D418A">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73E0F34B">
      <w:pPr>
        <w:tabs>
          <w:tab w:val="left" w:pos="720"/>
          <w:tab w:val="right" w:pos="9360"/>
        </w:tabs>
        <w:suppressAutoHyphens/>
        <w:rPr>
          <w:spacing w:val="-2"/>
        </w:rPr>
      </w:pPr>
      <w:r w:rsidRPr="00AF05F1">
        <w:rPr>
          <w:spacing w:val="-2"/>
        </w:rPr>
        <w:t xml:space="preserve">By </w:t>
      </w:r>
      <w:r w:rsidR="00C757E2">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5E22CB6A">
      <w:pPr>
        <w:pStyle w:val="ParaNum"/>
        <w:widowControl/>
      </w:pPr>
      <w:bookmarkStart w:id="1" w:name="_Hlk56780086"/>
      <w:r>
        <w:t>MidwayNet</w:t>
      </w:r>
      <w:r>
        <w:t>, LLC (</w:t>
      </w:r>
      <w:r w:rsidR="006947BF">
        <w:t>MidwayNet</w:t>
      </w:r>
      <w:r>
        <w:t>)</w:t>
      </w:r>
      <w:r w:rsidR="00425DE8">
        <w:t xml:space="preserve">, a facilities-based broadband provider, </w:t>
      </w:r>
      <w:r w:rsidR="000E5CD5">
        <w:t xml:space="preserve">apparently </w:t>
      </w:r>
      <w:r w:rsidR="00425DE8">
        <w:t xml:space="preserve">failed to file FCC Form 477 </w:t>
      </w:r>
      <w:r w:rsidR="00C80E3B">
        <w:t>twenty-</w:t>
      </w:r>
      <w:r w:rsidR="00DE7BE8">
        <w:t>six</w:t>
      </w:r>
      <w:r w:rsidR="005816B9">
        <w:t xml:space="preserve"> </w:t>
      </w:r>
      <w:r w:rsidR="00425DE8">
        <w:t xml:space="preserve">times and </w:t>
      </w:r>
      <w:r w:rsidR="000E5CD5">
        <w:t xml:space="preserve">apparently </w:t>
      </w:r>
      <w:r w:rsidR="00425DE8">
        <w:t xml:space="preserve">filed late </w:t>
      </w:r>
      <w:r w:rsidR="00E32BEC">
        <w:t>four</w:t>
      </w:r>
      <w:r w:rsidR="00425DE8">
        <w:t xml:space="preserve"> times.  </w:t>
      </w:r>
      <w:r w:rsidR="00425DE8">
        <w:t>Taking into account</w:t>
      </w:r>
      <w:r w:rsidR="00425DE8">
        <w:t xml:space="preserve"> </w:t>
      </w:r>
      <w:r w:rsidR="006947BF">
        <w:t>MidwayNet</w:t>
      </w:r>
      <w:r w:rsidR="00F836EF">
        <w:t>’s</w:t>
      </w:r>
      <w:r w:rsidR="00425DE8">
        <w:t xml:space="preserve">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w:t>
      </w:r>
      <w:r w:rsidR="00E32BEC">
        <w:t>10</w:t>
      </w:r>
      <w:r w:rsidRPr="00AF05F1" w:rsidR="00AF05F1">
        <w:t>,</w:t>
      </w:r>
      <w:r w:rsidR="00E32BEC">
        <w:t>000</w:t>
      </w:r>
      <w:r w:rsidRPr="00AF05F1" w:rsidR="00AF05F1">
        <w:t xml:space="preserve"> against </w:t>
      </w:r>
      <w:r w:rsidR="006947BF">
        <w:t>MidwayNet</w:t>
      </w:r>
      <w:r w:rsidRPr="00AF05F1" w:rsidR="00AF05F1">
        <w:t xml:space="preserve"> for apparently failing to timely file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0E845136">
      <w:pPr>
        <w:pStyle w:val="ParaNum"/>
        <w:widowControl/>
      </w:pPr>
      <w:r w:rsidRPr="00AF05F1">
        <w:t>To accomplish its broadband goals, the</w:t>
      </w:r>
      <w:r w:rsidR="00793F12">
        <w:t xml:space="preserve"> Federal Communications</w:t>
      </w:r>
      <w:r w:rsidRPr="00AF05F1">
        <w:t xml:space="preserve"> Commission </w:t>
      </w:r>
      <w:r w:rsidR="00793F12">
        <w:t xml:space="preserve">(Commission or FCC) </w:t>
      </w:r>
      <w:r w:rsidRPr="00AF05F1">
        <w:t xml:space="preserve">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safety obligations.</w:t>
      </w:r>
      <w:r w:rsidR="000B6041">
        <w:t xml:space="preserve"> </w:t>
      </w:r>
      <w:r w:rsidRPr="00AF05F1">
        <w:t xml:space="preserve"> Federal and state agencies and the general public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49D600CD">
      <w:pPr>
        <w:pStyle w:val="ParaNum"/>
        <w:widowControl/>
        <w:rPr>
          <w:bCs/>
        </w:rPr>
      </w:pPr>
      <w:r>
        <w:rPr>
          <w:bCs/>
        </w:rPr>
        <w:t>MidwayNet</w:t>
      </w:r>
      <w:r w:rsidRPr="00EA426F" w:rsidR="00AF05F1">
        <w:rPr>
          <w:bCs/>
        </w:rPr>
        <w:t xml:space="preserve"> is</w:t>
      </w:r>
      <w:r w:rsidR="00EA426F">
        <w:rPr>
          <w:bCs/>
        </w:rPr>
        <w:t xml:space="preserve"> </w:t>
      </w:r>
      <w:r w:rsidRPr="00EA426F" w:rsidR="00AF05F1">
        <w:rPr>
          <w:bCs/>
        </w:rPr>
        <w:t xml:space="preserve">a </w:t>
      </w:r>
      <w:r w:rsidRPr="00EA426F" w:rsidR="00AF05F1">
        <w:rPr>
          <w:rStyle w:val="markgui5yvd3s"/>
          <w:bdr w:val="none" w:sz="0" w:space="0" w:color="auto" w:frame="1"/>
          <w:shd w:val="clear" w:color="auto" w:fill="FFFFFF"/>
        </w:rPr>
        <w:t>facilities</w:t>
      </w:r>
      <w:r w:rsidRPr="00EA426F" w:rsidR="00AF05F1">
        <w:rPr>
          <w:shd w:val="clear" w:color="auto" w:fill="FFFFFF"/>
        </w:rPr>
        <w:t xml:space="preserve">-based provider </w:t>
      </w:r>
      <w:r w:rsidR="00EA426F">
        <w:rPr>
          <w:shd w:val="clear" w:color="auto" w:fill="FFFFFF"/>
        </w:rPr>
        <w:t xml:space="preserve">of broadband connections to end users via </w:t>
      </w:r>
      <w:r w:rsidR="00E32BEC">
        <w:rPr>
          <w:shd w:val="clear" w:color="auto" w:fill="FFFFFF"/>
        </w:rPr>
        <w:t>terrestrial fixed wireless.</w:t>
      </w:r>
      <w:r>
        <w:rPr>
          <w:rStyle w:val="FootnoteReference"/>
          <w:shd w:val="clear" w:color="auto" w:fill="FFFFFF"/>
        </w:rPr>
        <w:footnoteReference w:id="11"/>
      </w:r>
      <w:r w:rsidR="00D6205B">
        <w:rPr>
          <w:shd w:val="clear" w:color="auto" w:fill="FFFFFF"/>
        </w:rPr>
        <w:t xml:space="preserve"> </w:t>
      </w:r>
      <w:r w:rsidR="00E063ED">
        <w:rPr>
          <w:shd w:val="clear" w:color="auto" w:fill="FFFFFF"/>
        </w:rPr>
        <w:t xml:space="preserve"> </w:t>
      </w:r>
      <w:r w:rsidR="00E32BEC">
        <w:rPr>
          <w:bCs/>
        </w:rPr>
        <w:t>MidwayNet</w:t>
      </w:r>
      <w:r w:rsidR="00752014">
        <w:rPr>
          <w:bCs/>
        </w:rPr>
        <w:t xml:space="preserve"> holds </w:t>
      </w:r>
      <w:r w:rsidR="005B7A84">
        <w:rPr>
          <w:bCs/>
        </w:rPr>
        <w:t>several</w:t>
      </w:r>
      <w:r w:rsidR="00752014">
        <w:rPr>
          <w:bCs/>
        </w:rPr>
        <w:t xml:space="preserve"> Commission licenses</w:t>
      </w:r>
      <w:r w:rsidRPr="00EA426F" w:rsidR="00AF05F1">
        <w:rPr>
          <w:bCs/>
        </w:rPr>
        <w:t>.</w:t>
      </w:r>
      <w:r>
        <w:rPr>
          <w:rStyle w:val="FootnoteReference"/>
          <w:bCs/>
        </w:rPr>
        <w:footnoteReference w:id="12"/>
      </w:r>
    </w:p>
    <w:p w:rsidR="0019289F" w:rsidRPr="001A40B8" w:rsidP="00F15F4C" w14:paraId="568FA21C" w14:textId="40C2372F">
      <w:pPr>
        <w:pStyle w:val="ParaNum"/>
        <w:widowControl/>
      </w:pPr>
      <w:bookmarkStart w:id="8" w:name="_Hlk58322345"/>
      <w:r w:rsidRPr="003436FD">
        <w:t xml:space="preserve">Although it </w:t>
      </w:r>
      <w:r w:rsidR="00087C4C">
        <w:t>appears to have</w:t>
      </w:r>
      <w:r w:rsidRPr="003436FD">
        <w:t xml:space="preserve"> offer</w:t>
      </w:r>
      <w:r w:rsidR="001143EB">
        <w:t>ed</w:t>
      </w:r>
      <w:r w:rsidRPr="003436FD">
        <w:t xml:space="preserve"> broadband services to end users since at least </w:t>
      </w:r>
      <w:r w:rsidR="009904C0">
        <w:t>2000</w:t>
      </w:r>
      <w:r w:rsidRPr="003436FD">
        <w:t>,</w:t>
      </w:r>
      <w:r>
        <w:rPr>
          <w:rStyle w:val="FootnoteReference"/>
          <w:bCs/>
        </w:rPr>
        <w:footnoteReference w:id="13"/>
      </w:r>
      <w:r w:rsidRPr="003436FD">
        <w:t xml:space="preserve"> </w:t>
      </w:r>
      <w:r w:rsidR="009904C0">
        <w:t>MidwayNet</w:t>
      </w:r>
      <w:r w:rsidRPr="003436FD">
        <w:t xml:space="preserve"> </w:t>
      </w:r>
      <w:r w:rsidR="000E5CD5">
        <w:t xml:space="preserve">apparently </w:t>
      </w:r>
      <w:r w:rsidRPr="003436FD">
        <w:t xml:space="preserve">did not make its first Form 477 filings with the FCC until </w:t>
      </w:r>
      <w:r w:rsidR="009904C0">
        <w:t>2020</w:t>
      </w:r>
      <w:r w:rsidR="00E85DAC">
        <w:t xml:space="preserve">. </w:t>
      </w:r>
      <w:r w:rsidR="002178B8">
        <w:t xml:space="preserve"> </w:t>
      </w:r>
      <w:r w:rsidR="009904C0">
        <w:t>MidwayNet</w:t>
      </w:r>
      <w:r w:rsidRPr="003436FD" w:rsidR="00981C29">
        <w:t xml:space="preserve"> </w:t>
      </w:r>
      <w:r w:rsidR="000E5CD5">
        <w:t xml:space="preserve">apparently </w:t>
      </w:r>
      <w:r w:rsidRPr="003436FD" w:rsidR="00026F1B">
        <w:t xml:space="preserve">made its first ever </w:t>
      </w:r>
      <w:r w:rsidRPr="003436FD" w:rsidR="00981C29">
        <w:t>Form 477 filing</w:t>
      </w:r>
      <w:r w:rsidR="002178B8">
        <w:t>s</w:t>
      </w:r>
      <w:r w:rsidRPr="003436FD" w:rsidR="00026F1B">
        <w:t xml:space="preserve"> </w:t>
      </w:r>
      <w:r w:rsidRPr="003436FD" w:rsidR="00EF2D09">
        <w:t xml:space="preserve">on </w:t>
      </w:r>
      <w:r w:rsidR="009904C0">
        <w:t>July 10</w:t>
      </w:r>
      <w:r w:rsidR="00E85DAC">
        <w:t>,</w:t>
      </w:r>
      <w:r w:rsidRPr="003436FD" w:rsidR="00103B1B">
        <w:t xml:space="preserve"> 202</w:t>
      </w:r>
      <w:r w:rsidR="009904C0">
        <w:t>0</w:t>
      </w:r>
      <w:r w:rsidR="00AF3358">
        <w:t>.</w:t>
      </w:r>
      <w:r>
        <w:rPr>
          <w:rStyle w:val="FootnoteReference"/>
          <w:bCs/>
        </w:rPr>
        <w:footnoteReference w:id="14"/>
      </w:r>
      <w:r w:rsidRPr="003436FD" w:rsidR="00026F1B">
        <w:t xml:space="preserve"> </w:t>
      </w:r>
      <w:r w:rsidR="00AF3358">
        <w:t xml:space="preserve"> </w:t>
      </w:r>
      <w:r w:rsidR="00424598">
        <w:t>One</w:t>
      </w:r>
      <w:r w:rsidR="00AF3358">
        <w:t xml:space="preserve"> of </w:t>
      </w:r>
      <w:r w:rsidR="00424598">
        <w:t>these filings</w:t>
      </w:r>
      <w:r w:rsidR="00AF3358">
        <w:t xml:space="preserve"> </w:t>
      </w:r>
      <w:r w:rsidR="000E5CD5">
        <w:t xml:space="preserve">had been </w:t>
      </w:r>
      <w:r w:rsidR="00B94222">
        <w:t>due on</w:t>
      </w:r>
      <w:r w:rsidR="005B7A84">
        <w:t xml:space="preserve"> </w:t>
      </w:r>
      <w:r w:rsidR="005B7A84">
        <w:t xml:space="preserve">March 2, 2020, </w:t>
      </w:r>
      <w:r w:rsidR="003E4EBC">
        <w:t>over</w:t>
      </w:r>
      <w:r w:rsidR="005B7A84">
        <w:t xml:space="preserve"> </w:t>
      </w:r>
      <w:r w:rsidR="00424598">
        <w:t xml:space="preserve">four </w:t>
      </w:r>
      <w:r w:rsidR="005B7A84">
        <w:t xml:space="preserve">months earlier.  </w:t>
      </w:r>
      <w:r w:rsidRPr="008053E5" w:rsidR="005B7A84">
        <w:rPr>
          <w:szCs w:val="22"/>
        </w:rPr>
        <w:t xml:space="preserve">Subsequently, on </w:t>
      </w:r>
      <w:r w:rsidR="005B7A84">
        <w:rPr>
          <w:szCs w:val="22"/>
        </w:rPr>
        <w:t>July 14, 2020</w:t>
      </w:r>
      <w:r w:rsidRPr="008053E5" w:rsidR="005B7A84">
        <w:rPr>
          <w:szCs w:val="22"/>
        </w:rPr>
        <w:t xml:space="preserve">, </w:t>
      </w:r>
      <w:r w:rsidR="005B7A84">
        <w:rPr>
          <w:szCs w:val="22"/>
        </w:rPr>
        <w:t>MidwayNet</w:t>
      </w:r>
      <w:r w:rsidRPr="008053E5" w:rsidR="005B7A84">
        <w:rPr>
          <w:szCs w:val="22"/>
        </w:rPr>
        <w:t xml:space="preserve"> filed the Forms 477 that had been due on</w:t>
      </w:r>
      <w:r w:rsidR="005B7A84">
        <w:rPr>
          <w:szCs w:val="22"/>
        </w:rPr>
        <w:t xml:space="preserve"> September 4, 2018,</w:t>
      </w:r>
      <w:r w:rsidRPr="008053E5" w:rsidR="005B7A84">
        <w:rPr>
          <w:szCs w:val="22"/>
        </w:rPr>
        <w:t xml:space="preserve"> March 8</w:t>
      </w:r>
      <w:r w:rsidR="005B7A84">
        <w:rPr>
          <w:szCs w:val="22"/>
        </w:rPr>
        <w:t xml:space="preserve">, 2019 and </w:t>
      </w:r>
      <w:r w:rsidRPr="008053E5" w:rsidR="005B7A84">
        <w:rPr>
          <w:szCs w:val="22"/>
        </w:rPr>
        <w:t>September 3, 2019</w:t>
      </w:r>
      <w:r w:rsidR="005B7A84">
        <w:rPr>
          <w:szCs w:val="22"/>
        </w:rPr>
        <w:t>.</w:t>
      </w:r>
      <w:r>
        <w:rPr>
          <w:rStyle w:val="FootnoteReference"/>
          <w:bCs/>
        </w:rPr>
        <w:footnoteReference w:id="15"/>
      </w:r>
      <w:r w:rsidR="0009765E">
        <w:t xml:space="preserve"> </w:t>
      </w:r>
      <w:r w:rsidRPr="003436FD" w:rsidR="00026F1B">
        <w:t xml:space="preserve">    </w:t>
      </w:r>
      <w:r w:rsidRPr="003436FD" w:rsidR="00D06EFF">
        <w:t xml:space="preserve"> </w:t>
      </w:r>
      <w:r w:rsidRPr="003436FD" w:rsidR="005120BA">
        <w:t xml:space="preserve">      </w:t>
      </w:r>
    </w:p>
    <w:bookmarkEnd w:id="8"/>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States, and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18D4D53E">
      <w:pPr>
        <w:pStyle w:val="Heading2"/>
        <w:widowControl/>
      </w:pPr>
      <w:r>
        <w:t>MidwayNet</w:t>
      </w:r>
      <w:r w:rsidR="00E85DAC">
        <w:t xml:space="preserve"> </w:t>
      </w:r>
      <w:r>
        <w:t>Apparently Violated Sections 1.7001 and 1.7002 of the Commission’s Rules</w:t>
      </w:r>
    </w:p>
    <w:p w:rsidR="00AF05F1" w:rsidRPr="00AF05F1" w:rsidP="00F15F4C" w14:paraId="51B80047" w14:textId="57F74025">
      <w:pPr>
        <w:pStyle w:val="ParaNum"/>
        <w:widowControl/>
      </w:pPr>
      <w:r w:rsidRPr="00AF05F1">
        <w:t xml:space="preserve">We conclude that </w:t>
      </w:r>
      <w:r w:rsidR="00D16218">
        <w:t>MidwayNet</w:t>
      </w:r>
      <w:r w:rsidRPr="00AF05F1">
        <w:t xml:space="preserve"> apparently violated </w:t>
      </w:r>
      <w:r w:rsidR="00FC2E56">
        <w:t>s</w:t>
      </w:r>
      <w:r w:rsidRPr="00AF05F1">
        <w:t>ection</w:t>
      </w:r>
      <w:r w:rsidR="006C3872">
        <w:t>s</w:t>
      </w:r>
      <w:r w:rsidRPr="00AF05F1">
        <w:t xml:space="preserve"> 1.7001 and 1.7002 of the </w:t>
      </w:r>
      <w:r w:rsidR="005E28D2">
        <w:t>Commission’s rules</w:t>
      </w:r>
      <w:r w:rsidRPr="00AF05F1" w:rsidR="005E28D2">
        <w:t xml:space="preserve"> </w:t>
      </w:r>
      <w:r w:rsidR="00C677E7">
        <w:t>by failing to make</w:t>
      </w:r>
      <w:r w:rsidR="000B687C">
        <w:t xml:space="preserve"> </w:t>
      </w:r>
      <w:r w:rsidR="00D16218">
        <w:t>twenty-</w:t>
      </w:r>
      <w:r w:rsidR="008A38CC">
        <w:t>six</w:t>
      </w:r>
      <w:r w:rsidR="00D16218">
        <w:t xml:space="preserve"> required</w:t>
      </w:r>
      <w:r w:rsidR="00C677E7">
        <w:t xml:space="preserve"> Form 477 filing</w:t>
      </w:r>
      <w:r w:rsidR="00410F4B">
        <w:t>s</w:t>
      </w:r>
      <w:r w:rsidR="000240F3">
        <w:t xml:space="preserve"> </w:t>
      </w:r>
      <w:r w:rsidRPr="009B0C8F" w:rsidR="005316D8">
        <w:rPr>
          <w:color w:val="000000"/>
          <w:bdr w:val="none" w:sz="0" w:space="0" w:color="auto" w:frame="1"/>
          <w:shd w:val="clear" w:color="auto" w:fill="FFFFFF"/>
        </w:rPr>
        <w:t xml:space="preserve">– </w:t>
      </w:r>
      <w:r w:rsidR="00136200">
        <w:rPr>
          <w:color w:val="000000"/>
          <w:bdr w:val="none" w:sz="0" w:space="0" w:color="auto" w:frame="1"/>
          <w:shd w:val="clear" w:color="auto" w:fill="FFFFFF"/>
        </w:rPr>
        <w:t>beginning in September 2005</w:t>
      </w:r>
      <w:r w:rsidR="008A38CC">
        <w:rPr>
          <w:color w:val="000000"/>
          <w:bdr w:val="none" w:sz="0" w:space="0" w:color="auto" w:frame="1"/>
          <w:shd w:val="clear" w:color="auto" w:fill="FFFFFF"/>
        </w:rPr>
        <w:t>,</w:t>
      </w:r>
      <w:r w:rsidR="00136200">
        <w:rPr>
          <w:color w:val="000000"/>
          <w:bdr w:val="none" w:sz="0" w:space="0" w:color="auto" w:frame="1"/>
          <w:shd w:val="clear" w:color="auto" w:fill="FFFFFF"/>
        </w:rPr>
        <w:t xml:space="preserve"> twice each year from 2006-2017</w:t>
      </w:r>
      <w:r w:rsidR="008A38CC">
        <w:rPr>
          <w:color w:val="000000"/>
          <w:bdr w:val="none" w:sz="0" w:space="0" w:color="auto" w:frame="1"/>
          <w:shd w:val="clear" w:color="auto" w:fill="FFFFFF"/>
        </w:rPr>
        <w:t>, and once again in 2018,</w:t>
      </w:r>
      <w:r w:rsidR="00136200">
        <w:rPr>
          <w:color w:val="000000"/>
          <w:bdr w:val="none" w:sz="0" w:space="0" w:color="auto" w:frame="1"/>
          <w:shd w:val="clear" w:color="auto" w:fill="FFFFFF"/>
        </w:rPr>
        <w:t xml:space="preserve"> </w:t>
      </w:r>
      <w:r w:rsidR="00C677E7">
        <w:t xml:space="preserve">and </w:t>
      </w:r>
      <w:r w:rsidRPr="00AF05F1">
        <w:t xml:space="preserve">by failing to timely file </w:t>
      </w:r>
      <w:bookmarkStart w:id="10" w:name="_Hlk57636635"/>
      <w:r w:rsidR="00136200">
        <w:t>four</w:t>
      </w:r>
      <w:r w:rsidR="00FD3BAC">
        <w:t xml:space="preserve"> </w:t>
      </w:r>
      <w:r w:rsidRPr="00AF05F1">
        <w:t>Form</w:t>
      </w:r>
      <w:r w:rsidR="000449D1">
        <w:t>s</w:t>
      </w:r>
      <w:r w:rsidRPr="00AF05F1">
        <w:t xml:space="preserve"> 477</w:t>
      </w:r>
      <w:r w:rsidR="0062635F">
        <w:t>, which</w:t>
      </w:r>
      <w:r w:rsidR="00805E8E">
        <w:t xml:space="preserve"> were </w:t>
      </w:r>
      <w:r w:rsidRPr="00AF05F1">
        <w:t xml:space="preserve">due </w:t>
      </w:r>
      <w:r w:rsidR="00805E8E">
        <w:t xml:space="preserve">on </w:t>
      </w:r>
      <w:r w:rsidR="00136200">
        <w:rPr>
          <w:szCs w:val="22"/>
        </w:rPr>
        <w:t>September 4, 2018</w:t>
      </w:r>
      <w:bookmarkEnd w:id="10"/>
      <w:r w:rsidR="006E30FB">
        <w:rPr>
          <w:szCs w:val="22"/>
        </w:rPr>
        <w:t>,</w:t>
      </w:r>
      <w:r w:rsidRPr="006E30FB" w:rsidR="006E30FB">
        <w:t xml:space="preserve"> </w:t>
      </w:r>
      <w:r w:rsidR="006E30FB">
        <w:t>March 8, 2019,</w:t>
      </w:r>
      <w:r w:rsidRPr="006E30FB" w:rsidR="006E30FB">
        <w:t xml:space="preserve"> </w:t>
      </w:r>
      <w:r w:rsidR="006E30FB">
        <w:t>September 3, 2019, and March 2, 2020</w:t>
      </w:r>
      <w:r w:rsidRPr="00AF05F1">
        <w:t>.</w:t>
      </w:r>
      <w:r>
        <w:rPr>
          <w:rStyle w:val="FootnoteReference"/>
          <w:szCs w:val="22"/>
        </w:rPr>
        <w:footnoteReference w:id="16"/>
      </w:r>
      <w:r w:rsidRPr="00AF05F1" w:rsidR="009A5B8B">
        <w:rPr>
          <w:szCs w:val="22"/>
        </w:rPr>
        <w:t xml:space="preserve">  </w:t>
      </w:r>
    </w:p>
    <w:p w:rsidR="00343CEE" w:rsidP="00F15F4C" w14:paraId="1AEF941D" w14:textId="48AA42FF">
      <w:pPr>
        <w:pStyle w:val="ParaNum"/>
        <w:widowControl/>
      </w:pPr>
      <w:r>
        <w:t xml:space="preserve">Even though </w:t>
      </w:r>
      <w:r w:rsidR="00D16218">
        <w:t>MidwayNet</w:t>
      </w:r>
      <w:r>
        <w:t xml:space="preserve"> ha</w:t>
      </w:r>
      <w:r w:rsidR="008C3819">
        <w:t>s</w:t>
      </w:r>
      <w:r>
        <w:t xml:space="preserve"> been providing facilities-based broadband service to end users </w:t>
      </w:r>
      <w:r w:rsidR="00770E6C">
        <w:t xml:space="preserve">for </w:t>
      </w:r>
      <w:r>
        <w:t xml:space="preserve">at least </w:t>
      </w:r>
      <w:r w:rsidR="00D16218">
        <w:t>twenty</w:t>
      </w:r>
      <w:r w:rsidR="00770E6C">
        <w:t xml:space="preserve"> years</w:t>
      </w:r>
      <w:r>
        <w:rPr>
          <w:rStyle w:val="FootnoteReference"/>
          <w:szCs w:val="22"/>
        </w:rPr>
        <w:footnoteReference w:id="17"/>
      </w:r>
      <w:r>
        <w:t xml:space="preserve"> and</w:t>
      </w:r>
      <w:r w:rsidR="00CB7DE1">
        <w:t xml:space="preserve"> therefore </w:t>
      </w:r>
      <w:r w:rsidR="0062635F">
        <w:t>h</w:t>
      </w:r>
      <w:r w:rsidR="009A5B8B">
        <w:t xml:space="preserve">as </w:t>
      </w:r>
      <w:r w:rsidR="0062635F">
        <w:t xml:space="preserve">been </w:t>
      </w:r>
      <w:r>
        <w:t>required</w:t>
      </w:r>
      <w:r w:rsidR="0062635F">
        <w:t xml:space="preserve"> to</w:t>
      </w:r>
      <w:r>
        <w:t xml:space="preserve"> </w:t>
      </w:r>
      <w:r w:rsidR="00AB6806">
        <w:t xml:space="preserve">file </w:t>
      </w:r>
      <w:r w:rsidRPr="00136D9E">
        <w:t>FCC Form</w:t>
      </w:r>
      <w:r w:rsidR="000449D1">
        <w:t>s</w:t>
      </w:r>
      <w:r w:rsidRPr="00136D9E">
        <w:t xml:space="preserve"> 477</w:t>
      </w:r>
      <w:r w:rsidR="00AB6806">
        <w:t xml:space="preserve"> </w:t>
      </w:r>
      <w:r w:rsidR="0062635F">
        <w:t xml:space="preserve">twice every year </w:t>
      </w:r>
      <w:r w:rsidR="00CB7DE1">
        <w:t xml:space="preserve">for at least </w:t>
      </w:r>
      <w:r w:rsidR="00650F19">
        <w:t>fif</w:t>
      </w:r>
      <w:r w:rsidR="000918A5">
        <w:t>teen years</w:t>
      </w:r>
      <w:r w:rsidRPr="00136D9E" w:rsidR="00AB6806">
        <w:t>,</w:t>
      </w:r>
      <w:r>
        <w:rPr>
          <w:rStyle w:val="FootnoteReference"/>
          <w:sz w:val="22"/>
          <w:szCs w:val="22"/>
        </w:rPr>
        <w:footnoteReference w:id="18"/>
      </w:r>
      <w:r w:rsidRPr="00136D9E">
        <w:t xml:space="preserve"> </w:t>
      </w:r>
      <w:r w:rsidR="009A5B8B">
        <w:t xml:space="preserve">it </w:t>
      </w:r>
      <w:r w:rsidR="005E28D2">
        <w:t xml:space="preserve">apparently </w:t>
      </w:r>
      <w:r w:rsidR="009A5B8B">
        <w:t xml:space="preserve">never </w:t>
      </w:r>
      <w:r>
        <w:t>mad</w:t>
      </w:r>
      <w:r w:rsidR="009A5B8B">
        <w:t xml:space="preserve">e a required </w:t>
      </w:r>
      <w:r>
        <w:t>filing</w:t>
      </w:r>
      <w:r w:rsidR="005262E8">
        <w:t xml:space="preserve"> </w:t>
      </w:r>
      <w:r w:rsidR="00472BE4">
        <w:t>until</w:t>
      </w:r>
      <w:r w:rsidR="005816B9">
        <w:t xml:space="preserve"> </w:t>
      </w:r>
      <w:r w:rsidR="000918A5">
        <w:t>2020</w:t>
      </w:r>
      <w:r w:rsidR="002A0FD9">
        <w:t>.</w:t>
      </w:r>
      <w:r w:rsidR="005E40FD">
        <w:t xml:space="preserve"> </w:t>
      </w:r>
      <w:r w:rsidR="00472BE4">
        <w:t xml:space="preserve"> </w:t>
      </w:r>
      <w:r w:rsidR="00E82820">
        <w:t xml:space="preserve">Specifically, </w:t>
      </w:r>
      <w:r w:rsidR="000918A5">
        <w:t>MidwayNet</w:t>
      </w:r>
      <w:r w:rsidR="008C3819">
        <w:t xml:space="preserve"> </w:t>
      </w:r>
      <w:r w:rsidR="005E28D2">
        <w:t xml:space="preserve">apparently </w:t>
      </w:r>
      <w:r w:rsidR="00472BE4">
        <w:t xml:space="preserve">failed to </w:t>
      </w:r>
      <w:r w:rsidR="00E5274C">
        <w:t xml:space="preserve">file FCC Form 477 </w:t>
      </w:r>
      <w:r w:rsidR="00C80E3B">
        <w:t>twenty-</w:t>
      </w:r>
      <w:r w:rsidR="008A38CC">
        <w:t>six</w:t>
      </w:r>
      <w:r w:rsidR="00BA0EF2">
        <w:t xml:space="preserve"> </w:t>
      </w:r>
      <w:r w:rsidR="00E5274C">
        <w:t>time</w:t>
      </w:r>
      <w:r w:rsidR="00037293">
        <w:t>s</w:t>
      </w:r>
      <w:r w:rsidR="007839A1">
        <w:t xml:space="preserve">: </w:t>
      </w:r>
      <w:r w:rsidR="002B0568">
        <w:t xml:space="preserve"> </w:t>
      </w:r>
      <w:r w:rsidR="00BA0EF2">
        <w:t xml:space="preserve">once in 2005, </w:t>
      </w:r>
      <w:r w:rsidR="00037293">
        <w:t xml:space="preserve">twice </w:t>
      </w:r>
      <w:r w:rsidR="00472BE4">
        <w:t xml:space="preserve">every year </w:t>
      </w:r>
      <w:r w:rsidR="00BA0EF2">
        <w:t>since then</w:t>
      </w:r>
      <w:r w:rsidR="00F93F35">
        <w:t xml:space="preserve"> through</w:t>
      </w:r>
      <w:r w:rsidR="008A38CC">
        <w:t xml:space="preserve"> </w:t>
      </w:r>
      <w:r w:rsidR="000918A5">
        <w:t>2017</w:t>
      </w:r>
      <w:r w:rsidR="008A38CC">
        <w:t>, and once in 2018</w:t>
      </w:r>
      <w:r w:rsidR="00BA0EF2">
        <w:t>.</w:t>
      </w:r>
      <w:r w:rsidR="00037293">
        <w:t xml:space="preserve">  </w:t>
      </w:r>
      <w:r w:rsidR="00472BE4">
        <w:t>In addition,</w:t>
      </w:r>
      <w:r>
        <w:t xml:space="preserve"> </w:t>
      </w:r>
      <w:r w:rsidR="000918A5">
        <w:t>MidwayNet</w:t>
      </w:r>
      <w:r w:rsidR="00046A5C">
        <w:t xml:space="preserve"> </w:t>
      </w:r>
      <w:r w:rsidR="005E28D2">
        <w:t xml:space="preserve">apparently </w:t>
      </w:r>
      <w:r w:rsidR="00DB6076">
        <w:t>late-</w:t>
      </w:r>
      <w:r w:rsidR="00046A5C">
        <w:t xml:space="preserve">filed </w:t>
      </w:r>
      <w:r w:rsidR="003E4EBC">
        <w:t xml:space="preserve">four </w:t>
      </w:r>
      <w:r>
        <w:t>Form</w:t>
      </w:r>
      <w:r w:rsidR="003C3446">
        <w:t>s</w:t>
      </w:r>
      <w:r>
        <w:t xml:space="preserve"> 477</w:t>
      </w:r>
      <w:r w:rsidR="00046A5C">
        <w:t xml:space="preserve"> that were </w:t>
      </w:r>
      <w:r>
        <w:t xml:space="preserve">due </w:t>
      </w:r>
      <w:r w:rsidR="00046A5C">
        <w:t xml:space="preserve">on </w:t>
      </w:r>
      <w:bookmarkStart w:id="11" w:name="_Hlk63718631"/>
      <w:r w:rsidR="000918A5">
        <w:rPr>
          <w:szCs w:val="22"/>
        </w:rPr>
        <w:t>September 4, 2018,</w:t>
      </w:r>
      <w:r w:rsidRPr="008053E5" w:rsidR="000918A5">
        <w:rPr>
          <w:szCs w:val="22"/>
        </w:rPr>
        <w:t xml:space="preserve"> March 8</w:t>
      </w:r>
      <w:r w:rsidR="000918A5">
        <w:rPr>
          <w:szCs w:val="22"/>
        </w:rPr>
        <w:t xml:space="preserve">, 2019, </w:t>
      </w:r>
      <w:r w:rsidRPr="008053E5" w:rsidR="000918A5">
        <w:rPr>
          <w:szCs w:val="22"/>
        </w:rPr>
        <w:t>September 3, 2019</w:t>
      </w:r>
      <w:r w:rsidR="000918A5">
        <w:rPr>
          <w:szCs w:val="22"/>
        </w:rPr>
        <w:t>, and March 2, 2020</w:t>
      </w:r>
      <w:bookmarkEnd w:id="11"/>
      <w:r w:rsidR="000918A5">
        <w:rPr>
          <w:szCs w:val="22"/>
        </w:rPr>
        <w:t>.</w:t>
      </w:r>
      <w:r>
        <w:rPr>
          <w:rStyle w:val="FootnoteReference"/>
          <w:szCs w:val="22"/>
        </w:rPr>
        <w:footnoteReference w:id="19"/>
      </w:r>
      <w:r w:rsidRPr="00AF05F1" w:rsidR="00AF05F1">
        <w:t xml:space="preserve">  </w:t>
      </w:r>
      <w:r w:rsidR="00517806">
        <w:t>Of these, only the</w:t>
      </w:r>
      <w:r w:rsidR="004E0870">
        <w:t xml:space="preserve"> filing due on March 2, 2020</w:t>
      </w:r>
      <w:r w:rsidR="00FD3BAC">
        <w:t xml:space="preserve"> </w:t>
      </w:r>
      <w:r w:rsidR="008A38CC">
        <w:t xml:space="preserve">is </w:t>
      </w:r>
      <w:r w:rsidR="004E0870">
        <w:t>within our one-year statute of limitations</w:t>
      </w:r>
      <w:r w:rsidR="00680A63">
        <w:t xml:space="preserve"> for proposing a forfeiture</w:t>
      </w:r>
      <w:r w:rsidR="004E0870">
        <w:t>.</w:t>
      </w:r>
      <w:r>
        <w:rPr>
          <w:rStyle w:val="FootnoteReference"/>
          <w:szCs w:val="22"/>
        </w:rPr>
        <w:footnoteReference w:id="20"/>
      </w:r>
      <w:r w:rsidR="004E0870">
        <w:t xml:space="preserve">  </w:t>
      </w:r>
      <w:r w:rsidRPr="004E4F60"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08F3F025">
      <w:pPr>
        <w:pStyle w:val="ParaNum"/>
        <w:widowControl/>
        <w:rPr>
          <w:bCs/>
          <w:szCs w:val="22"/>
        </w:rPr>
      </w:pPr>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1"/>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503(b)(2)(D) of the Act authorizes us to assess a forfeiture of up to </w:t>
      </w:r>
      <w:r w:rsidR="00D87562">
        <w:rPr>
          <w:bCs/>
        </w:rPr>
        <w:t xml:space="preserve">$20,731 </w:t>
      </w:r>
      <w:r w:rsidR="00FD275F">
        <w:rPr>
          <w:bCs/>
        </w:rPr>
        <w:t xml:space="preserve">for each violation or each day </w:t>
      </w:r>
      <w:r w:rsidR="00FD275F">
        <w:rPr>
          <w:bCs/>
        </w:rPr>
        <w:t>of a continuing violation, up to a statutory maximum of</w:t>
      </w:r>
      <w:r w:rsidR="00D87562">
        <w:rPr>
          <w:bCs/>
        </w:rPr>
        <w:t xml:space="preserve"> $155,485 </w:t>
      </w:r>
      <w:r w:rsidR="00FD275F">
        <w:rPr>
          <w:bCs/>
        </w:rPr>
        <w:t>for a single act or failure to act</w:t>
      </w:r>
      <w:r>
        <w:rPr>
          <w:bCs/>
        </w:rPr>
        <w:t>.</w:t>
      </w:r>
      <w:r>
        <w:rPr>
          <w:rStyle w:val="FootnoteReference"/>
          <w:bCs/>
        </w:rPr>
        <w:footnoteReference w:id="22"/>
      </w:r>
      <w:r w:rsidR="008B4259">
        <w:rPr>
          <w:bCs/>
        </w:rPr>
        <w:t xml:space="preserve"> </w:t>
      </w:r>
      <w:r>
        <w:rPr>
          <w:bCs/>
        </w:rPr>
        <w:t xml:space="preserve"> </w:t>
      </w:r>
      <w:r w:rsidRPr="00FD275F" w:rsidR="00FD275F">
        <w:rPr>
          <w:bCs/>
          <w:szCs w:val="22"/>
        </w:rPr>
        <w:t>In exercising our forfeiture authority, we must consider the “nature, circumstance</w:t>
      </w:r>
      <w:r w:rsidR="00FD541D">
        <w:rPr>
          <w:bCs/>
          <w:szCs w:val="22"/>
        </w:rPr>
        <w:t>s</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3"/>
      </w:r>
      <w:r>
        <w:rPr>
          <w:bCs/>
          <w:szCs w:val="22"/>
        </w:rPr>
        <w:t xml:space="preserve">  </w:t>
      </w:r>
    </w:p>
    <w:p w:rsidR="00024110" w:rsidRPr="00D11B04" w:rsidP="00D11B04" w14:paraId="25009CCC" w14:textId="42115A6D">
      <w:pPr>
        <w:pStyle w:val="ParaNum"/>
        <w:widowControl/>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4"/>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5"/>
      </w:r>
    </w:p>
    <w:p w:rsidR="001A2A0A" w:rsidRPr="00FE0242" w:rsidP="00F15F4C" w14:paraId="73255099" w14:textId="39A74B38">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6"/>
      </w:r>
      <w:r w:rsidRPr="001621E7" w:rsidR="0044418C">
        <w:t xml:space="preserve">  </w:t>
      </w:r>
      <w:bookmarkStart w:id="13" w:name="_Hlk63779144"/>
      <w:r w:rsidRPr="001621E7" w:rsidR="0044418C">
        <w:t xml:space="preserve">Here, </w:t>
      </w:r>
      <w:r w:rsidR="00C80E3B">
        <w:t>MidwayNet</w:t>
      </w:r>
      <w:r w:rsidRPr="001621E7" w:rsidR="0044418C">
        <w:t xml:space="preserve"> </w:t>
      </w:r>
      <w:r w:rsidR="005E28D2">
        <w:t xml:space="preserve">apparently </w:t>
      </w:r>
      <w:r w:rsidRPr="001621E7" w:rsidR="0044418C">
        <w:t>has</w:t>
      </w:r>
      <w:r w:rsidRPr="001621E7" w:rsidR="00F816D0">
        <w:t xml:space="preserve"> </w:t>
      </w:r>
      <w:r w:rsidRPr="001621E7" w:rsidR="0044418C">
        <w:t xml:space="preserve">missed </w:t>
      </w:r>
      <w:r w:rsidR="00C80E3B">
        <w:t>twenty-six</w:t>
      </w:r>
      <w:r w:rsidR="00136200">
        <w:t xml:space="preserve"> </w:t>
      </w:r>
      <w:r w:rsidRPr="001621E7" w:rsidR="0044418C">
        <w:t>filin</w:t>
      </w:r>
      <w:r w:rsidR="002E604E">
        <w:t>g</w:t>
      </w:r>
      <w:r w:rsidR="00AF486D">
        <w:t>s</w:t>
      </w:r>
      <w:r w:rsidR="002E604E">
        <w:t xml:space="preserve"> in total</w:t>
      </w:r>
      <w:r w:rsidRPr="001621E7" w:rsidR="0044418C">
        <w:t xml:space="preserve">. </w:t>
      </w:r>
      <w:r w:rsidRPr="001621E7" w:rsidR="00F816D0">
        <w:t xml:space="preserve"> </w:t>
      </w:r>
      <w:r w:rsidRPr="001621E7" w:rsidR="0044418C">
        <w:t xml:space="preserve">All </w:t>
      </w:r>
      <w:r w:rsidR="00C80E3B">
        <w:t>twenty-six</w:t>
      </w:r>
      <w:r w:rsidRPr="001621E7" w:rsidR="0009765E">
        <w:t xml:space="preserve"> </w:t>
      </w:r>
      <w:r w:rsidRPr="001621E7" w:rsidR="0044418C">
        <w:t>are violations of our rule</w:t>
      </w:r>
      <w:r w:rsidRPr="001621E7" w:rsidR="00F816D0">
        <w:t xml:space="preserve">s.  </w:t>
      </w:r>
      <w:r w:rsidR="00056E20">
        <w:t>In addition,</w:t>
      </w:r>
      <w:r w:rsidR="00056E20">
        <w:rPr>
          <w:szCs w:val="22"/>
        </w:rPr>
        <w:t xml:space="preserve"> </w:t>
      </w:r>
      <w:r w:rsidR="0021482E">
        <w:rPr>
          <w:szCs w:val="22"/>
        </w:rPr>
        <w:t xml:space="preserve">in July 2020, MidwayNet </w:t>
      </w:r>
      <w:r w:rsidR="00056E20">
        <w:rPr>
          <w:szCs w:val="22"/>
        </w:rPr>
        <w:t xml:space="preserve">late </w:t>
      </w:r>
      <w:r w:rsidRPr="008053E5" w:rsidR="00C80E3B">
        <w:rPr>
          <w:szCs w:val="22"/>
        </w:rPr>
        <w:t xml:space="preserve">filed </w:t>
      </w:r>
      <w:r w:rsidR="00056E20">
        <w:rPr>
          <w:szCs w:val="22"/>
        </w:rPr>
        <w:t>four</w:t>
      </w:r>
      <w:r w:rsidRPr="008053E5" w:rsidR="00C80E3B">
        <w:rPr>
          <w:szCs w:val="22"/>
        </w:rPr>
        <w:t xml:space="preserve"> Forms 477</w:t>
      </w:r>
      <w:r w:rsidR="00056E20">
        <w:rPr>
          <w:szCs w:val="22"/>
        </w:rPr>
        <w:t>:  one</w:t>
      </w:r>
      <w:r w:rsidRPr="008053E5" w:rsidR="00C80E3B">
        <w:rPr>
          <w:szCs w:val="22"/>
        </w:rPr>
        <w:t xml:space="preserve"> </w:t>
      </w:r>
      <w:r w:rsidR="00C95612">
        <w:rPr>
          <w:szCs w:val="22"/>
        </w:rPr>
        <w:t xml:space="preserve">filing </w:t>
      </w:r>
      <w:r w:rsidRPr="008053E5" w:rsidR="00C80E3B">
        <w:rPr>
          <w:szCs w:val="22"/>
        </w:rPr>
        <w:t xml:space="preserve">due </w:t>
      </w:r>
      <w:r w:rsidR="00056E20">
        <w:rPr>
          <w:szCs w:val="22"/>
        </w:rPr>
        <w:t xml:space="preserve">in </w:t>
      </w:r>
      <w:r w:rsidR="00C80E3B">
        <w:rPr>
          <w:szCs w:val="22"/>
        </w:rPr>
        <w:t>September 2018,</w:t>
      </w:r>
      <w:r w:rsidRPr="008053E5" w:rsidR="00C80E3B">
        <w:rPr>
          <w:szCs w:val="22"/>
        </w:rPr>
        <w:t xml:space="preserve"> </w:t>
      </w:r>
      <w:r w:rsidR="00056E20">
        <w:rPr>
          <w:szCs w:val="22"/>
        </w:rPr>
        <w:t xml:space="preserve">both filings due in </w:t>
      </w:r>
      <w:r w:rsidRPr="008053E5" w:rsidR="00C80E3B">
        <w:rPr>
          <w:szCs w:val="22"/>
        </w:rPr>
        <w:t>2019</w:t>
      </w:r>
      <w:r w:rsidR="00056E20">
        <w:rPr>
          <w:szCs w:val="22"/>
        </w:rPr>
        <w:t>, and</w:t>
      </w:r>
      <w:r w:rsidR="00C95612">
        <w:rPr>
          <w:szCs w:val="22"/>
        </w:rPr>
        <w:t xml:space="preserve"> one</w:t>
      </w:r>
      <w:r w:rsidR="00056E20">
        <w:rPr>
          <w:szCs w:val="22"/>
        </w:rPr>
        <w:t xml:space="preserve"> </w:t>
      </w:r>
      <w:r w:rsidR="00C95612">
        <w:rPr>
          <w:szCs w:val="22"/>
        </w:rPr>
        <w:t xml:space="preserve">filing </w:t>
      </w:r>
      <w:r w:rsidR="00056E20">
        <w:rPr>
          <w:szCs w:val="22"/>
        </w:rPr>
        <w:t>due in March 2020.</w:t>
      </w:r>
      <w:r w:rsidRPr="00056E20" w:rsidR="00056E20">
        <w:rPr>
          <w:rStyle w:val="FootnoteReference"/>
          <w:bCs/>
          <w:szCs w:val="22"/>
        </w:rPr>
        <w:t xml:space="preserve"> </w:t>
      </w:r>
      <w:r>
        <w:rPr>
          <w:rStyle w:val="FootnoteReference"/>
          <w:bCs/>
          <w:szCs w:val="22"/>
        </w:rPr>
        <w:footnoteReference w:id="27"/>
      </w:r>
      <w:r w:rsidR="00056E20">
        <w:rPr>
          <w:szCs w:val="22"/>
        </w:rPr>
        <w:t xml:space="preserve">  The March 2020 filing was over four months late</w:t>
      </w:r>
      <w:bookmarkEnd w:id="13"/>
      <w:r w:rsidR="00056E20">
        <w:rPr>
          <w:szCs w:val="22"/>
        </w:rPr>
        <w:t xml:space="preserve">.  </w:t>
      </w:r>
      <w:r w:rsidRPr="001621E7" w:rsidR="00AF486D">
        <w:t>Even though the statute of limitations</w:t>
      </w:r>
      <w:r w:rsidR="00AF486D">
        <w:t xml:space="preserve"> for assessing a forfeiture</w:t>
      </w:r>
      <w:r w:rsidRPr="001621E7" w:rsidR="00AF486D">
        <w:t xml:space="preserve"> has run</w:t>
      </w:r>
      <w:r w:rsidR="00AF486D">
        <w:t xml:space="preserve"> on all but </w:t>
      </w:r>
      <w:r w:rsidR="00056E20">
        <w:t>the most recent</w:t>
      </w:r>
      <w:r w:rsidR="00AF486D">
        <w:t xml:space="preserve"> violation</w:t>
      </w:r>
      <w:r w:rsidRPr="001621E7" w:rsidR="00AF486D">
        <w:t>,</w:t>
      </w:r>
      <w:r>
        <w:rPr>
          <w:rStyle w:val="FootnoteReference"/>
        </w:rPr>
        <w:footnoteReference w:id="28"/>
      </w:r>
      <w:r w:rsidRPr="001621E7" w:rsidR="00AF486D">
        <w:t xml:space="preserve"> this is compelling evidence of a history of</w:t>
      </w:r>
      <w:r w:rsidR="00AF486D">
        <w:t xml:space="preserve"> disregard for the Commission’s filing requirements</w:t>
      </w:r>
      <w:r w:rsidRPr="001621E7" w:rsidR="00AF486D">
        <w:t>.</w:t>
      </w:r>
      <w:r w:rsidR="00AF486D">
        <w:t xml:space="preserve">  </w:t>
      </w:r>
    </w:p>
    <w:p w:rsidR="00AF05F1" w:rsidRPr="00542635" w:rsidP="00F15F4C" w14:paraId="7991EDBF" w14:textId="0F286DA1">
      <w:pPr>
        <w:pStyle w:val="ParaNum"/>
        <w:widowControl/>
        <w:rPr>
          <w:rFonts w:eastAsiaTheme="minorEastAsia"/>
          <w:bCs/>
          <w:kern w:val="0"/>
        </w:rPr>
      </w:pPr>
      <w:r w:rsidRPr="001621E7">
        <w:t xml:space="preserve"> </w:t>
      </w:r>
      <w:r w:rsidRPr="001621E7" w:rsidR="0044418C">
        <w:t xml:space="preserve">Considering that </w:t>
      </w:r>
      <w:r w:rsidR="0021482E">
        <w:t>MidwayNet</w:t>
      </w:r>
      <w:r w:rsidRPr="001621E7" w:rsidR="0044418C">
        <w:t xml:space="preserve"> has a</w:t>
      </w:r>
      <w:r w:rsidR="005E28D2">
        <w:t>n apparent</w:t>
      </w:r>
      <w:r w:rsidRPr="001621E7" w:rsidR="0044418C">
        <w:t xml:space="preserve"> history of prior offenses that </w:t>
      </w:r>
      <w:r w:rsidR="001A2A0A">
        <w:t>fall outside</w:t>
      </w:r>
      <w:r w:rsidRPr="001621E7" w:rsidR="0044418C">
        <w:t xml:space="preserve"> the statute of limitations, an upward adjustment </w:t>
      </w:r>
      <w:r w:rsidR="005E28D2">
        <w:t xml:space="preserve">of the </w:t>
      </w:r>
      <w:r w:rsidR="00271B12">
        <w:t xml:space="preserve">$3,000 </w:t>
      </w:r>
      <w:r w:rsidR="005E28D2">
        <w:t xml:space="preserve">base forfeiture </w:t>
      </w:r>
      <w:r w:rsidRPr="001621E7" w:rsidR="0044418C">
        <w:t>is justified.</w:t>
      </w:r>
      <w:r w:rsidRPr="001621E7" w:rsidR="002B3721">
        <w:t xml:space="preserve"> </w:t>
      </w:r>
      <w:r w:rsidRPr="001621E7" w:rsidR="0044418C">
        <w:t xml:space="preserve"> </w:t>
      </w:r>
      <w:r w:rsidRPr="001621E7" w:rsidR="002B3721">
        <w:t xml:space="preserve">As a result of its </w:t>
      </w:r>
      <w:r w:rsidR="0021482E">
        <w:t>four</w:t>
      </w:r>
      <w:r w:rsidR="004A7F2D">
        <w:t xml:space="preserve"> </w:t>
      </w:r>
      <w:r w:rsidRPr="001621E7" w:rsidR="002B3721">
        <w:t>late</w:t>
      </w:r>
      <w:r w:rsidR="008E3063">
        <w:t>-filed</w:t>
      </w:r>
      <w:r w:rsidRPr="001621E7" w:rsidR="002B3721">
        <w:t xml:space="preserve"> and </w:t>
      </w:r>
      <w:r w:rsidR="0021482E">
        <w:t>twenty-</w:t>
      </w:r>
      <w:r w:rsidR="00285C78">
        <w:t>six</w:t>
      </w:r>
      <w:r w:rsidR="00FF3519">
        <w:t xml:space="preserve"> </w:t>
      </w:r>
      <w:r w:rsidRPr="001621E7" w:rsidR="002B3721">
        <w:t>never</w:t>
      </w:r>
      <w:r w:rsidR="008E3063">
        <w:t>-</w:t>
      </w:r>
      <w:r w:rsidRPr="001621E7" w:rsidR="002B3721">
        <w:t xml:space="preserve">filed Forms 477, </w:t>
      </w:r>
      <w:r w:rsidR="0021482E">
        <w:t>MidwayNet</w:t>
      </w:r>
      <w:r w:rsidR="001A2A0A">
        <w:t>’s</w:t>
      </w:r>
      <w:r w:rsidRPr="001621E7" w:rsidR="002B3721">
        <w:t xml:space="preserve"> </w:t>
      </w:r>
      <w:r w:rsidRPr="001621E7" w:rsidR="0044418C">
        <w:t>data were</w:t>
      </w:r>
      <w:r w:rsidRPr="001621E7" w:rsidR="002B3721">
        <w:t xml:space="preserve"> not</w:t>
      </w:r>
      <w:r w:rsidRPr="001621E7" w:rsidR="0044418C">
        <w:t xml:space="preserve"> included in Commission reports and analysis, </w:t>
      </w:r>
      <w:r w:rsidR="004E2212">
        <w:t xml:space="preserve">which </w:t>
      </w:r>
      <w:r w:rsidRPr="001621E7" w:rsidR="00C506A7">
        <w:t xml:space="preserve">distorted the </w:t>
      </w:r>
      <w:r w:rsidRPr="001621E7" w:rsidR="0044418C">
        <w:t xml:space="preserve">actual </w:t>
      </w:r>
      <w:r w:rsidR="00DA25DA">
        <w:t xml:space="preserve">broadband </w:t>
      </w:r>
      <w:r w:rsidRPr="001621E7" w:rsidR="0044418C">
        <w:t>deployment and subscription figures for the United States.</w:t>
      </w:r>
      <w:r w:rsidRPr="001621E7" w:rsidR="00FA7481">
        <w:t xml:space="preserve">  Thus</w:t>
      </w:r>
      <w:r w:rsidRPr="001621E7" w:rsidR="00C506A7">
        <w:t>,</w:t>
      </w:r>
      <w:r w:rsidRPr="001621E7" w:rsidR="00FA7481">
        <w:t xml:space="preserve"> based on these factors, as well as the gravity of impact that such missing data have on guiding broadband policy and monetary decision-making, we propose</w:t>
      </w:r>
      <w:r w:rsidRPr="001621E7" w:rsidR="00406F90">
        <w:t xml:space="preserve"> an upward adjustment of $</w:t>
      </w:r>
      <w:r w:rsidR="00136200">
        <w:t>7</w:t>
      </w:r>
      <w:r w:rsidRPr="001621E7" w:rsidR="00406F90">
        <w:t>,</w:t>
      </w:r>
      <w:r w:rsidR="00136200">
        <w:t>000</w:t>
      </w:r>
      <w:r w:rsidRPr="001621E7" w:rsidR="00406F90">
        <w:t xml:space="preserve"> for </w:t>
      </w:r>
      <w:r w:rsidR="0021482E">
        <w:t>MidwayNet’s</w:t>
      </w:r>
      <w:r w:rsidRPr="001621E7" w:rsidR="00406F90">
        <w:t xml:space="preserve"> apparently late </w:t>
      </w:r>
      <w:r w:rsidR="00136200">
        <w:t>March 2020</w:t>
      </w:r>
      <w:r w:rsidR="00FF3519">
        <w:t xml:space="preserve"> </w:t>
      </w:r>
      <w:r w:rsidRPr="001621E7" w:rsidR="00406F90">
        <w:t>filing</w:t>
      </w:r>
      <w:r w:rsidR="000977E7">
        <w:t xml:space="preserve">, </w:t>
      </w:r>
      <w:r w:rsidR="000977E7">
        <w:rPr>
          <w:bCs/>
        </w:rPr>
        <w:t xml:space="preserve">which takes into account the circumstances surrounding the </w:t>
      </w:r>
      <w:r w:rsidR="005E28D2">
        <w:rPr>
          <w:bCs/>
        </w:rPr>
        <w:t xml:space="preserve">apparent </w:t>
      </w:r>
      <w:r w:rsidR="000977E7">
        <w:rPr>
          <w:bCs/>
        </w:rPr>
        <w:t xml:space="preserve">violation and </w:t>
      </w:r>
      <w:r w:rsidR="0021482E">
        <w:rPr>
          <w:bCs/>
        </w:rPr>
        <w:t>MidwayNet’s</w:t>
      </w:r>
      <w:r w:rsidR="000977E7">
        <w:rPr>
          <w:bCs/>
        </w:rPr>
        <w:t xml:space="preserve"> history of </w:t>
      </w:r>
      <w:r w:rsidR="005E28D2">
        <w:rPr>
          <w:bCs/>
        </w:rPr>
        <w:t xml:space="preserve">apparently </w:t>
      </w:r>
      <w:r w:rsidR="000977E7">
        <w:rPr>
          <w:bCs/>
        </w:rPr>
        <w:t>failing to</w:t>
      </w:r>
      <w:r w:rsidR="007A289B">
        <w:rPr>
          <w:bCs/>
        </w:rPr>
        <w:t xml:space="preserve"> file</w:t>
      </w:r>
      <w:r w:rsidR="00285C78">
        <w:rPr>
          <w:bCs/>
        </w:rPr>
        <w:t>,</w:t>
      </w:r>
      <w:r w:rsidR="007A289B">
        <w:rPr>
          <w:bCs/>
        </w:rPr>
        <w:t xml:space="preserve"> and to</w:t>
      </w:r>
      <w:r w:rsidR="000977E7">
        <w:rPr>
          <w:bCs/>
        </w:rPr>
        <w:t xml:space="preserve"> timely file</w:t>
      </w:r>
      <w:r w:rsidR="007A289B">
        <w:rPr>
          <w:bCs/>
        </w:rPr>
        <w:t>,</w:t>
      </w:r>
      <w:r w:rsidR="000977E7">
        <w:rPr>
          <w:bCs/>
        </w:rPr>
        <w:t xml:space="preserve"> Form 477.</w:t>
      </w:r>
      <w:r>
        <w:rPr>
          <w:rStyle w:val="FootnoteReference"/>
          <w:bCs/>
        </w:rPr>
        <w:footnoteReference w:id="29"/>
      </w:r>
      <w:r w:rsidRPr="001621E7" w:rsidR="00F816D0">
        <w:t xml:space="preserve"> </w:t>
      </w:r>
    </w:p>
    <w:p w:rsidR="00E963DB" w:rsidRPr="003436FD" w:rsidP="00F15F4C" w14:paraId="6E5AB571" w14:textId="7FEE60EE">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w:t>
      </w:r>
      <w:r w:rsidR="00136200">
        <w:t>10,000</w:t>
      </w:r>
      <w:r w:rsidRPr="003436FD" w:rsidR="00325532">
        <w:t xml:space="preserve">, for which </w:t>
      </w:r>
      <w:r w:rsidR="00136200">
        <w:t>MidwayNet</w:t>
      </w:r>
      <w:r w:rsidRPr="003436FD" w:rsidR="00325532">
        <w:t xml:space="preserve"> is apparently liable.</w:t>
      </w:r>
      <w:r>
        <w:rPr>
          <w:rStyle w:val="FootnoteReference"/>
        </w:rPr>
        <w:footnoteReference w:id="30"/>
      </w:r>
    </w:p>
    <w:p w:rsidR="0019289F" w:rsidRPr="00F77790" w:rsidP="00F15F4C" w14:paraId="28EF9009" w14:textId="77777777">
      <w:pPr>
        <w:pStyle w:val="Heading1"/>
        <w:widowControl/>
      </w:pPr>
      <w:r w:rsidRPr="00CF2CD6">
        <w:t>CONCLUSION</w:t>
      </w:r>
    </w:p>
    <w:p w:rsidR="0019289F" w:rsidRPr="0032445C" w:rsidP="00F15F4C" w14:paraId="097576F9" w14:textId="10F9DA2A">
      <w:pPr>
        <w:pStyle w:val="ParaNum"/>
        <w:widowControl/>
      </w:pPr>
      <w:bookmarkStart w:id="14" w:name="_Hlk56780178"/>
      <w:r w:rsidRPr="00AF05F1">
        <w:t xml:space="preserve">We have determined that </w:t>
      </w:r>
      <w:r w:rsidR="00136200">
        <w:t>MidwayNet</w:t>
      </w:r>
      <w:r w:rsidRPr="00AF05F1">
        <w:t xml:space="preserve"> 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 xml:space="preserve">, </w:t>
      </w:r>
      <w:r w:rsidR="00136200">
        <w:t>MidwayNet</w:t>
      </w:r>
      <w:r w:rsidRPr="00AF05F1">
        <w:t xml:space="preserve"> is apparently liable for</w:t>
      </w:r>
      <w:r w:rsidR="00905A50">
        <w:t xml:space="preserve"> a</w:t>
      </w:r>
      <w:r w:rsidRPr="00AF05F1">
        <w:t xml:space="preserve"> $</w:t>
      </w:r>
      <w:r w:rsidR="00136200">
        <w:t>10,000</w:t>
      </w:r>
      <w:r w:rsidRPr="00AF05F1">
        <w:t xml:space="preserve"> forfeiture. </w:t>
      </w:r>
    </w:p>
    <w:bookmarkEnd w:id="14"/>
    <w:p w:rsidR="0019289F" w:rsidRPr="00F77790" w:rsidP="00F15F4C" w14:paraId="7A61EFCB" w14:textId="77777777">
      <w:pPr>
        <w:pStyle w:val="Heading1"/>
        <w:widowControl/>
      </w:pPr>
      <w:r w:rsidRPr="00CF2CD6">
        <w:t>orDERING CLAUSES</w:t>
      </w:r>
    </w:p>
    <w:p w:rsidR="00AF05F1" w:rsidRPr="00AF05F1" w:rsidP="00F15F4C" w14:paraId="1A392793" w14:textId="7C92C0B8">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1"/>
      </w:r>
      <w:r w:rsidR="003240CD">
        <w:t xml:space="preserve"> </w:t>
      </w:r>
      <w:r w:rsidR="00136200">
        <w:t>MidwayNet, LLC</w:t>
      </w:r>
      <w:r w:rsidR="000975BE">
        <w:t xml:space="preserve"> </w:t>
      </w:r>
      <w:r w:rsidRPr="00AF05F1">
        <w:t xml:space="preserve">is hereby </w:t>
      </w:r>
      <w:r w:rsidRPr="00AF05F1">
        <w:rPr>
          <w:b/>
          <w:bCs/>
        </w:rPr>
        <w:t xml:space="preserve">NOTIFED </w:t>
      </w:r>
      <w:r w:rsidRPr="00AF05F1">
        <w:t xml:space="preserve">of this </w:t>
      </w:r>
      <w:r w:rsidRPr="00AF05F1">
        <w:rPr>
          <w:b/>
          <w:bCs/>
        </w:rPr>
        <w:t>APPARENT LIABILITY FOR FORFEITURE</w:t>
      </w:r>
      <w:r w:rsidRPr="00AF05F1">
        <w:t xml:space="preserve"> in the amount of </w:t>
      </w:r>
      <w:r w:rsidR="00136200">
        <w:t>ten</w:t>
      </w:r>
      <w:r w:rsidRPr="00AF05F1" w:rsidR="00D0401D">
        <w:t xml:space="preserve"> </w:t>
      </w:r>
      <w:r w:rsidRPr="00AF05F1">
        <w:t>thousand dollars ($</w:t>
      </w:r>
      <w:r w:rsidR="00136200">
        <w:t>10,000</w:t>
      </w:r>
      <w:r w:rsidRPr="00AF05F1">
        <w:t xml:space="preserve">)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2"/>
      </w:r>
    </w:p>
    <w:p w:rsidR="00AF05F1" w:rsidRPr="00AF05F1" w:rsidP="00F15F4C" w14:paraId="1DAFEA60" w14:textId="1D0262B4">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3"/>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136200">
        <w:t xml:space="preserve">MidwayNet, LLC </w:t>
      </w:r>
      <w:r w:rsidRPr="00AF05F1" w:rsidR="000975BE">
        <w:t xml:space="preserve"> </w:t>
      </w:r>
      <w:r w:rsidRPr="00AF05F1">
        <w:rPr>
          <w:b/>
          <w:bCs/>
        </w:rPr>
        <w:t>SHALL PAY</w:t>
      </w:r>
      <w:r w:rsidRPr="00AF05F1">
        <w:t xml:space="preserve"> the full amount of the proposed forfeiture or </w:t>
      </w:r>
      <w:r w:rsidRPr="00AF05F1">
        <w:rPr>
          <w:b/>
          <w:bCs/>
        </w:rPr>
        <w:t>SHALL FILE</w:t>
      </w:r>
      <w:r w:rsidRPr="00AF05F1">
        <w:t xml:space="preserve"> a </w:t>
      </w:r>
      <w:r w:rsidRPr="0010306D">
        <w:t xml:space="preserve">written statement seeking reduction or cancellation of the proposed forfeiture consistent with paragraph </w:t>
      </w:r>
      <w:r w:rsidRPr="0010306D" w:rsidR="00793F12">
        <w:t>19</w:t>
      </w:r>
      <w:r w:rsidRPr="0010306D">
        <w:t xml:space="preserve"> b</w:t>
      </w:r>
      <w:r w:rsidRPr="00AF05F1">
        <w:t xml:space="preserve">elow.  </w:t>
      </w:r>
    </w:p>
    <w:p w:rsidR="00AF05F1" w:rsidRPr="00AF05F1" w:rsidP="00F15F4C" w14:paraId="00BF32A8" w14:textId="285BA98F">
      <w:pPr>
        <w:pStyle w:val="ParaNum"/>
        <w:widowControl/>
      </w:pPr>
      <w:r>
        <w:t>MidwayNet, LLC</w:t>
      </w:r>
      <w:r w:rsidRPr="00AF05F1">
        <w:t xml:space="preserve">, shall send electronic notification of payment to </w:t>
      </w:r>
      <w:r>
        <w:t>Conor O’Donovan</w:t>
      </w:r>
      <w:r w:rsidRPr="00AF05F1">
        <w:t xml:space="preserve">, Enforcement Bureau, Federal Communications Commission, at </w:t>
      </w:r>
      <w:hyperlink r:id="rId5" w:history="1">
        <w:r>
          <w:rPr>
            <w:rStyle w:val="Hyperlink"/>
          </w:rPr>
          <w:t>Conor.O’Donovan</w:t>
        </w:r>
        <w:r w:rsidR="00236CD2">
          <w:rPr>
            <w:rStyle w:val="Hyperlink"/>
          </w:rPr>
          <w:t>@fcc.gov</w:t>
        </w:r>
      </w:hyperlink>
      <w:r w:rsidRPr="00AF05F1">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4"/>
      </w:r>
      <w:r w:rsidRPr="00AF05F1">
        <w:t xml:space="preserve"> or by wire transfer.  The Commission no longer accepts forfeiture payment</w:t>
      </w:r>
      <w:r w:rsidR="00FC0C14">
        <w:t>s</w:t>
      </w:r>
      <w:r w:rsidRPr="00AF05F1">
        <w:t xml:space="preserve"> by check or money order.  Below are instructions that payors should follow based on the form of payment selected.</w:t>
      </w:r>
      <w:r>
        <w:rPr>
          <w:vertAlign w:val="superscript"/>
        </w:rPr>
        <w:footnoteReference w:id="35"/>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“FORF” in block number 24A (payment type code), and enter in block number 11 the FRN(s) captioned above (Payor FRN).</w:t>
      </w:r>
      <w:r>
        <w:rPr>
          <w:rStyle w:val="FootnoteReference"/>
          <w:bCs/>
        </w:rPr>
        <w:footnoteReference w:id="36"/>
      </w:r>
      <w:r w:rsidRPr="00AF05F1">
        <w:rPr>
          <w:bCs/>
        </w:rPr>
        <w:t xml:space="preserve">  For additional </w:t>
      </w:r>
      <w:r w:rsidRPr="00AF05F1">
        <w:rPr>
          <w:bCs/>
        </w:rPr>
        <w:t xml:space="preserve">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To pay by credit card, log-in using the FRN captioned</w:t>
      </w:r>
      <w:r>
        <w:t xml:space="preserve"> </w:t>
      </w:r>
      <w:r w:rsidRPr="00AF05F1">
        <w:t>above.</w:t>
      </w:r>
      <w:r w:rsidR="00D00183">
        <w:t xml:space="preserve"> </w:t>
      </w:r>
      <w:r w:rsidRPr="00AF05F1">
        <w:t xml:space="preserve"> If payment must be split across FRNs, complete this process for each FRN</w:t>
      </w:r>
      <w:r w:rsidRPr="00A200B5">
        <w:t>.  Next, select “Pay bills” on the Fee Filer Menu, and select the bill number associated with the NAL Account</w:t>
      </w:r>
      <w:r w:rsidR="00A200B5">
        <w:t xml:space="preserve"> </w:t>
      </w:r>
      <w:r w:rsidRPr="00AD0726" w:rsidR="00A200B5">
        <w:t>–</w:t>
      </w:r>
      <w:r w:rsidR="00A200B5">
        <w:t xml:space="preserve"> </w:t>
      </w:r>
      <w:r w:rsidRPr="00A200B5">
        <w:t>the bill number is the NAL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FRN captioned above.</w:t>
      </w:r>
      <w:r>
        <w:t xml:space="preserve">  </w:t>
      </w:r>
      <w:r w:rsidRPr="00AF05F1">
        <w:t>If payment must be split across FRNs, complete this process for each FRN.  Next, select “Pay</w:t>
      </w:r>
      <w:r w:rsidR="00CF2CD6">
        <w:t xml:space="preserve"> </w:t>
      </w:r>
      <w:r w:rsidRPr="00CF2CD6">
        <w:t xml:space="preserve">bills” on the Fee Filer Menu and then select the bill number associated to the NAL </w:t>
      </w:r>
      <w:r w:rsidRPr="00A200B5">
        <w:t>Account – the</w:t>
      </w:r>
      <w:r w:rsidRPr="00A200B5" w:rsidR="00CF2CD6">
        <w:t xml:space="preserve"> </w:t>
      </w:r>
      <w:r w:rsidRPr="00A200B5">
        <w:t>bill number is the NAL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37"/>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F15F4C" w14:paraId="779E9DD4" w14:textId="192A5F9D">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38"/>
      </w:r>
      <w:r w:rsidRPr="00CF2CD6">
        <w:t xml:space="preserve">  The written statement must be mailed to Jeffrey J. Gee, Chief, Investigations and Hearings Division, Enforcement Bureau, Federal Communications Commission, 45 L Street, NE, Washington, DC 20554, and must include the NAL/Acct. No. referenced in the caption.  The written statement shall also be e</w:t>
      </w:r>
      <w:r w:rsidR="009D418A">
        <w:t>-</w:t>
      </w:r>
      <w:r w:rsidRPr="00CF2CD6">
        <w:t xml:space="preserve">mailed to </w:t>
      </w:r>
      <w:r w:rsidRPr="00A2785D">
        <w:t xml:space="preserve">Jeffrey J. Gee at </w:t>
      </w:r>
      <w:hyperlink r:id="rId11" w:history="1">
        <w:r w:rsidRPr="00FB5F79" w:rsidR="00224192">
          <w:rPr>
            <w:rStyle w:val="Hyperlink"/>
          </w:rPr>
          <w:t>Jeffrey.Gee@fcc.gov</w:t>
        </w:r>
      </w:hyperlink>
      <w:r w:rsidR="00224192">
        <w:rPr>
          <w:color w:val="0563C1" w:themeColor="hyperlink"/>
          <w:u w:val="single"/>
        </w:rPr>
        <w:t xml:space="preserve"> </w:t>
      </w:r>
      <w:r w:rsidRPr="00CF2CD6">
        <w:t xml:space="preserve">and to </w:t>
      </w:r>
      <w:r w:rsidR="00136200">
        <w:t>Conor O’Donovan</w:t>
      </w:r>
      <w:r w:rsidRPr="00CF2CD6">
        <w:t xml:space="preserve"> at</w:t>
      </w:r>
      <w:r w:rsidR="00224192">
        <w:t xml:space="preserve"> </w:t>
      </w:r>
      <w:hyperlink r:id="rId5" w:history="1">
        <w:r w:rsidRPr="00136200" w:rsidR="00136200">
          <w:rPr>
            <w:rStyle w:val="Hyperlink"/>
          </w:rPr>
          <w:t>Conor.O’Donovan@fcc.gov</w:t>
        </w:r>
      </w:hyperlink>
      <w:r w:rsidR="00224192">
        <w:t xml:space="preserve">. </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kern w:val="0"/>
          <w:szCs w:val="22"/>
        </w:rPr>
        <w:footnoteReference w:id="39"/>
      </w:r>
      <w:r w:rsidRPr="000D6D4E" w:rsidR="000D6D4E">
        <w:rPr>
          <w:color w:val="000000"/>
          <w:kern w:val="0"/>
          <w:sz w:val="14"/>
          <w:szCs w:val="14"/>
        </w:rPr>
        <w:t xml:space="preserve"> </w:t>
      </w:r>
    </w:p>
    <w:p w:rsidR="00AF05F1" w:rsidRPr="00CF2CD6" w:rsidP="00F15F4C" w14:paraId="48062C4B" w14:textId="324686F0">
      <w:pPr>
        <w:pStyle w:val="ParaNum"/>
        <w:widowControl/>
      </w:pPr>
      <w:r w:rsidRPr="00CF2CD6">
        <w:rPr>
          <w:b/>
          <w:bCs/>
        </w:rPr>
        <w:t>IT IS FURTHER ORDERED</w:t>
      </w:r>
      <w:r w:rsidRPr="00CF2CD6">
        <w:t xml:space="preserve"> that a copy of this Notice of Apparent Liability for </w:t>
      </w:r>
      <w:r w:rsidR="00AA1776">
        <w:t>F</w:t>
      </w:r>
      <w:r w:rsidRPr="00CF2CD6">
        <w:t xml:space="preserve">orfeiture shall be sent by </w:t>
      </w:r>
      <w:r w:rsidRPr="00D86160" w:rsidR="00D86160">
        <w:t>first class mail and certified mail, return receipt requested</w:t>
      </w:r>
      <w:r w:rsidRPr="00CF2CD6">
        <w:t xml:space="preserve"> to</w:t>
      </w:r>
      <w:r w:rsidR="00362E76">
        <w:t xml:space="preserve">:  </w:t>
      </w:r>
      <w:r w:rsidR="00136200">
        <w:t>MidwayNet, LLC c/o Derich Schultz, Manager, 1250 N McKinley Ave, Rensselaer, IN 47978.</w:t>
      </w:r>
    </w:p>
    <w:p w:rsidR="00AF05F1" w:rsidRPr="00AF05F1" w:rsidP="00F15F4C" w14:paraId="2FDE24B2" w14:textId="77777777">
      <w:pPr>
        <w:widowControl/>
        <w:spacing w:after="120"/>
        <w:ind w:left="720"/>
      </w:pP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RPr="002A6E30" w:rsidP="00F15F4C" w14:paraId="5609B54D" w14:textId="77777777">
      <w:pPr>
        <w:pStyle w:val="ListParagraph"/>
        <w:keepNext/>
        <w:widowControl/>
        <w:spacing w:after="120"/>
        <w:outlineLvl w:val="1"/>
        <w:rPr>
          <w:bCs/>
        </w:rPr>
      </w:pPr>
    </w:p>
    <w:sectPr w:rsidSect="002E6E1F">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113" w:rsidP="00AF05F1" w14:paraId="2BF83B9F" w14:textId="77777777">
      <w:r>
        <w:separator/>
      </w:r>
    </w:p>
  </w:footnote>
  <w:footnote w:type="continuationSeparator" w:id="1">
    <w:p w:rsidR="00304113" w:rsidP="00AF05F1" w14:paraId="373E15C2" w14:textId="77777777">
      <w:r>
        <w:continuationSeparator/>
      </w:r>
    </w:p>
  </w:footnote>
  <w:footnote w:type="continuationNotice" w:id="2">
    <w:p w:rsidR="00304113" w14:paraId="0F53D3DD"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“[f]ailure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12FB30FF">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Rcd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Public Notice, 20 FCC Rcd 10454</w:t>
      </w:r>
      <w:r w:rsidR="00C57163">
        <w:t>,</w:t>
      </w:r>
      <w:r w:rsidRPr="00C57163" w:rsidR="00C57163">
        <w:t xml:space="preserve"> </w:t>
      </w:r>
      <w:r w:rsidR="00C57163">
        <w:t>10456</w:t>
      </w:r>
      <w:r w:rsidR="00DB1C9A">
        <w:t xml:space="preserve"> (WCB 2005) (</w:t>
      </w:r>
      <w:r w:rsidRPr="00FF666E" w:rsidR="00DB1C9A">
        <w:rPr>
          <w:i/>
          <w:iCs/>
        </w:rPr>
        <w:t>OMB-Approved Form 477 Public Notice</w:t>
      </w:r>
      <w:r w:rsidR="00DB1C9A">
        <w:t>).</w:t>
      </w:r>
      <w:bookmarkEnd w:id="3"/>
      <w:r w:rsidR="00003FB6">
        <w:t xml:space="preserve"> </w:t>
      </w:r>
      <w:bookmarkStart w:id="4" w:name="_Hlk60667612"/>
      <w:bookmarkEnd w:id="2"/>
    </w:p>
    <w:bookmarkEnd w:id="4"/>
  </w:footnote>
  <w:footnote w:id="8">
    <w:p w:rsidR="002C7904" w:rsidRPr="00A80B8F" w14:paraId="1569FE4B" w14:textId="23338ED1">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19 FCC Rcd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WC Docket No. 11-10, Report and Order, 28 FCC Rcd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Rcd 3174 (WCB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WC Docket No. 11-10, Public Notice, 28 FCC Rcd 12665 (WCB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Barrier Communications Corporation d/b/a BarrierFree</w:t>
      </w:r>
      <w:r w:rsidRPr="00DC7A46">
        <w:t>, Notice of Apparent Liability for Forfeiture, 35 FCC Rcd 10186 (2020) (</w:t>
      </w:r>
      <w:r w:rsidRPr="008A39C2">
        <w:rPr>
          <w:i/>
          <w:iCs/>
        </w:rPr>
        <w:t>BarrierFree NAL</w:t>
      </w:r>
      <w:r w:rsidRPr="00DC7A46">
        <w:t xml:space="preserve">); </w:t>
      </w:r>
      <w:r w:rsidRPr="008A39C2">
        <w:rPr>
          <w:i/>
          <w:iCs/>
        </w:rPr>
        <w:t>Rio Verde Wireless, LLC</w:t>
      </w:r>
      <w:r w:rsidRPr="00DC7A46">
        <w:t>, Notice of Apparent Liability for Forfeiture, 30 FCC Rcd 2196 (EB 2015)</w:t>
      </w:r>
      <w:r w:rsidR="00045AFD">
        <w:t xml:space="preserve"> </w:t>
      </w:r>
      <w:r w:rsidRPr="00DC7A46" w:rsidR="00B1525B">
        <w:t>(</w:t>
      </w:r>
      <w:r w:rsidRPr="008A39C2" w:rsidR="00B1525B">
        <w:rPr>
          <w:i/>
          <w:iCs/>
        </w:rPr>
        <w:t>Rio Verde Wireless NAL</w:t>
      </w:r>
      <w:r w:rsidRPr="00DC7A46" w:rsidR="00B1525B">
        <w:t>)</w:t>
      </w:r>
      <w:r w:rsidRPr="00DC7A46">
        <w:t xml:space="preserve">, </w:t>
      </w:r>
      <w:r w:rsidRPr="00B44EFC">
        <w:rPr>
          <w:i/>
          <w:iCs/>
        </w:rPr>
        <w:t>cancelled by</w:t>
      </w:r>
      <w:r w:rsidRPr="00DC7A46">
        <w:t xml:space="preserve"> Order, 30 FCC Rcd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Rcd 10853 (EB 2015); </w:t>
      </w:r>
      <w:r w:rsidRPr="008A39C2">
        <w:rPr>
          <w:i/>
          <w:iCs/>
        </w:rPr>
        <w:t>FCC Enforcement Advisory – Providers Are Reminded that They Must File Complete and Accurate Form 477 Reports Every Six Months</w:t>
      </w:r>
      <w:r w:rsidRPr="00DC7A46">
        <w:t>, Public Notice, 26 FCC Rcd 16769 (EB 2011).</w:t>
      </w:r>
    </w:p>
  </w:footnote>
  <w:footnote w:id="11">
    <w:p w:rsidR="00042172" w:rsidP="00042172" w14:paraId="635E09D7" w14:textId="018AC99F">
      <w:pPr>
        <w:pStyle w:val="FootnoteText"/>
      </w:pPr>
      <w:r w:rsidRPr="00221E8A">
        <w:rPr>
          <w:rStyle w:val="FootnoteReference"/>
        </w:rPr>
        <w:footnoteRef/>
      </w:r>
      <w:r w:rsidRPr="00221E8A">
        <w:t xml:space="preserve"> </w:t>
      </w:r>
      <w:r w:rsidRPr="002940D4" w:rsidR="00E32BEC">
        <w:t>FCC Form 477 Filed for data as of</w:t>
      </w:r>
      <w:r w:rsidR="003A4F5C">
        <w:t xml:space="preserve"> June 30, 2020</w:t>
      </w:r>
      <w:r w:rsidRPr="002940D4" w:rsidR="00E32BEC">
        <w:t xml:space="preserve"> for </w:t>
      </w:r>
      <w:r w:rsidR="00E32BEC">
        <w:t>MidwayNet</w:t>
      </w:r>
      <w:r w:rsidR="00E32BEC">
        <w:t xml:space="preserve">, LLC </w:t>
      </w:r>
      <w:r w:rsidRPr="002940D4" w:rsidR="00E32BEC">
        <w:t xml:space="preserve">(filed </w:t>
      </w:r>
      <w:r w:rsidR="00C757E2">
        <w:t>July</w:t>
      </w:r>
      <w:r w:rsidR="00E32BEC">
        <w:t xml:space="preserve"> 10</w:t>
      </w:r>
      <w:r w:rsidRPr="002940D4" w:rsidR="00E32BEC">
        <w:t xml:space="preserve">, 2020 at </w:t>
      </w:r>
      <w:r w:rsidR="00316C30">
        <w:t>13</w:t>
      </w:r>
      <w:r w:rsidR="00E32BEC">
        <w:t>:</w:t>
      </w:r>
      <w:r w:rsidR="00316C30">
        <w:t>58</w:t>
      </w:r>
      <w:r w:rsidR="00E32BEC">
        <w:t>:</w:t>
      </w:r>
      <w:r w:rsidR="00316C30">
        <w:t>12</w:t>
      </w:r>
      <w:r w:rsidRPr="002940D4" w:rsidR="00E32BEC">
        <w:t xml:space="preserve">) </w:t>
      </w:r>
      <w:r w:rsidRPr="0044472A" w:rsidR="00E32BEC">
        <w:t>(</w:t>
      </w:r>
      <w:bookmarkStart w:id="5" w:name="_Hlk63714973"/>
      <w:r w:rsidRPr="0044472A" w:rsidR="00E32BEC">
        <w:t xml:space="preserve">FCC Form 477 Filed for data as of </w:t>
      </w:r>
      <w:r w:rsidRPr="0044472A" w:rsidR="002178B8">
        <w:t>June</w:t>
      </w:r>
      <w:r w:rsidRPr="0044472A" w:rsidR="00E32BEC">
        <w:t xml:space="preserve"> 3</w:t>
      </w:r>
      <w:r w:rsidRPr="0044472A" w:rsidR="002178B8">
        <w:t>0</w:t>
      </w:r>
      <w:r w:rsidRPr="0044472A" w:rsidR="00E32BEC">
        <w:t>, 20</w:t>
      </w:r>
      <w:r w:rsidRPr="0044472A" w:rsidR="002178B8">
        <w:t>20</w:t>
      </w:r>
      <w:bookmarkEnd w:id="5"/>
      <w:r w:rsidRPr="0044472A" w:rsidR="00E32BEC">
        <w:t>)</w:t>
      </w:r>
      <w:r w:rsidRPr="004433B6" w:rsidR="00E32BEC">
        <w:t>;</w:t>
      </w:r>
      <w:r w:rsidR="00E32BEC">
        <w:t xml:space="preserve"> </w:t>
      </w:r>
      <w:r w:rsidR="00E32BEC">
        <w:rPr>
          <w:i/>
          <w:iCs/>
        </w:rPr>
        <w:t>s</w:t>
      </w:r>
      <w:r w:rsidRPr="009321F5" w:rsidR="00E32BEC">
        <w:rPr>
          <w:i/>
          <w:iCs/>
        </w:rPr>
        <w:t>ee also</w:t>
      </w:r>
      <w:r w:rsidR="00E32BEC">
        <w:t xml:space="preserve"> </w:t>
      </w:r>
      <w:r w:rsidRPr="005B062D" w:rsidR="00E32BEC">
        <w:t>MidwayNet</w:t>
      </w:r>
      <w:r w:rsidR="002B34C7">
        <w:t>,</w:t>
      </w:r>
      <w:r w:rsidRPr="005B062D" w:rsidR="00E32BEC">
        <w:t xml:space="preserve"> </w:t>
      </w:r>
      <w:r w:rsidRPr="00BA7060" w:rsidR="00E32BEC">
        <w:rPr>
          <w:i/>
          <w:iCs/>
        </w:rPr>
        <w:t>About Us</w:t>
      </w:r>
      <w:r w:rsidR="00E32BEC">
        <w:t xml:space="preserve">, </w:t>
      </w:r>
      <w:hyperlink r:id="rId2" w:history="1">
        <w:r w:rsidRPr="00BC6425" w:rsidR="00E32BEC">
          <w:rPr>
            <w:rStyle w:val="Hyperlink"/>
          </w:rPr>
          <w:t>https://www.midwaynet.net/about-us/</w:t>
        </w:r>
      </w:hyperlink>
      <w:r w:rsidR="00E32BEC">
        <w:t xml:space="preserve"> (last visited </w:t>
      </w:r>
      <w:r w:rsidR="00BA7060">
        <w:t>Feb. 16</w:t>
      </w:r>
      <w:r w:rsidR="00E32BEC">
        <w:t>, 2021).</w:t>
      </w:r>
    </w:p>
  </w:footnote>
  <w:footnote w:id="12">
    <w:p w:rsidR="00111CC4" w:rsidRPr="00BA7060" w:rsidP="009321F5" w14:paraId="76B0328D" w14:textId="6526A3F0">
      <w:pPr>
        <w:pStyle w:val="FootnoteText"/>
        <w:rPr>
          <w:color w:val="000000"/>
          <w:bdr w:val="none" w:sz="0" w:space="0" w:color="auto" w:frame="1"/>
          <w:shd w:val="clear" w:color="auto" w:fill="FFFFFF"/>
        </w:rPr>
      </w:pPr>
      <w:r w:rsidRPr="009B0C8F">
        <w:rPr>
          <w:rStyle w:val="FootnoteReference"/>
        </w:rPr>
        <w:footnoteRef/>
      </w:r>
      <w:r w:rsidR="00463429">
        <w:rPr>
          <w:bCs/>
        </w:rPr>
        <w:t xml:space="preserve"> </w:t>
      </w:r>
      <w:r w:rsidRPr="00BA7060" w:rsidR="00463429">
        <w:rPr>
          <w:bCs/>
          <w:i/>
          <w:iCs/>
        </w:rPr>
        <w:t>See, e.g.,</w:t>
      </w:r>
      <w:r w:rsidRPr="009B0C8F" w:rsidR="00C415F0">
        <w:rPr>
          <w:bCs/>
        </w:rPr>
        <w:t xml:space="preserve"> </w:t>
      </w:r>
      <w:r w:rsidRPr="009B0C8F" w:rsidR="00D16218">
        <w:rPr>
          <w:color w:val="000000"/>
          <w:bdr w:val="none" w:sz="0" w:space="0" w:color="auto" w:frame="1"/>
          <w:shd w:val="clear" w:color="auto" w:fill="FFFFFF"/>
        </w:rPr>
        <w:t>FCC, Universal Licensing System, Microwave Industrial/Business Pool License –</w:t>
      </w:r>
      <w:r w:rsidR="00D16218">
        <w:rPr>
          <w:color w:val="000000"/>
          <w:bdr w:val="none" w:sz="0" w:space="0" w:color="auto" w:frame="1"/>
          <w:shd w:val="clear" w:color="auto" w:fill="FFFFFF"/>
        </w:rPr>
        <w:t xml:space="preserve"> WRCT554</w:t>
      </w:r>
      <w:bookmarkStart w:id="6" w:name="_Hlk63765837"/>
      <w:r w:rsidRPr="009B0C8F" w:rsidR="000449D1">
        <w:rPr>
          <w:color w:val="000000"/>
          <w:bdr w:val="none" w:sz="0" w:space="0" w:color="auto" w:frame="1"/>
          <w:shd w:val="clear" w:color="auto" w:fill="FFFFFF"/>
        </w:rPr>
        <w:t xml:space="preserve"> –</w:t>
      </w:r>
      <w:r w:rsidR="000449D1">
        <w:rPr>
          <w:color w:val="000000"/>
          <w:bdr w:val="none" w:sz="0" w:space="0" w:color="auto" w:frame="1"/>
          <w:shd w:val="clear" w:color="auto" w:fill="FFFFFF"/>
        </w:rPr>
        <w:t xml:space="preserve"> </w:t>
      </w:r>
      <w:r w:rsidR="00B74BCB">
        <w:rPr>
          <w:color w:val="000000"/>
          <w:bdr w:val="none" w:sz="0" w:space="0" w:color="auto" w:frame="1"/>
          <w:shd w:val="clear" w:color="auto" w:fill="FFFFFF"/>
        </w:rPr>
        <w:t>MidwayNet LLC</w:t>
      </w:r>
      <w:r w:rsidR="000449D1">
        <w:rPr>
          <w:color w:val="000000"/>
          <w:bdr w:val="none" w:sz="0" w:space="0" w:color="auto" w:frame="1"/>
          <w:shd w:val="clear" w:color="auto" w:fill="FFFFFF"/>
        </w:rPr>
        <w:t xml:space="preserve">, </w:t>
      </w:r>
      <w:hyperlink r:id="rId3" w:history="1">
        <w:r w:rsidRPr="002520EF" w:rsidR="00463429">
          <w:rPr>
            <w:rStyle w:val="Hyperlink"/>
            <w:bdr w:val="none" w:sz="0" w:space="0" w:color="auto" w:frame="1"/>
            <w:shd w:val="clear" w:color="auto" w:fill="FFFFFF"/>
          </w:rPr>
          <w:t>https://wireless2.fcc.gov/UlsApp/UlsSearch/license.jsp?licKey=4114148</w:t>
        </w:r>
      </w:hyperlink>
      <w:r w:rsidR="00463429">
        <w:rPr>
          <w:color w:val="000000"/>
          <w:bdr w:val="none" w:sz="0" w:space="0" w:color="auto" w:frame="1"/>
          <w:shd w:val="clear" w:color="auto" w:fill="FFFFFF"/>
        </w:rPr>
        <w:t xml:space="preserve"> </w:t>
      </w:r>
      <w:bookmarkEnd w:id="6"/>
      <w:r w:rsidRPr="009B0C8F" w:rsidR="00D16218">
        <w:rPr>
          <w:color w:val="000000"/>
          <w:bdr w:val="none" w:sz="0" w:space="0" w:color="auto" w:frame="1"/>
          <w:shd w:val="clear" w:color="auto" w:fill="FFFFFF"/>
        </w:rPr>
        <w:t xml:space="preserve">(last visited </w:t>
      </w:r>
      <w:bookmarkStart w:id="7" w:name="_Hlk63715633"/>
      <w:r w:rsidR="00BA7060">
        <w:rPr>
          <w:color w:val="000000"/>
          <w:bdr w:val="none" w:sz="0" w:space="0" w:color="auto" w:frame="1"/>
          <w:shd w:val="clear" w:color="auto" w:fill="FFFFFF"/>
        </w:rPr>
        <w:t>Feb. 16</w:t>
      </w:r>
      <w:r w:rsidRPr="009B0C8F" w:rsidR="00D16218">
        <w:rPr>
          <w:color w:val="000000"/>
          <w:bdr w:val="none" w:sz="0" w:space="0" w:color="auto" w:frame="1"/>
          <w:shd w:val="clear" w:color="auto" w:fill="FFFFFF"/>
        </w:rPr>
        <w:t>, 202</w:t>
      </w:r>
      <w:r w:rsidR="00D16218">
        <w:rPr>
          <w:color w:val="000000"/>
          <w:bdr w:val="none" w:sz="0" w:space="0" w:color="auto" w:frame="1"/>
          <w:shd w:val="clear" w:color="auto" w:fill="FFFFFF"/>
        </w:rPr>
        <w:t>1</w:t>
      </w:r>
      <w:r w:rsidRPr="009B0C8F" w:rsidR="00D16218">
        <w:rPr>
          <w:color w:val="000000"/>
          <w:bdr w:val="none" w:sz="0" w:space="0" w:color="auto" w:frame="1"/>
          <w:shd w:val="clear" w:color="auto" w:fill="FFFFFF"/>
        </w:rPr>
        <w:t>)</w:t>
      </w:r>
      <w:r w:rsidR="00D16218">
        <w:rPr>
          <w:color w:val="000000"/>
          <w:bdr w:val="none" w:sz="0" w:space="0" w:color="auto" w:frame="1"/>
          <w:shd w:val="clear" w:color="auto" w:fill="FFFFFF"/>
        </w:rPr>
        <w:t xml:space="preserve">; </w:t>
      </w:r>
      <w:bookmarkEnd w:id="7"/>
      <w:r w:rsidRPr="009B0C8F" w:rsidR="00D16218">
        <w:rPr>
          <w:color w:val="000000"/>
          <w:bdr w:val="none" w:sz="0" w:space="0" w:color="auto" w:frame="1"/>
          <w:shd w:val="clear" w:color="auto" w:fill="FFFFFF"/>
        </w:rPr>
        <w:t>FCC, Universal Licensing System, Microwave Industrial/Business Pool License –</w:t>
      </w:r>
      <w:r w:rsidR="00D16218">
        <w:rPr>
          <w:color w:val="000000"/>
          <w:bdr w:val="none" w:sz="0" w:space="0" w:color="auto" w:frame="1"/>
          <w:shd w:val="clear" w:color="auto" w:fill="FFFFFF"/>
        </w:rPr>
        <w:t xml:space="preserve"> WRCS933</w:t>
      </w:r>
      <w:r w:rsidRPr="009B0C8F" w:rsidR="00D16218">
        <w:rPr>
          <w:color w:val="000000"/>
          <w:bdr w:val="none" w:sz="0" w:space="0" w:color="auto" w:frame="1"/>
          <w:shd w:val="clear" w:color="auto" w:fill="FFFFFF"/>
        </w:rPr>
        <w:t xml:space="preserve"> </w:t>
      </w:r>
      <w:r w:rsidRPr="009B0C8F" w:rsidR="000449D1">
        <w:rPr>
          <w:color w:val="000000"/>
          <w:bdr w:val="none" w:sz="0" w:space="0" w:color="auto" w:frame="1"/>
          <w:shd w:val="clear" w:color="auto" w:fill="FFFFFF"/>
        </w:rPr>
        <w:t>–</w:t>
      </w:r>
      <w:r w:rsidR="000449D1">
        <w:rPr>
          <w:color w:val="000000"/>
          <w:bdr w:val="none" w:sz="0" w:space="0" w:color="auto" w:frame="1"/>
          <w:shd w:val="clear" w:color="auto" w:fill="FFFFFF"/>
        </w:rPr>
        <w:t xml:space="preserve"> </w:t>
      </w:r>
      <w:r w:rsidR="00B74BCB">
        <w:rPr>
          <w:color w:val="000000"/>
          <w:bdr w:val="none" w:sz="0" w:space="0" w:color="auto" w:frame="1"/>
          <w:shd w:val="clear" w:color="auto" w:fill="FFFFFF"/>
        </w:rPr>
        <w:t>MidwayNet, LLC</w:t>
      </w:r>
      <w:r w:rsidR="000449D1">
        <w:rPr>
          <w:color w:val="000000"/>
          <w:bdr w:val="none" w:sz="0" w:space="0" w:color="auto" w:frame="1"/>
          <w:shd w:val="clear" w:color="auto" w:fill="FFFFFF"/>
        </w:rPr>
        <w:t xml:space="preserve">, </w:t>
      </w:r>
      <w:hyperlink r:id="rId4" w:history="1">
        <w:r w:rsidRPr="002520EF" w:rsidR="00463429">
          <w:rPr>
            <w:rStyle w:val="Hyperlink"/>
            <w:bdr w:val="none" w:sz="0" w:space="0" w:color="auto" w:frame="1"/>
            <w:shd w:val="clear" w:color="auto" w:fill="FFFFFF"/>
          </w:rPr>
          <w:t>https://wireless2.fcc.gov/UlsApp/UlsSearch/license.jsp?licKey=4112993</w:t>
        </w:r>
      </w:hyperlink>
      <w:r w:rsidR="00463429">
        <w:rPr>
          <w:color w:val="000000"/>
          <w:bdr w:val="none" w:sz="0" w:space="0" w:color="auto" w:frame="1"/>
          <w:shd w:val="clear" w:color="auto" w:fill="FFFFFF"/>
        </w:rPr>
        <w:t xml:space="preserve"> </w:t>
      </w:r>
      <w:r w:rsidRPr="009B0C8F" w:rsidR="00D16218">
        <w:rPr>
          <w:color w:val="000000"/>
          <w:bdr w:val="none" w:sz="0" w:space="0" w:color="auto" w:frame="1"/>
          <w:shd w:val="clear" w:color="auto" w:fill="FFFFFF"/>
        </w:rPr>
        <w:t xml:space="preserve">(last visited </w:t>
      </w:r>
      <w:r w:rsidR="00BA7060">
        <w:rPr>
          <w:color w:val="000000"/>
          <w:bdr w:val="none" w:sz="0" w:space="0" w:color="auto" w:frame="1"/>
          <w:shd w:val="clear" w:color="auto" w:fill="FFFFFF"/>
        </w:rPr>
        <w:t>Feb. 16</w:t>
      </w:r>
      <w:r w:rsidRPr="009B0C8F" w:rsidR="00D16218">
        <w:rPr>
          <w:color w:val="000000"/>
          <w:bdr w:val="none" w:sz="0" w:space="0" w:color="auto" w:frame="1"/>
          <w:shd w:val="clear" w:color="auto" w:fill="FFFFFF"/>
        </w:rPr>
        <w:t>, 202</w:t>
      </w:r>
      <w:r w:rsidR="00D16218">
        <w:rPr>
          <w:color w:val="000000"/>
          <w:bdr w:val="none" w:sz="0" w:space="0" w:color="auto" w:frame="1"/>
          <w:shd w:val="clear" w:color="auto" w:fill="FFFFFF"/>
        </w:rPr>
        <w:t>1</w:t>
      </w:r>
      <w:r w:rsidRPr="009B0C8F" w:rsidR="00D16218">
        <w:rPr>
          <w:color w:val="000000"/>
          <w:bdr w:val="none" w:sz="0" w:space="0" w:color="auto" w:frame="1"/>
          <w:shd w:val="clear" w:color="auto" w:fill="FFFFFF"/>
        </w:rPr>
        <w:t>)</w:t>
      </w:r>
      <w:r w:rsidR="00D16218">
        <w:rPr>
          <w:color w:val="000000"/>
          <w:bdr w:val="none" w:sz="0" w:space="0" w:color="auto" w:frame="1"/>
          <w:shd w:val="clear" w:color="auto" w:fill="FFFFFF"/>
        </w:rPr>
        <w:t xml:space="preserve">; </w:t>
      </w:r>
      <w:r w:rsidRPr="009B0C8F" w:rsidR="00D16218">
        <w:rPr>
          <w:color w:val="000000"/>
          <w:bdr w:val="none" w:sz="0" w:space="0" w:color="auto" w:frame="1"/>
          <w:shd w:val="clear" w:color="auto" w:fill="FFFFFF"/>
        </w:rPr>
        <w:t>FCC, Universal Licensing System, Microwave Industrial/Business Pool License –</w:t>
      </w:r>
      <w:r w:rsidR="00D16218">
        <w:rPr>
          <w:color w:val="000000"/>
          <w:bdr w:val="none" w:sz="0" w:space="0" w:color="auto" w:frame="1"/>
          <w:shd w:val="clear" w:color="auto" w:fill="FFFFFF"/>
        </w:rPr>
        <w:t xml:space="preserve"> WRCT553</w:t>
      </w:r>
      <w:r w:rsidRPr="009B0C8F" w:rsidR="000449D1">
        <w:rPr>
          <w:color w:val="000000"/>
          <w:bdr w:val="none" w:sz="0" w:space="0" w:color="auto" w:frame="1"/>
          <w:shd w:val="clear" w:color="auto" w:fill="FFFFFF"/>
        </w:rPr>
        <w:t xml:space="preserve"> –</w:t>
      </w:r>
      <w:r w:rsidR="000449D1">
        <w:rPr>
          <w:color w:val="000000"/>
          <w:bdr w:val="none" w:sz="0" w:space="0" w:color="auto" w:frame="1"/>
          <w:shd w:val="clear" w:color="auto" w:fill="FFFFFF"/>
        </w:rPr>
        <w:t xml:space="preserve"> </w:t>
      </w:r>
      <w:r w:rsidR="00B74BCB">
        <w:rPr>
          <w:color w:val="000000"/>
          <w:bdr w:val="none" w:sz="0" w:space="0" w:color="auto" w:frame="1"/>
          <w:shd w:val="clear" w:color="auto" w:fill="FFFFFF"/>
        </w:rPr>
        <w:t>MidwayNet LLC</w:t>
      </w:r>
      <w:r w:rsidR="000449D1">
        <w:rPr>
          <w:color w:val="000000"/>
          <w:bdr w:val="none" w:sz="0" w:space="0" w:color="auto" w:frame="1"/>
          <w:shd w:val="clear" w:color="auto" w:fill="FFFFFF"/>
        </w:rPr>
        <w:t xml:space="preserve">, </w:t>
      </w:r>
      <w:hyperlink r:id="rId5" w:history="1">
        <w:r w:rsidRPr="002520EF" w:rsidR="00463429">
          <w:rPr>
            <w:rStyle w:val="Hyperlink"/>
            <w:bdr w:val="none" w:sz="0" w:space="0" w:color="auto" w:frame="1"/>
            <w:shd w:val="clear" w:color="auto" w:fill="FFFFFF"/>
          </w:rPr>
          <w:t>https://wireless2.fcc.gov/UlsApp/UlsSearch/license.jsp?licKey=4114147</w:t>
        </w:r>
      </w:hyperlink>
      <w:r w:rsidR="00463429">
        <w:rPr>
          <w:color w:val="000000"/>
          <w:bdr w:val="none" w:sz="0" w:space="0" w:color="auto" w:frame="1"/>
          <w:shd w:val="clear" w:color="auto" w:fill="FFFFFF"/>
        </w:rPr>
        <w:t xml:space="preserve"> </w:t>
      </w:r>
      <w:r w:rsidRPr="009B0C8F" w:rsidR="00D16218">
        <w:rPr>
          <w:color w:val="000000"/>
          <w:bdr w:val="none" w:sz="0" w:space="0" w:color="auto" w:frame="1"/>
          <w:shd w:val="clear" w:color="auto" w:fill="FFFFFF"/>
        </w:rPr>
        <w:t xml:space="preserve">(last visited </w:t>
      </w:r>
      <w:r w:rsidR="00BA7060">
        <w:rPr>
          <w:color w:val="000000"/>
          <w:bdr w:val="none" w:sz="0" w:space="0" w:color="auto" w:frame="1"/>
          <w:shd w:val="clear" w:color="auto" w:fill="FFFFFF"/>
        </w:rPr>
        <w:t>Feb. 16</w:t>
      </w:r>
      <w:r w:rsidRPr="009B0C8F" w:rsidR="00D16218">
        <w:rPr>
          <w:color w:val="000000"/>
          <w:bdr w:val="none" w:sz="0" w:space="0" w:color="auto" w:frame="1"/>
          <w:shd w:val="clear" w:color="auto" w:fill="FFFFFF"/>
        </w:rPr>
        <w:t>, 202</w:t>
      </w:r>
      <w:r w:rsidR="00D16218">
        <w:rPr>
          <w:color w:val="000000"/>
          <w:bdr w:val="none" w:sz="0" w:space="0" w:color="auto" w:frame="1"/>
          <w:shd w:val="clear" w:color="auto" w:fill="FFFFFF"/>
        </w:rPr>
        <w:t>1</w:t>
      </w:r>
      <w:r w:rsidRPr="009B0C8F" w:rsidR="00D16218">
        <w:rPr>
          <w:color w:val="000000"/>
          <w:bdr w:val="none" w:sz="0" w:space="0" w:color="auto" w:frame="1"/>
          <w:shd w:val="clear" w:color="auto" w:fill="FFFFFF"/>
        </w:rPr>
        <w:t>).</w:t>
      </w:r>
      <w:r w:rsidRPr="009B0C8F" w:rsidR="00A3483A">
        <w:rPr>
          <w:color w:val="000000"/>
          <w:bdr w:val="none" w:sz="0" w:space="0" w:color="auto" w:frame="1"/>
          <w:shd w:val="clear" w:color="auto" w:fill="FFFFFF"/>
        </w:rPr>
        <w:t> </w:t>
      </w:r>
      <w:r w:rsidR="00D00183">
        <w:rPr>
          <w:color w:val="000000"/>
          <w:bdr w:val="none" w:sz="0" w:space="0" w:color="auto" w:frame="1"/>
          <w:shd w:val="clear" w:color="auto" w:fill="FFFFFF"/>
        </w:rPr>
        <w:t xml:space="preserve"> </w:t>
      </w:r>
      <w:r w:rsidRPr="009B0C8F" w:rsidR="009B0C8F">
        <w:t>The FCC Universal Licensing System (ULS) is a free to use and publicly available database</w:t>
      </w:r>
      <w:r w:rsidR="00061283">
        <w:t xml:space="preserve">, </w:t>
      </w:r>
      <w:hyperlink r:id="rId6" w:history="1">
        <w:r w:rsidRPr="00BC6425" w:rsidR="00061283">
          <w:rPr>
            <w:rStyle w:val="Hyperlink"/>
          </w:rPr>
          <w:t>https://www.fcc.gov/wireless/systems-utilities/universal-licensing-system</w:t>
        </w:r>
      </w:hyperlink>
      <w:r w:rsidR="007769B3">
        <w:t xml:space="preserve"> (last visited </w:t>
      </w:r>
      <w:r w:rsidR="00BA7060">
        <w:t>Feb. 16</w:t>
      </w:r>
      <w:r w:rsidR="007769B3">
        <w:t>, 2021).</w:t>
      </w:r>
    </w:p>
  </w:footnote>
  <w:footnote w:id="13">
    <w:p w:rsidR="00111CC4" w:rsidP="00136D9E" w14:paraId="60903997" w14:textId="4E37FF61">
      <w:pPr>
        <w:pStyle w:val="FootnoteText"/>
      </w:pPr>
      <w:r w:rsidRPr="00DC7A46">
        <w:rPr>
          <w:rStyle w:val="FootnoteReference"/>
        </w:rPr>
        <w:footnoteRef/>
      </w:r>
      <w:r w:rsidRPr="00DC7A46">
        <w:t xml:space="preserve"> </w:t>
      </w:r>
      <w:bookmarkStart w:id="9" w:name="_Hlk63719429"/>
      <w:r w:rsidRPr="00136200" w:rsidR="009904C0">
        <w:rPr>
          <w:i/>
          <w:iCs/>
        </w:rPr>
        <w:t>See</w:t>
      </w:r>
      <w:r w:rsidRPr="009904C0" w:rsidR="009904C0">
        <w:t xml:space="preserve"> </w:t>
      </w:r>
      <w:r w:rsidRPr="00660165" w:rsidR="009904C0">
        <w:t>MidwayNet</w:t>
      </w:r>
      <w:r w:rsidR="00DE377F">
        <w:t>,</w:t>
      </w:r>
      <w:r w:rsidRPr="009904C0" w:rsidR="009904C0">
        <w:t xml:space="preserve"> </w:t>
      </w:r>
      <w:r w:rsidRPr="00BA7060" w:rsidR="00BA735D">
        <w:rPr>
          <w:i/>
          <w:iCs/>
        </w:rPr>
        <w:t>supra</w:t>
      </w:r>
      <w:r w:rsidR="00BA735D">
        <w:t xml:space="preserve"> </w:t>
      </w:r>
      <w:r w:rsidRPr="0010306D" w:rsidR="00BA735D">
        <w:t>note 9</w:t>
      </w:r>
      <w:r w:rsidR="00BA735D">
        <w:t xml:space="preserve"> </w:t>
      </w:r>
      <w:bookmarkEnd w:id="9"/>
      <w:r w:rsidR="00847F41">
        <w:t>(stating that MidwayNet was established “in 2000 to bring quality internet service to businesses, government entities and residences in the Rensselaer region”)</w:t>
      </w:r>
      <w:r w:rsidRPr="009904C0" w:rsidR="009904C0">
        <w:t>.</w:t>
      </w:r>
    </w:p>
  </w:footnote>
  <w:footnote w:id="14">
    <w:p w:rsidR="00111CC4" w:rsidP="00136D9E" w14:paraId="1816B65D" w14:textId="65C0E7EA">
      <w:pPr>
        <w:pStyle w:val="FootnoteText"/>
      </w:pPr>
      <w:r w:rsidRPr="00DC7A46">
        <w:rPr>
          <w:rStyle w:val="FootnoteReference"/>
        </w:rPr>
        <w:footnoteRef/>
      </w:r>
      <w:r w:rsidRPr="00DC7A46">
        <w:t xml:space="preserve"> </w:t>
      </w:r>
      <w:r w:rsidRPr="002940D4" w:rsidR="00AF3358">
        <w:t xml:space="preserve">FCC Form 477 Filed for data as of </w:t>
      </w:r>
      <w:r w:rsidR="00AF3358">
        <w:t xml:space="preserve">June 30, 2020; </w:t>
      </w:r>
      <w:r w:rsidRPr="002940D4" w:rsidR="009904C0">
        <w:t>FCC Form 477 Filed for data as of December 31, 2019</w:t>
      </w:r>
      <w:r w:rsidR="00AF3358">
        <w:t xml:space="preserve"> </w:t>
      </w:r>
      <w:r w:rsidRPr="002940D4" w:rsidR="003A4F5C">
        <w:t xml:space="preserve">for </w:t>
      </w:r>
      <w:r w:rsidR="003A4F5C">
        <w:t>MidwayNet</w:t>
      </w:r>
      <w:r w:rsidR="003A4F5C">
        <w:t xml:space="preserve">, LLC </w:t>
      </w:r>
      <w:r w:rsidRPr="002940D4" w:rsidR="003A4F5C">
        <w:t xml:space="preserve">(filed </w:t>
      </w:r>
      <w:r w:rsidR="003A4F5C">
        <w:t>Jul</w:t>
      </w:r>
      <w:r w:rsidR="00C757E2">
        <w:t>y</w:t>
      </w:r>
      <w:r w:rsidR="003A4F5C">
        <w:t xml:space="preserve"> 10</w:t>
      </w:r>
      <w:r w:rsidRPr="002940D4" w:rsidR="003A4F5C">
        <w:t xml:space="preserve">, 2020 at </w:t>
      </w:r>
      <w:r w:rsidR="003A4F5C">
        <w:t>13:43:56</w:t>
      </w:r>
      <w:r w:rsidRPr="002940D4" w:rsidR="003A4F5C">
        <w:t xml:space="preserve">) </w:t>
      </w:r>
      <w:r w:rsidRPr="0044472A" w:rsidR="003A4F5C">
        <w:t>(FCC Form 477 Filed for data as of December 31, 2019).</w:t>
      </w:r>
    </w:p>
  </w:footnote>
  <w:footnote w:id="15">
    <w:p w:rsidR="00111CC4" w:rsidP="00136D9E" w14:paraId="3A5ED412" w14:textId="05B39DFE">
      <w:pPr>
        <w:pStyle w:val="FootnoteText"/>
      </w:pPr>
      <w:r>
        <w:rPr>
          <w:rStyle w:val="FootnoteReference"/>
        </w:rPr>
        <w:footnoteRef/>
      </w:r>
      <w:r>
        <w:t xml:space="preserve"> </w:t>
      </w:r>
      <w:r w:rsidRPr="000918A5" w:rsidR="000918A5">
        <w:t xml:space="preserve"> </w:t>
      </w:r>
      <w:r w:rsidRPr="002940D4" w:rsidR="000918A5">
        <w:t xml:space="preserve">FCC Form 477 Filed for data as of </w:t>
      </w:r>
      <w:r w:rsidR="000918A5">
        <w:t>June</w:t>
      </w:r>
      <w:r w:rsidRPr="002940D4" w:rsidR="000918A5">
        <w:t xml:space="preserve"> 3</w:t>
      </w:r>
      <w:r w:rsidR="000918A5">
        <w:t>0</w:t>
      </w:r>
      <w:r w:rsidRPr="002940D4" w:rsidR="000918A5">
        <w:t>, 201</w:t>
      </w:r>
      <w:r w:rsidR="000918A5">
        <w:t>8</w:t>
      </w:r>
      <w:r w:rsidRPr="002940D4" w:rsidR="000918A5">
        <w:t xml:space="preserve"> for </w:t>
      </w:r>
      <w:r w:rsidR="000918A5">
        <w:t>MidwayNet</w:t>
      </w:r>
      <w:r w:rsidR="000918A5">
        <w:t xml:space="preserve">, LLC </w:t>
      </w:r>
      <w:r w:rsidRPr="002940D4" w:rsidR="000918A5">
        <w:t xml:space="preserve">(filed </w:t>
      </w:r>
      <w:r w:rsidR="00C757E2">
        <w:t>July</w:t>
      </w:r>
      <w:r w:rsidR="000918A5">
        <w:t xml:space="preserve"> 14</w:t>
      </w:r>
      <w:r w:rsidRPr="002940D4" w:rsidR="000918A5">
        <w:t xml:space="preserve">, 2020 at </w:t>
      </w:r>
      <w:r w:rsidR="000918A5">
        <w:t>11:38:42</w:t>
      </w:r>
      <w:r w:rsidRPr="004433B6" w:rsidR="000918A5">
        <w:t>) (</w:t>
      </w:r>
      <w:r w:rsidRPr="0044472A" w:rsidR="000918A5">
        <w:t>FCC Form 477 Filed for data as of June 30, 2018); F</w:t>
      </w:r>
      <w:r w:rsidRPr="002940D4" w:rsidR="000918A5">
        <w:t>CC Form 477 Filed for data as of December 31, 201</w:t>
      </w:r>
      <w:r w:rsidR="000918A5">
        <w:t>8</w:t>
      </w:r>
      <w:r w:rsidRPr="002940D4" w:rsidR="000918A5">
        <w:t xml:space="preserve"> for </w:t>
      </w:r>
      <w:r w:rsidR="000918A5">
        <w:t>MidwayNet</w:t>
      </w:r>
      <w:r w:rsidR="000918A5">
        <w:t xml:space="preserve">, LLC </w:t>
      </w:r>
      <w:r w:rsidRPr="002940D4" w:rsidR="000918A5">
        <w:t xml:space="preserve">(filed </w:t>
      </w:r>
      <w:r w:rsidR="00C757E2">
        <w:t>July</w:t>
      </w:r>
      <w:r w:rsidR="000918A5">
        <w:t xml:space="preserve"> 14</w:t>
      </w:r>
      <w:r w:rsidRPr="002940D4" w:rsidR="000918A5">
        <w:t xml:space="preserve">, 2020 at </w:t>
      </w:r>
      <w:r w:rsidR="000918A5">
        <w:t>11:32:41</w:t>
      </w:r>
      <w:r w:rsidRPr="002940D4" w:rsidR="000918A5">
        <w:t xml:space="preserve">) </w:t>
      </w:r>
      <w:r w:rsidRPr="004433B6" w:rsidR="000918A5">
        <w:t xml:space="preserve">(FCC Form 477 Filed for data as of December 31, 2018); </w:t>
      </w:r>
      <w:r w:rsidRPr="00CD4527" w:rsidR="000918A5">
        <w:t>FCC</w:t>
      </w:r>
      <w:r w:rsidRPr="002940D4" w:rsidR="000918A5">
        <w:t xml:space="preserve"> Form 477 Filed for data as of </w:t>
      </w:r>
      <w:r w:rsidR="000918A5">
        <w:t>June 30, 2019</w:t>
      </w:r>
      <w:r w:rsidRPr="002940D4" w:rsidR="000918A5">
        <w:t xml:space="preserve"> for </w:t>
      </w:r>
      <w:r w:rsidR="000918A5">
        <w:t>MidwayNet</w:t>
      </w:r>
      <w:r w:rsidR="000918A5">
        <w:t xml:space="preserve">, LLC </w:t>
      </w:r>
      <w:r w:rsidRPr="002940D4" w:rsidR="000918A5">
        <w:t xml:space="preserve">(filed </w:t>
      </w:r>
      <w:r w:rsidR="00C757E2">
        <w:t>July</w:t>
      </w:r>
      <w:r w:rsidR="000918A5">
        <w:t xml:space="preserve"> 14</w:t>
      </w:r>
      <w:r w:rsidRPr="002940D4" w:rsidR="000918A5">
        <w:t xml:space="preserve">, 2020 at </w:t>
      </w:r>
      <w:r w:rsidR="000918A5">
        <w:t>11:20:23</w:t>
      </w:r>
      <w:r w:rsidRPr="002940D4" w:rsidR="000918A5">
        <w:t xml:space="preserve">) </w:t>
      </w:r>
      <w:r w:rsidRPr="0044472A" w:rsidR="000918A5">
        <w:t>(FCC Form 477 Filed for data as of June 30, 2019)</w:t>
      </w:r>
      <w:r w:rsidRPr="00DE377F" w:rsidR="00C80E3B">
        <w:t>.</w:t>
      </w:r>
    </w:p>
  </w:footnote>
  <w:footnote w:id="16">
    <w:p w:rsidR="00111CC4" w:rsidP="009A5B8B" w14:paraId="62FA788D"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17">
    <w:p w:rsidR="00111CC4" w:rsidP="00C728A0" w14:paraId="3DEF9409" w14:textId="3F8E8819">
      <w:pPr>
        <w:pStyle w:val="FootnoteText"/>
      </w:pPr>
      <w:r w:rsidRPr="00DC7A46">
        <w:rPr>
          <w:rStyle w:val="FootnoteReference"/>
        </w:rPr>
        <w:footnoteRef/>
      </w:r>
      <w:r w:rsidRPr="00DC7A46">
        <w:t xml:space="preserve"> </w:t>
      </w:r>
      <w:r w:rsidRPr="00136200" w:rsidR="009B6202">
        <w:rPr>
          <w:i/>
          <w:iCs/>
        </w:rPr>
        <w:t>See</w:t>
      </w:r>
      <w:r w:rsidRPr="009904C0" w:rsidR="009B6202">
        <w:t xml:space="preserve"> MidwayNet</w:t>
      </w:r>
      <w:r w:rsidR="00660165">
        <w:t>,</w:t>
      </w:r>
      <w:r w:rsidRPr="009904C0" w:rsidR="009B6202">
        <w:t xml:space="preserve"> </w:t>
      </w:r>
      <w:r w:rsidRPr="008E33A9" w:rsidR="0098797D">
        <w:rPr>
          <w:i/>
          <w:iCs/>
        </w:rPr>
        <w:t>supra</w:t>
      </w:r>
      <w:r w:rsidR="0098797D">
        <w:t xml:space="preserve"> </w:t>
      </w:r>
      <w:r w:rsidRPr="0010306D" w:rsidR="0098797D">
        <w:t xml:space="preserve">note </w:t>
      </w:r>
      <w:r w:rsidRPr="0010306D" w:rsidR="00723CF2">
        <w:t>9</w:t>
      </w:r>
      <w:r w:rsidRPr="0010306D" w:rsidR="00440AFD">
        <w:t>.</w:t>
      </w:r>
      <w:r w:rsidRPr="00DC7A46">
        <w:t xml:space="preserve"> </w:t>
      </w:r>
    </w:p>
  </w:footnote>
  <w:footnote w:id="18">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 xml:space="preserve">Rcd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Rcd </w:t>
      </w:r>
      <w:r w:rsidR="00C5006E">
        <w:t>at 10456.</w:t>
      </w:r>
      <w:r w:rsidR="00C5006E">
        <w:rPr>
          <w:i/>
          <w:iCs/>
        </w:rPr>
        <w:t xml:space="preserve"> </w:t>
      </w:r>
    </w:p>
  </w:footnote>
  <w:footnote w:id="19">
    <w:p w:rsidR="00111CC4" w:rsidP="00DC7A46" w14:paraId="79053503" w14:textId="15958F00">
      <w:pPr>
        <w:pStyle w:val="FootnoteText"/>
      </w:pPr>
      <w:r w:rsidRPr="00DC7A46">
        <w:rPr>
          <w:rStyle w:val="FootnoteReference"/>
        </w:rPr>
        <w:footnoteRef/>
      </w:r>
      <w:r w:rsidR="00A309C9">
        <w:rPr>
          <w:bdr w:val="none" w:sz="0" w:space="0" w:color="auto" w:frame="1"/>
          <w:shd w:val="clear" w:color="auto" w:fill="FFFFFF"/>
        </w:rPr>
        <w:t xml:space="preserve"> </w:t>
      </w:r>
      <w:r w:rsidRPr="002940D4" w:rsidR="000918A5">
        <w:t xml:space="preserve">FCC Form 477 Filed for data as of </w:t>
      </w:r>
      <w:r w:rsidR="000918A5">
        <w:t>June</w:t>
      </w:r>
      <w:r w:rsidRPr="002940D4" w:rsidR="000918A5">
        <w:t xml:space="preserve"> 3</w:t>
      </w:r>
      <w:r w:rsidR="000918A5">
        <w:t>0</w:t>
      </w:r>
      <w:r w:rsidRPr="002940D4" w:rsidR="000918A5">
        <w:t>, 201</w:t>
      </w:r>
      <w:r w:rsidR="000918A5">
        <w:t xml:space="preserve">8; </w:t>
      </w:r>
      <w:r w:rsidRPr="002940D4" w:rsidR="000918A5">
        <w:t>Form 477 Filed for data as of December 31, 201</w:t>
      </w:r>
      <w:r w:rsidR="000918A5">
        <w:t xml:space="preserve">8; FCC </w:t>
      </w:r>
      <w:r w:rsidRPr="002940D4" w:rsidR="000918A5">
        <w:t xml:space="preserve">Form 477 Filed for data as of </w:t>
      </w:r>
      <w:r w:rsidR="000918A5">
        <w:t xml:space="preserve">June 30, 2019; </w:t>
      </w:r>
      <w:r w:rsidRPr="002940D4" w:rsidR="000918A5">
        <w:t>FCC Form 477 Filed for data as of December 31, 2019</w:t>
      </w:r>
      <w:r w:rsidR="000918A5">
        <w:t>.</w:t>
      </w:r>
    </w:p>
  </w:footnote>
  <w:footnote w:id="20">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1">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2">
    <w:p w:rsidR="00111CC4" w14:paraId="563B2078" w14:textId="1A8FD82B">
      <w:pPr>
        <w:pStyle w:val="FootnoteText"/>
      </w:pPr>
      <w:r>
        <w:rPr>
          <w:rStyle w:val="FootnoteReference"/>
        </w:rPr>
        <w:footnoteRef/>
      </w:r>
      <w:r>
        <w:t xml:space="preserve"> </w:t>
      </w:r>
      <w:r w:rsidRPr="0047161E">
        <w:t>47 U.S.C. § 503(b)(2)(</w:t>
      </w:r>
      <w:r w:rsidRPr="0047161E" w:rsidR="00FD275F">
        <w:t>D</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35 FCC Rcd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3">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4">
    <w:p w:rsidR="00111CC4" w:rsidP="00024110" w14:paraId="481145EC" w14:textId="3E65C930">
      <w:pPr>
        <w:pStyle w:val="FootnoteText"/>
      </w:pPr>
      <w:r w:rsidRPr="00573757">
        <w:rPr>
          <w:rStyle w:val="FootnoteReference"/>
        </w:rPr>
        <w:footnoteRef/>
      </w:r>
      <w:r w:rsidRPr="00573757">
        <w:t xml:space="preserve"> </w:t>
      </w:r>
      <w:bookmarkStart w:id="12" w:name="_Hlk60653381"/>
      <w:r w:rsidRPr="00573757">
        <w:t>47 CFR § 1.80(b)(</w:t>
      </w:r>
      <w:r w:rsidR="002E6D8B">
        <w:t>9</w:t>
      </w:r>
      <w:r w:rsidRPr="00573757">
        <w:t xml:space="preserve">), </w:t>
      </w:r>
      <w:r w:rsidRPr="00A216FF">
        <w:t>Note to paragraph (b)(8).</w:t>
      </w:r>
      <w:bookmarkEnd w:id="12"/>
    </w:p>
  </w:footnote>
  <w:footnote w:id="25">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6">
    <w:p w:rsidR="00111CC4" w:rsidRPr="0010306D" w14:paraId="73AA4892" w14:textId="61E40DBA">
      <w:pPr>
        <w:pStyle w:val="FootnoteText"/>
      </w:pPr>
      <w:r>
        <w:rPr>
          <w:rStyle w:val="FootnoteReference"/>
        </w:rPr>
        <w:footnoteRef/>
      </w:r>
      <w:r>
        <w:t xml:space="preserve"> </w:t>
      </w:r>
      <w:r w:rsidR="000A63C4">
        <w:rPr>
          <w:i/>
          <w:iCs/>
        </w:rPr>
        <w:t>See Barri</w:t>
      </w:r>
      <w:r w:rsidRPr="0010306D" w:rsidR="000A63C4">
        <w:rPr>
          <w:i/>
          <w:iCs/>
        </w:rPr>
        <w:t>erFree NAL</w:t>
      </w:r>
      <w:r w:rsidRPr="0010306D" w:rsidR="000A63C4">
        <w:t>, 3</w:t>
      </w:r>
      <w:r w:rsidRPr="0010306D" w:rsidR="0071689D">
        <w:t>5</w:t>
      </w:r>
      <w:r w:rsidRPr="0010306D" w:rsidR="000A63C4">
        <w:t xml:space="preserve"> FCC Rcd at 10202</w:t>
      </w:r>
      <w:r w:rsidRPr="0010306D" w:rsidR="00B94222">
        <w:t>,</w:t>
      </w:r>
      <w:r w:rsidRPr="0010306D" w:rsidR="000A63C4">
        <w:t xml:space="preserve"> para. 41.</w:t>
      </w:r>
    </w:p>
  </w:footnote>
  <w:footnote w:id="27">
    <w:p w:rsidR="00056E20" w:rsidRPr="0010306D" w:rsidP="00056E20" w14:paraId="2312E709" w14:textId="02C8CACA">
      <w:pPr>
        <w:pStyle w:val="FootnoteText"/>
      </w:pPr>
      <w:r w:rsidRPr="0010306D">
        <w:rPr>
          <w:rStyle w:val="FootnoteReference"/>
        </w:rPr>
        <w:footnoteRef/>
      </w:r>
      <w:r w:rsidRPr="0010306D">
        <w:t xml:space="preserve"> </w:t>
      </w:r>
      <w:r w:rsidRPr="0010306D" w:rsidR="00FC7212">
        <w:rPr>
          <w:i/>
          <w:iCs/>
        </w:rPr>
        <w:t>See supra</w:t>
      </w:r>
      <w:r w:rsidRPr="0010306D" w:rsidR="00FC7212">
        <w:t xml:space="preserve"> para. </w:t>
      </w:r>
      <w:r w:rsidRPr="0010306D" w:rsidR="00793F12">
        <w:t>5</w:t>
      </w:r>
      <w:r w:rsidRPr="0010306D" w:rsidR="00FC7212">
        <w:t xml:space="preserve">. </w:t>
      </w:r>
    </w:p>
  </w:footnote>
  <w:footnote w:id="28">
    <w:p w:rsidR="00AF486D" w:rsidP="00AF486D" w14:paraId="2E1E8103" w14:textId="6C1868A5">
      <w:pPr>
        <w:pStyle w:val="FootnoteText"/>
      </w:pPr>
      <w:r w:rsidRPr="0010306D">
        <w:rPr>
          <w:rStyle w:val="FootnoteReference"/>
        </w:rPr>
        <w:footnoteRef/>
      </w:r>
      <w:r w:rsidRPr="0010306D">
        <w:t xml:space="preserve"> </w:t>
      </w:r>
      <w:r w:rsidRPr="0010306D">
        <w:rPr>
          <w:i/>
          <w:iCs/>
        </w:rPr>
        <w:t xml:space="preserve">See supra </w:t>
      </w:r>
      <w:r w:rsidRPr="0010306D">
        <w:t xml:space="preserve">para. </w:t>
      </w:r>
      <w:r w:rsidRPr="0010306D" w:rsidR="00793F12">
        <w:t>8</w:t>
      </w:r>
      <w:r w:rsidRPr="0010306D">
        <w:t xml:space="preserve"> and note </w:t>
      </w:r>
      <w:r w:rsidRPr="0010306D" w:rsidR="0021482E">
        <w:t>1</w:t>
      </w:r>
      <w:r w:rsidRPr="0010306D" w:rsidR="00136200">
        <w:t>8</w:t>
      </w:r>
      <w:r w:rsidRPr="0010306D">
        <w:t xml:space="preserve"> (noti</w:t>
      </w:r>
      <w:r>
        <w:t xml:space="preserve">ng the statute of limitations has run on all but one of the late filings). </w:t>
      </w:r>
    </w:p>
  </w:footnote>
  <w:footnote w:id="29">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 NAL</w:t>
      </w:r>
      <w:r w:rsidR="00F75901">
        <w:t>, 3</w:t>
      </w:r>
      <w:r w:rsidR="003E7987">
        <w:t>5</w:t>
      </w:r>
      <w:r w:rsidR="00F75901">
        <w:t xml:space="preserve"> FCC Rcd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Rio Verde Wireless NAL</w:t>
      </w:r>
      <w:r w:rsidR="00F222AA">
        <w:t xml:space="preserve">, </w:t>
      </w:r>
      <w:r w:rsidRPr="00DC7A46" w:rsidR="00F222AA">
        <w:t xml:space="preserve">30 FCC Rcd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30">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1">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2">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3">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4">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5">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7" w:history="1">
        <w:r w:rsidRPr="00C81521" w:rsidR="00DB1C9A">
          <w:rPr>
            <w:rStyle w:val="Hyperlink"/>
          </w:rPr>
          <w:t>ARINQUIRIES@fcc.gov</w:t>
        </w:r>
      </w:hyperlink>
      <w:r w:rsidRPr="002E346D" w:rsidR="00DB1C9A">
        <w:t>.</w:t>
      </w:r>
      <w:r w:rsidR="00DB1C9A">
        <w:t xml:space="preserve"> </w:t>
      </w:r>
    </w:p>
  </w:footnote>
  <w:footnote w:id="36">
    <w:p w:rsidR="00111CC4" w:rsidP="002E346D" w14:paraId="5E2E1AB2" w14:textId="77777777">
      <w:pPr>
        <w:pStyle w:val="FootnoteText"/>
      </w:pPr>
      <w:r w:rsidRPr="002E346D">
        <w:rPr>
          <w:rStyle w:val="FootnoteReference"/>
        </w:rPr>
        <w:footnoteRef/>
      </w:r>
      <w:r w:rsidRPr="002E346D">
        <w:t xml:space="preserve"> Instructions for completing the form may be obtained at </w:t>
      </w:r>
      <w:hyperlink r:id="rId8" w:history="1">
        <w:r w:rsidRPr="00C81521">
          <w:rPr>
            <w:rStyle w:val="Hyperlink"/>
          </w:rPr>
          <w:t>http://www.fcc.gov/Forms/Form159/159.pdf</w:t>
        </w:r>
      </w:hyperlink>
      <w:r w:rsidRPr="002E346D">
        <w:t>.</w:t>
      </w:r>
      <w:r>
        <w:t xml:space="preserve"> </w:t>
      </w:r>
    </w:p>
  </w:footnote>
  <w:footnote w:id="37">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38">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39">
    <w:p w:rsidR="000D6D4E" w14:paraId="40350633" w14:textId="2BEAF959">
      <w:pPr>
        <w:pStyle w:val="FootnoteText"/>
      </w:pPr>
      <w:r>
        <w:rPr>
          <w:rStyle w:val="FootnoteReference"/>
        </w:rPr>
        <w:footnoteRef/>
      </w:r>
      <w:r>
        <w:t xml:space="preserve"> </w:t>
      </w:r>
      <w:r>
        <w:rPr>
          <w:i/>
          <w:iCs/>
        </w:rPr>
        <w:t>Adrian Abramovich</w:t>
      </w:r>
      <w:r>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65274371">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9D418A">
      <w:t>223</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2E6E1F" w14:paraId="598B5FF0" w14:textId="10C39152">
    <w:pPr>
      <w:pStyle w:val="Header"/>
      <w:pBdr>
        <w:bottom w:val="single" w:sz="12" w:space="1" w:color="auto"/>
      </w:pBdr>
      <w:jc w:val="center"/>
    </w:pPr>
    <w:r>
      <w:rPr>
        <w:b w:val="0"/>
        <w:bCs/>
      </w:rPr>
      <w:tab/>
    </w:r>
    <w:r w:rsidRPr="009321F5">
      <w:t>Federal Communications Commission</w:t>
    </w:r>
    <w:r w:rsidRPr="009321F5">
      <w:tab/>
      <w:t>DA 2</w:t>
    </w:r>
    <w:r>
      <w:t>1</w:t>
    </w:r>
    <w:r w:rsidRPr="009321F5">
      <w:t>-</w:t>
    </w:r>
    <w:r w:rsidR="009D418A">
      <w:t>223</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3FB6"/>
    <w:rsid w:val="0000649E"/>
    <w:rsid w:val="00007C86"/>
    <w:rsid w:val="00014A4C"/>
    <w:rsid w:val="00014D90"/>
    <w:rsid w:val="00015875"/>
    <w:rsid w:val="00015B93"/>
    <w:rsid w:val="00016BED"/>
    <w:rsid w:val="000240F3"/>
    <w:rsid w:val="00024110"/>
    <w:rsid w:val="0002502F"/>
    <w:rsid w:val="00025C67"/>
    <w:rsid w:val="00026F1B"/>
    <w:rsid w:val="00035520"/>
    <w:rsid w:val="00036527"/>
    <w:rsid w:val="00037293"/>
    <w:rsid w:val="00041AFA"/>
    <w:rsid w:val="00042172"/>
    <w:rsid w:val="000421B2"/>
    <w:rsid w:val="00042A85"/>
    <w:rsid w:val="000449D1"/>
    <w:rsid w:val="00045AFD"/>
    <w:rsid w:val="00046A5C"/>
    <w:rsid w:val="00050ECA"/>
    <w:rsid w:val="00056648"/>
    <w:rsid w:val="00056E20"/>
    <w:rsid w:val="00061283"/>
    <w:rsid w:val="00062D31"/>
    <w:rsid w:val="00065305"/>
    <w:rsid w:val="000661D3"/>
    <w:rsid w:val="000707E1"/>
    <w:rsid w:val="00070CC1"/>
    <w:rsid w:val="00083EE7"/>
    <w:rsid w:val="000862E0"/>
    <w:rsid w:val="00087AA5"/>
    <w:rsid w:val="00087C4C"/>
    <w:rsid w:val="000906FB"/>
    <w:rsid w:val="000918A5"/>
    <w:rsid w:val="00092E30"/>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B687C"/>
    <w:rsid w:val="000C146D"/>
    <w:rsid w:val="000C1DE3"/>
    <w:rsid w:val="000D627B"/>
    <w:rsid w:val="000D6511"/>
    <w:rsid w:val="000D6D4E"/>
    <w:rsid w:val="000D7FFC"/>
    <w:rsid w:val="000E3C2D"/>
    <w:rsid w:val="000E4A71"/>
    <w:rsid w:val="000E5CD5"/>
    <w:rsid w:val="000E5DEE"/>
    <w:rsid w:val="000F1E83"/>
    <w:rsid w:val="0010306D"/>
    <w:rsid w:val="00103B1B"/>
    <w:rsid w:val="00105FE4"/>
    <w:rsid w:val="001077CA"/>
    <w:rsid w:val="00110C6E"/>
    <w:rsid w:val="00111CC4"/>
    <w:rsid w:val="001143EB"/>
    <w:rsid w:val="00117633"/>
    <w:rsid w:val="00120706"/>
    <w:rsid w:val="00122A9B"/>
    <w:rsid w:val="001304CC"/>
    <w:rsid w:val="00135774"/>
    <w:rsid w:val="00136200"/>
    <w:rsid w:val="00136D9E"/>
    <w:rsid w:val="0014048A"/>
    <w:rsid w:val="00156216"/>
    <w:rsid w:val="0015625C"/>
    <w:rsid w:val="001621E7"/>
    <w:rsid w:val="0016613B"/>
    <w:rsid w:val="0017042D"/>
    <w:rsid w:val="0017296B"/>
    <w:rsid w:val="00173339"/>
    <w:rsid w:val="00176213"/>
    <w:rsid w:val="001813B2"/>
    <w:rsid w:val="00186427"/>
    <w:rsid w:val="001900C2"/>
    <w:rsid w:val="00190D2C"/>
    <w:rsid w:val="00190E6B"/>
    <w:rsid w:val="0019289F"/>
    <w:rsid w:val="001A2A0A"/>
    <w:rsid w:val="001A40B8"/>
    <w:rsid w:val="001B0260"/>
    <w:rsid w:val="001B0557"/>
    <w:rsid w:val="001B1EFC"/>
    <w:rsid w:val="001C350E"/>
    <w:rsid w:val="001C393E"/>
    <w:rsid w:val="001C4C56"/>
    <w:rsid w:val="001C5665"/>
    <w:rsid w:val="001D1DD3"/>
    <w:rsid w:val="001D405A"/>
    <w:rsid w:val="001D5067"/>
    <w:rsid w:val="001D643A"/>
    <w:rsid w:val="001E124C"/>
    <w:rsid w:val="001E1AD8"/>
    <w:rsid w:val="001E234B"/>
    <w:rsid w:val="001E554D"/>
    <w:rsid w:val="001E6FB8"/>
    <w:rsid w:val="001E7AB2"/>
    <w:rsid w:val="001F3236"/>
    <w:rsid w:val="001F456C"/>
    <w:rsid w:val="002020A4"/>
    <w:rsid w:val="0020343C"/>
    <w:rsid w:val="002040C2"/>
    <w:rsid w:val="00206295"/>
    <w:rsid w:val="002063AD"/>
    <w:rsid w:val="0021482E"/>
    <w:rsid w:val="002178B8"/>
    <w:rsid w:val="00221E8A"/>
    <w:rsid w:val="00224192"/>
    <w:rsid w:val="002245A6"/>
    <w:rsid w:val="00224F08"/>
    <w:rsid w:val="00225461"/>
    <w:rsid w:val="00236CD2"/>
    <w:rsid w:val="00237E78"/>
    <w:rsid w:val="00240774"/>
    <w:rsid w:val="00243F7F"/>
    <w:rsid w:val="00244869"/>
    <w:rsid w:val="002520EF"/>
    <w:rsid w:val="00253C21"/>
    <w:rsid w:val="00254775"/>
    <w:rsid w:val="0025616C"/>
    <w:rsid w:val="00257254"/>
    <w:rsid w:val="0026044E"/>
    <w:rsid w:val="002674B5"/>
    <w:rsid w:val="00271B12"/>
    <w:rsid w:val="00277C51"/>
    <w:rsid w:val="00285C78"/>
    <w:rsid w:val="00286961"/>
    <w:rsid w:val="00286F8E"/>
    <w:rsid w:val="002911E6"/>
    <w:rsid w:val="002940D4"/>
    <w:rsid w:val="00297420"/>
    <w:rsid w:val="00297EC6"/>
    <w:rsid w:val="002A055D"/>
    <w:rsid w:val="002A0FD9"/>
    <w:rsid w:val="002A23CF"/>
    <w:rsid w:val="002A381D"/>
    <w:rsid w:val="002A5E6C"/>
    <w:rsid w:val="002A60DD"/>
    <w:rsid w:val="002A69FA"/>
    <w:rsid w:val="002A6E30"/>
    <w:rsid w:val="002A7074"/>
    <w:rsid w:val="002B0568"/>
    <w:rsid w:val="002B23DC"/>
    <w:rsid w:val="002B34C7"/>
    <w:rsid w:val="002B3721"/>
    <w:rsid w:val="002C0220"/>
    <w:rsid w:val="002C2149"/>
    <w:rsid w:val="002C35E1"/>
    <w:rsid w:val="002C7904"/>
    <w:rsid w:val="002D15C1"/>
    <w:rsid w:val="002D1AE0"/>
    <w:rsid w:val="002D3A1E"/>
    <w:rsid w:val="002D4260"/>
    <w:rsid w:val="002E0A0E"/>
    <w:rsid w:val="002E346D"/>
    <w:rsid w:val="002E604E"/>
    <w:rsid w:val="002E6D8B"/>
    <w:rsid w:val="002E6E1F"/>
    <w:rsid w:val="002F07D6"/>
    <w:rsid w:val="002F0CB2"/>
    <w:rsid w:val="002F63D4"/>
    <w:rsid w:val="002F7B4E"/>
    <w:rsid w:val="00304113"/>
    <w:rsid w:val="00304CD4"/>
    <w:rsid w:val="0031279C"/>
    <w:rsid w:val="00313E0C"/>
    <w:rsid w:val="00315A94"/>
    <w:rsid w:val="00316C30"/>
    <w:rsid w:val="00317ED4"/>
    <w:rsid w:val="00321CE8"/>
    <w:rsid w:val="003240CD"/>
    <w:rsid w:val="0032445C"/>
    <w:rsid w:val="00324B67"/>
    <w:rsid w:val="00325532"/>
    <w:rsid w:val="0032722C"/>
    <w:rsid w:val="00331F78"/>
    <w:rsid w:val="0033331E"/>
    <w:rsid w:val="00334ADB"/>
    <w:rsid w:val="00334C79"/>
    <w:rsid w:val="00340054"/>
    <w:rsid w:val="003410B4"/>
    <w:rsid w:val="003436FD"/>
    <w:rsid w:val="00343CEE"/>
    <w:rsid w:val="00345448"/>
    <w:rsid w:val="00346BB1"/>
    <w:rsid w:val="00351EEF"/>
    <w:rsid w:val="003531D5"/>
    <w:rsid w:val="003537CA"/>
    <w:rsid w:val="00362600"/>
    <w:rsid w:val="00362E76"/>
    <w:rsid w:val="00365AC4"/>
    <w:rsid w:val="00366AB9"/>
    <w:rsid w:val="003679A0"/>
    <w:rsid w:val="003778E1"/>
    <w:rsid w:val="003826AB"/>
    <w:rsid w:val="00394314"/>
    <w:rsid w:val="0039521C"/>
    <w:rsid w:val="003A0B0B"/>
    <w:rsid w:val="003A0C52"/>
    <w:rsid w:val="003A3068"/>
    <w:rsid w:val="003A385A"/>
    <w:rsid w:val="003A4F5C"/>
    <w:rsid w:val="003A5216"/>
    <w:rsid w:val="003A7714"/>
    <w:rsid w:val="003A7B20"/>
    <w:rsid w:val="003B0EE1"/>
    <w:rsid w:val="003B3B21"/>
    <w:rsid w:val="003C0BD1"/>
    <w:rsid w:val="003C295B"/>
    <w:rsid w:val="003C3446"/>
    <w:rsid w:val="003C4620"/>
    <w:rsid w:val="003C496C"/>
    <w:rsid w:val="003C5D52"/>
    <w:rsid w:val="003D1741"/>
    <w:rsid w:val="003D2D77"/>
    <w:rsid w:val="003D4964"/>
    <w:rsid w:val="003E49F4"/>
    <w:rsid w:val="003E4EBC"/>
    <w:rsid w:val="003E7987"/>
    <w:rsid w:val="003E7EFF"/>
    <w:rsid w:val="003F65FB"/>
    <w:rsid w:val="0040402B"/>
    <w:rsid w:val="00404C59"/>
    <w:rsid w:val="00406F90"/>
    <w:rsid w:val="0040706E"/>
    <w:rsid w:val="00407E32"/>
    <w:rsid w:val="00410F4B"/>
    <w:rsid w:val="00417B79"/>
    <w:rsid w:val="004208DE"/>
    <w:rsid w:val="00424598"/>
    <w:rsid w:val="00425A5E"/>
    <w:rsid w:val="00425DE8"/>
    <w:rsid w:val="00426ED2"/>
    <w:rsid w:val="00440AFD"/>
    <w:rsid w:val="00441582"/>
    <w:rsid w:val="004433B6"/>
    <w:rsid w:val="0044418C"/>
    <w:rsid w:val="0044472A"/>
    <w:rsid w:val="00450D4F"/>
    <w:rsid w:val="004531CC"/>
    <w:rsid w:val="004546F6"/>
    <w:rsid w:val="00461AB3"/>
    <w:rsid w:val="00463429"/>
    <w:rsid w:val="0047161E"/>
    <w:rsid w:val="00472BE4"/>
    <w:rsid w:val="00475829"/>
    <w:rsid w:val="00480D56"/>
    <w:rsid w:val="0048746A"/>
    <w:rsid w:val="004A3DFE"/>
    <w:rsid w:val="004A69EA"/>
    <w:rsid w:val="004A7F2D"/>
    <w:rsid w:val="004B0CBB"/>
    <w:rsid w:val="004B5984"/>
    <w:rsid w:val="004B747D"/>
    <w:rsid w:val="004C29C4"/>
    <w:rsid w:val="004C30B7"/>
    <w:rsid w:val="004D1B59"/>
    <w:rsid w:val="004D25C7"/>
    <w:rsid w:val="004D5387"/>
    <w:rsid w:val="004E0870"/>
    <w:rsid w:val="004E2212"/>
    <w:rsid w:val="004E235F"/>
    <w:rsid w:val="004E2DB8"/>
    <w:rsid w:val="004E3821"/>
    <w:rsid w:val="004E4F60"/>
    <w:rsid w:val="004F1F7A"/>
    <w:rsid w:val="00511BC0"/>
    <w:rsid w:val="005120BA"/>
    <w:rsid w:val="0051255B"/>
    <w:rsid w:val="00517806"/>
    <w:rsid w:val="00520480"/>
    <w:rsid w:val="005213CE"/>
    <w:rsid w:val="0052161B"/>
    <w:rsid w:val="005236DF"/>
    <w:rsid w:val="0052499D"/>
    <w:rsid w:val="005262E8"/>
    <w:rsid w:val="00530567"/>
    <w:rsid w:val="0053092B"/>
    <w:rsid w:val="005316D8"/>
    <w:rsid w:val="00532267"/>
    <w:rsid w:val="00537C85"/>
    <w:rsid w:val="00542635"/>
    <w:rsid w:val="00543BA9"/>
    <w:rsid w:val="0055074A"/>
    <w:rsid w:val="005507DC"/>
    <w:rsid w:val="00556D79"/>
    <w:rsid w:val="00560C7B"/>
    <w:rsid w:val="00563D5E"/>
    <w:rsid w:val="00565BDF"/>
    <w:rsid w:val="00566FCD"/>
    <w:rsid w:val="00570683"/>
    <w:rsid w:val="005722BC"/>
    <w:rsid w:val="00573757"/>
    <w:rsid w:val="005747EE"/>
    <w:rsid w:val="005770E5"/>
    <w:rsid w:val="005774AC"/>
    <w:rsid w:val="00577C59"/>
    <w:rsid w:val="005816B9"/>
    <w:rsid w:val="00585220"/>
    <w:rsid w:val="00585480"/>
    <w:rsid w:val="00595A96"/>
    <w:rsid w:val="0059682F"/>
    <w:rsid w:val="005A1F36"/>
    <w:rsid w:val="005A2177"/>
    <w:rsid w:val="005A51FE"/>
    <w:rsid w:val="005A5F0B"/>
    <w:rsid w:val="005B062D"/>
    <w:rsid w:val="005B35C0"/>
    <w:rsid w:val="005B468E"/>
    <w:rsid w:val="005B7A84"/>
    <w:rsid w:val="005D0A7F"/>
    <w:rsid w:val="005D34F3"/>
    <w:rsid w:val="005D49B0"/>
    <w:rsid w:val="005E28D2"/>
    <w:rsid w:val="005E40FD"/>
    <w:rsid w:val="005E6E28"/>
    <w:rsid w:val="005F1F9D"/>
    <w:rsid w:val="005F2CA7"/>
    <w:rsid w:val="0060407A"/>
    <w:rsid w:val="0061357C"/>
    <w:rsid w:val="00615702"/>
    <w:rsid w:val="00615912"/>
    <w:rsid w:val="00615BF1"/>
    <w:rsid w:val="00620FD7"/>
    <w:rsid w:val="00623D32"/>
    <w:rsid w:val="006253C3"/>
    <w:rsid w:val="00625407"/>
    <w:rsid w:val="00626171"/>
    <w:rsid w:val="0062635F"/>
    <w:rsid w:val="00630FC3"/>
    <w:rsid w:val="0063539B"/>
    <w:rsid w:val="00637AD4"/>
    <w:rsid w:val="0064525D"/>
    <w:rsid w:val="00647595"/>
    <w:rsid w:val="00650216"/>
    <w:rsid w:val="00650F19"/>
    <w:rsid w:val="00653255"/>
    <w:rsid w:val="00653D1B"/>
    <w:rsid w:val="00660165"/>
    <w:rsid w:val="006635EC"/>
    <w:rsid w:val="00667BB2"/>
    <w:rsid w:val="00667CAC"/>
    <w:rsid w:val="00670EED"/>
    <w:rsid w:val="00674D9F"/>
    <w:rsid w:val="006764BA"/>
    <w:rsid w:val="00676839"/>
    <w:rsid w:val="006776A4"/>
    <w:rsid w:val="006802BA"/>
    <w:rsid w:val="00680A63"/>
    <w:rsid w:val="0068121B"/>
    <w:rsid w:val="006900A1"/>
    <w:rsid w:val="00693CD0"/>
    <w:rsid w:val="006947BF"/>
    <w:rsid w:val="006952A3"/>
    <w:rsid w:val="006A0C6E"/>
    <w:rsid w:val="006A3143"/>
    <w:rsid w:val="006A3789"/>
    <w:rsid w:val="006A538A"/>
    <w:rsid w:val="006A7AF6"/>
    <w:rsid w:val="006B6DCA"/>
    <w:rsid w:val="006C3872"/>
    <w:rsid w:val="006C41AC"/>
    <w:rsid w:val="006C4CBB"/>
    <w:rsid w:val="006C66B7"/>
    <w:rsid w:val="006D061A"/>
    <w:rsid w:val="006D4F5F"/>
    <w:rsid w:val="006D6E08"/>
    <w:rsid w:val="006E0077"/>
    <w:rsid w:val="006E30FB"/>
    <w:rsid w:val="006E38B2"/>
    <w:rsid w:val="006F0D61"/>
    <w:rsid w:val="006F2DAA"/>
    <w:rsid w:val="006F6D40"/>
    <w:rsid w:val="00704520"/>
    <w:rsid w:val="00710B31"/>
    <w:rsid w:val="007113B0"/>
    <w:rsid w:val="0071689D"/>
    <w:rsid w:val="007204AA"/>
    <w:rsid w:val="00721B65"/>
    <w:rsid w:val="00723CF2"/>
    <w:rsid w:val="00724650"/>
    <w:rsid w:val="00725233"/>
    <w:rsid w:val="00727185"/>
    <w:rsid w:val="00733F00"/>
    <w:rsid w:val="00734F87"/>
    <w:rsid w:val="00750307"/>
    <w:rsid w:val="007519F9"/>
    <w:rsid w:val="00752014"/>
    <w:rsid w:val="00757B60"/>
    <w:rsid w:val="00764199"/>
    <w:rsid w:val="00766AF8"/>
    <w:rsid w:val="007677B9"/>
    <w:rsid w:val="00770E6C"/>
    <w:rsid w:val="00772F63"/>
    <w:rsid w:val="007769B3"/>
    <w:rsid w:val="0077741D"/>
    <w:rsid w:val="00777560"/>
    <w:rsid w:val="007801DB"/>
    <w:rsid w:val="007839A1"/>
    <w:rsid w:val="00791B93"/>
    <w:rsid w:val="00793F12"/>
    <w:rsid w:val="00795F57"/>
    <w:rsid w:val="007A289B"/>
    <w:rsid w:val="007A4652"/>
    <w:rsid w:val="007A69FB"/>
    <w:rsid w:val="007B18DA"/>
    <w:rsid w:val="007B4335"/>
    <w:rsid w:val="007B58A9"/>
    <w:rsid w:val="007B6B47"/>
    <w:rsid w:val="007C2B72"/>
    <w:rsid w:val="007E55D5"/>
    <w:rsid w:val="007E7A5E"/>
    <w:rsid w:val="007F2C5E"/>
    <w:rsid w:val="00802CAC"/>
    <w:rsid w:val="008036D8"/>
    <w:rsid w:val="008053E5"/>
    <w:rsid w:val="00805E8E"/>
    <w:rsid w:val="0080755A"/>
    <w:rsid w:val="008140D9"/>
    <w:rsid w:val="00814CBD"/>
    <w:rsid w:val="00816687"/>
    <w:rsid w:val="00824FE7"/>
    <w:rsid w:val="008260FE"/>
    <w:rsid w:val="0083522E"/>
    <w:rsid w:val="00835277"/>
    <w:rsid w:val="00836192"/>
    <w:rsid w:val="00836400"/>
    <w:rsid w:val="00847F41"/>
    <w:rsid w:val="00855757"/>
    <w:rsid w:val="008559B8"/>
    <w:rsid w:val="00856095"/>
    <w:rsid w:val="00863F86"/>
    <w:rsid w:val="00875065"/>
    <w:rsid w:val="00881B10"/>
    <w:rsid w:val="00883B35"/>
    <w:rsid w:val="00884D0E"/>
    <w:rsid w:val="008911C1"/>
    <w:rsid w:val="00892770"/>
    <w:rsid w:val="00892CF6"/>
    <w:rsid w:val="00892D96"/>
    <w:rsid w:val="008956AD"/>
    <w:rsid w:val="00896653"/>
    <w:rsid w:val="008A22D3"/>
    <w:rsid w:val="008A369A"/>
    <w:rsid w:val="008A38CC"/>
    <w:rsid w:val="008A39C2"/>
    <w:rsid w:val="008B4259"/>
    <w:rsid w:val="008B4560"/>
    <w:rsid w:val="008B502F"/>
    <w:rsid w:val="008B6D46"/>
    <w:rsid w:val="008C1F57"/>
    <w:rsid w:val="008C3819"/>
    <w:rsid w:val="008C6B67"/>
    <w:rsid w:val="008C6FB4"/>
    <w:rsid w:val="008D299C"/>
    <w:rsid w:val="008D4928"/>
    <w:rsid w:val="008E2595"/>
    <w:rsid w:val="008E3063"/>
    <w:rsid w:val="008E33A9"/>
    <w:rsid w:val="008E59CE"/>
    <w:rsid w:val="008F01E0"/>
    <w:rsid w:val="00900075"/>
    <w:rsid w:val="0090024C"/>
    <w:rsid w:val="00900795"/>
    <w:rsid w:val="009023C5"/>
    <w:rsid w:val="00902FC0"/>
    <w:rsid w:val="00904BAA"/>
    <w:rsid w:val="00905926"/>
    <w:rsid w:val="00905A50"/>
    <w:rsid w:val="00907CB2"/>
    <w:rsid w:val="009151F0"/>
    <w:rsid w:val="00924639"/>
    <w:rsid w:val="0093066D"/>
    <w:rsid w:val="00931A54"/>
    <w:rsid w:val="009321F5"/>
    <w:rsid w:val="009323EA"/>
    <w:rsid w:val="00935034"/>
    <w:rsid w:val="0093692C"/>
    <w:rsid w:val="009369DB"/>
    <w:rsid w:val="0093798B"/>
    <w:rsid w:val="00937ECB"/>
    <w:rsid w:val="00945151"/>
    <w:rsid w:val="00945165"/>
    <w:rsid w:val="00945229"/>
    <w:rsid w:val="009504E8"/>
    <w:rsid w:val="009578B6"/>
    <w:rsid w:val="009606E7"/>
    <w:rsid w:val="00961E29"/>
    <w:rsid w:val="00963380"/>
    <w:rsid w:val="00970D7C"/>
    <w:rsid w:val="0097154F"/>
    <w:rsid w:val="00971A7E"/>
    <w:rsid w:val="0097730F"/>
    <w:rsid w:val="009803CA"/>
    <w:rsid w:val="00981C29"/>
    <w:rsid w:val="00982CAE"/>
    <w:rsid w:val="0098632C"/>
    <w:rsid w:val="0098797D"/>
    <w:rsid w:val="009904C0"/>
    <w:rsid w:val="00992506"/>
    <w:rsid w:val="00992970"/>
    <w:rsid w:val="00992EBD"/>
    <w:rsid w:val="00993567"/>
    <w:rsid w:val="00997F0C"/>
    <w:rsid w:val="009A1204"/>
    <w:rsid w:val="009A14B5"/>
    <w:rsid w:val="009A17C8"/>
    <w:rsid w:val="009A56C9"/>
    <w:rsid w:val="009A5B8B"/>
    <w:rsid w:val="009B0C8F"/>
    <w:rsid w:val="009B459E"/>
    <w:rsid w:val="009B5077"/>
    <w:rsid w:val="009B6202"/>
    <w:rsid w:val="009C3D21"/>
    <w:rsid w:val="009C4287"/>
    <w:rsid w:val="009C66FB"/>
    <w:rsid w:val="009D418A"/>
    <w:rsid w:val="009E177E"/>
    <w:rsid w:val="009F202F"/>
    <w:rsid w:val="009F2273"/>
    <w:rsid w:val="00A04089"/>
    <w:rsid w:val="00A040DD"/>
    <w:rsid w:val="00A07E3F"/>
    <w:rsid w:val="00A125CB"/>
    <w:rsid w:val="00A15098"/>
    <w:rsid w:val="00A200B5"/>
    <w:rsid w:val="00A216FF"/>
    <w:rsid w:val="00A234C0"/>
    <w:rsid w:val="00A2785D"/>
    <w:rsid w:val="00A300BA"/>
    <w:rsid w:val="00A30157"/>
    <w:rsid w:val="00A309C9"/>
    <w:rsid w:val="00A3483A"/>
    <w:rsid w:val="00A418C1"/>
    <w:rsid w:val="00A42105"/>
    <w:rsid w:val="00A44A4F"/>
    <w:rsid w:val="00A52BA8"/>
    <w:rsid w:val="00A55267"/>
    <w:rsid w:val="00A61C9A"/>
    <w:rsid w:val="00A7009F"/>
    <w:rsid w:val="00A70226"/>
    <w:rsid w:val="00A760FF"/>
    <w:rsid w:val="00A77E2B"/>
    <w:rsid w:val="00A80B8F"/>
    <w:rsid w:val="00A8147C"/>
    <w:rsid w:val="00A84221"/>
    <w:rsid w:val="00A851BF"/>
    <w:rsid w:val="00A87215"/>
    <w:rsid w:val="00A90148"/>
    <w:rsid w:val="00A90E3A"/>
    <w:rsid w:val="00A9131D"/>
    <w:rsid w:val="00A916C9"/>
    <w:rsid w:val="00A92BCA"/>
    <w:rsid w:val="00A94369"/>
    <w:rsid w:val="00AA1776"/>
    <w:rsid w:val="00AA3E53"/>
    <w:rsid w:val="00AB3E56"/>
    <w:rsid w:val="00AB6806"/>
    <w:rsid w:val="00AC35A6"/>
    <w:rsid w:val="00AC5AF5"/>
    <w:rsid w:val="00AD0726"/>
    <w:rsid w:val="00AD17CC"/>
    <w:rsid w:val="00AD2969"/>
    <w:rsid w:val="00AD2BE0"/>
    <w:rsid w:val="00AE353A"/>
    <w:rsid w:val="00AE3C54"/>
    <w:rsid w:val="00AE528A"/>
    <w:rsid w:val="00AE6406"/>
    <w:rsid w:val="00AE64DC"/>
    <w:rsid w:val="00AF05F1"/>
    <w:rsid w:val="00AF0869"/>
    <w:rsid w:val="00AF3358"/>
    <w:rsid w:val="00AF3C4E"/>
    <w:rsid w:val="00AF411A"/>
    <w:rsid w:val="00AF4267"/>
    <w:rsid w:val="00AF486D"/>
    <w:rsid w:val="00AF6125"/>
    <w:rsid w:val="00B016D2"/>
    <w:rsid w:val="00B10A6E"/>
    <w:rsid w:val="00B12783"/>
    <w:rsid w:val="00B12A90"/>
    <w:rsid w:val="00B146C2"/>
    <w:rsid w:val="00B1525B"/>
    <w:rsid w:val="00B16B4B"/>
    <w:rsid w:val="00B17683"/>
    <w:rsid w:val="00B22E0D"/>
    <w:rsid w:val="00B23169"/>
    <w:rsid w:val="00B24963"/>
    <w:rsid w:val="00B25EC3"/>
    <w:rsid w:val="00B31420"/>
    <w:rsid w:val="00B343BA"/>
    <w:rsid w:val="00B34AA2"/>
    <w:rsid w:val="00B34DB9"/>
    <w:rsid w:val="00B35E69"/>
    <w:rsid w:val="00B447CA"/>
    <w:rsid w:val="00B44EFC"/>
    <w:rsid w:val="00B50FEA"/>
    <w:rsid w:val="00B524C0"/>
    <w:rsid w:val="00B53E2F"/>
    <w:rsid w:val="00B554E9"/>
    <w:rsid w:val="00B5637C"/>
    <w:rsid w:val="00B61B52"/>
    <w:rsid w:val="00B64790"/>
    <w:rsid w:val="00B65D09"/>
    <w:rsid w:val="00B67207"/>
    <w:rsid w:val="00B71942"/>
    <w:rsid w:val="00B74BCB"/>
    <w:rsid w:val="00B83D6C"/>
    <w:rsid w:val="00B83EF3"/>
    <w:rsid w:val="00B8432F"/>
    <w:rsid w:val="00B906E9"/>
    <w:rsid w:val="00B92945"/>
    <w:rsid w:val="00B93EAF"/>
    <w:rsid w:val="00B94222"/>
    <w:rsid w:val="00BA0EF2"/>
    <w:rsid w:val="00BA3F91"/>
    <w:rsid w:val="00BA6267"/>
    <w:rsid w:val="00BA6852"/>
    <w:rsid w:val="00BA7060"/>
    <w:rsid w:val="00BA735D"/>
    <w:rsid w:val="00BB1379"/>
    <w:rsid w:val="00BB22DA"/>
    <w:rsid w:val="00BB2EA4"/>
    <w:rsid w:val="00BB39D6"/>
    <w:rsid w:val="00BB747F"/>
    <w:rsid w:val="00BB7576"/>
    <w:rsid w:val="00BC5A32"/>
    <w:rsid w:val="00BC5D01"/>
    <w:rsid w:val="00BC6425"/>
    <w:rsid w:val="00BD3FD3"/>
    <w:rsid w:val="00BD55E0"/>
    <w:rsid w:val="00BE0E63"/>
    <w:rsid w:val="00BE4047"/>
    <w:rsid w:val="00BF4616"/>
    <w:rsid w:val="00BF61DE"/>
    <w:rsid w:val="00C03543"/>
    <w:rsid w:val="00C070F8"/>
    <w:rsid w:val="00C16865"/>
    <w:rsid w:val="00C201E3"/>
    <w:rsid w:val="00C20E85"/>
    <w:rsid w:val="00C24B0B"/>
    <w:rsid w:val="00C27544"/>
    <w:rsid w:val="00C30526"/>
    <w:rsid w:val="00C338C6"/>
    <w:rsid w:val="00C367AB"/>
    <w:rsid w:val="00C37472"/>
    <w:rsid w:val="00C378B6"/>
    <w:rsid w:val="00C37E21"/>
    <w:rsid w:val="00C40FBC"/>
    <w:rsid w:val="00C415F0"/>
    <w:rsid w:val="00C43E09"/>
    <w:rsid w:val="00C4513B"/>
    <w:rsid w:val="00C45275"/>
    <w:rsid w:val="00C5006E"/>
    <w:rsid w:val="00C506A7"/>
    <w:rsid w:val="00C50D5D"/>
    <w:rsid w:val="00C57163"/>
    <w:rsid w:val="00C600BC"/>
    <w:rsid w:val="00C60376"/>
    <w:rsid w:val="00C60568"/>
    <w:rsid w:val="00C664DB"/>
    <w:rsid w:val="00C677E7"/>
    <w:rsid w:val="00C71587"/>
    <w:rsid w:val="00C7181C"/>
    <w:rsid w:val="00C71B0F"/>
    <w:rsid w:val="00C728A0"/>
    <w:rsid w:val="00C757E2"/>
    <w:rsid w:val="00C75C9E"/>
    <w:rsid w:val="00C7656D"/>
    <w:rsid w:val="00C769D2"/>
    <w:rsid w:val="00C80E3B"/>
    <w:rsid w:val="00C81521"/>
    <w:rsid w:val="00C912C4"/>
    <w:rsid w:val="00C94EDA"/>
    <w:rsid w:val="00C95612"/>
    <w:rsid w:val="00C95A4C"/>
    <w:rsid w:val="00C97E2B"/>
    <w:rsid w:val="00CA07CC"/>
    <w:rsid w:val="00CA5A43"/>
    <w:rsid w:val="00CB3739"/>
    <w:rsid w:val="00CB7DE1"/>
    <w:rsid w:val="00CC37B4"/>
    <w:rsid w:val="00CD1127"/>
    <w:rsid w:val="00CD39A8"/>
    <w:rsid w:val="00CD4527"/>
    <w:rsid w:val="00CE0E12"/>
    <w:rsid w:val="00CE11F3"/>
    <w:rsid w:val="00CE1DDF"/>
    <w:rsid w:val="00CE3151"/>
    <w:rsid w:val="00CE6411"/>
    <w:rsid w:val="00CF2CD6"/>
    <w:rsid w:val="00D00183"/>
    <w:rsid w:val="00D02968"/>
    <w:rsid w:val="00D0401D"/>
    <w:rsid w:val="00D04CE4"/>
    <w:rsid w:val="00D063BD"/>
    <w:rsid w:val="00D06EFF"/>
    <w:rsid w:val="00D07C42"/>
    <w:rsid w:val="00D07DF1"/>
    <w:rsid w:val="00D11B04"/>
    <w:rsid w:val="00D12B43"/>
    <w:rsid w:val="00D16218"/>
    <w:rsid w:val="00D23ED2"/>
    <w:rsid w:val="00D414D6"/>
    <w:rsid w:val="00D435C4"/>
    <w:rsid w:val="00D45C33"/>
    <w:rsid w:val="00D45FA4"/>
    <w:rsid w:val="00D53D6A"/>
    <w:rsid w:val="00D6205B"/>
    <w:rsid w:val="00D63C90"/>
    <w:rsid w:val="00D641D3"/>
    <w:rsid w:val="00D65761"/>
    <w:rsid w:val="00D72204"/>
    <w:rsid w:val="00D76818"/>
    <w:rsid w:val="00D77ED9"/>
    <w:rsid w:val="00D85A2F"/>
    <w:rsid w:val="00D86160"/>
    <w:rsid w:val="00D873BE"/>
    <w:rsid w:val="00D87562"/>
    <w:rsid w:val="00D91726"/>
    <w:rsid w:val="00D95D83"/>
    <w:rsid w:val="00DA0C93"/>
    <w:rsid w:val="00DA10AB"/>
    <w:rsid w:val="00DA25DA"/>
    <w:rsid w:val="00DA49ED"/>
    <w:rsid w:val="00DB0870"/>
    <w:rsid w:val="00DB089F"/>
    <w:rsid w:val="00DB1C9A"/>
    <w:rsid w:val="00DB6076"/>
    <w:rsid w:val="00DC01C7"/>
    <w:rsid w:val="00DC01D7"/>
    <w:rsid w:val="00DC12E2"/>
    <w:rsid w:val="00DC25AC"/>
    <w:rsid w:val="00DC2A2C"/>
    <w:rsid w:val="00DC35C0"/>
    <w:rsid w:val="00DC7A46"/>
    <w:rsid w:val="00DD3761"/>
    <w:rsid w:val="00DE23E6"/>
    <w:rsid w:val="00DE3247"/>
    <w:rsid w:val="00DE377F"/>
    <w:rsid w:val="00DE57B1"/>
    <w:rsid w:val="00DE61E7"/>
    <w:rsid w:val="00DE7BE8"/>
    <w:rsid w:val="00DF1417"/>
    <w:rsid w:val="00DF6670"/>
    <w:rsid w:val="00E00835"/>
    <w:rsid w:val="00E0269B"/>
    <w:rsid w:val="00E02C67"/>
    <w:rsid w:val="00E03F3E"/>
    <w:rsid w:val="00E05C1C"/>
    <w:rsid w:val="00E063ED"/>
    <w:rsid w:val="00E200CD"/>
    <w:rsid w:val="00E2676C"/>
    <w:rsid w:val="00E32BEC"/>
    <w:rsid w:val="00E46D03"/>
    <w:rsid w:val="00E5274C"/>
    <w:rsid w:val="00E5445F"/>
    <w:rsid w:val="00E559A5"/>
    <w:rsid w:val="00E616C4"/>
    <w:rsid w:val="00E6333B"/>
    <w:rsid w:val="00E67563"/>
    <w:rsid w:val="00E75137"/>
    <w:rsid w:val="00E772E2"/>
    <w:rsid w:val="00E801CA"/>
    <w:rsid w:val="00E81D86"/>
    <w:rsid w:val="00E82820"/>
    <w:rsid w:val="00E84D16"/>
    <w:rsid w:val="00E854AD"/>
    <w:rsid w:val="00E85DAC"/>
    <w:rsid w:val="00E86BB3"/>
    <w:rsid w:val="00E9169F"/>
    <w:rsid w:val="00E93705"/>
    <w:rsid w:val="00E963DB"/>
    <w:rsid w:val="00E96609"/>
    <w:rsid w:val="00EA28C2"/>
    <w:rsid w:val="00EA426F"/>
    <w:rsid w:val="00EA45A8"/>
    <w:rsid w:val="00EA5162"/>
    <w:rsid w:val="00EB3AAA"/>
    <w:rsid w:val="00EB53F5"/>
    <w:rsid w:val="00EB630A"/>
    <w:rsid w:val="00EC0147"/>
    <w:rsid w:val="00EC2A2C"/>
    <w:rsid w:val="00EC46E7"/>
    <w:rsid w:val="00EC7B44"/>
    <w:rsid w:val="00ED2287"/>
    <w:rsid w:val="00ED39AE"/>
    <w:rsid w:val="00EE0F0F"/>
    <w:rsid w:val="00EE2940"/>
    <w:rsid w:val="00EE4C46"/>
    <w:rsid w:val="00EE5BEF"/>
    <w:rsid w:val="00EE6BAA"/>
    <w:rsid w:val="00EF1D02"/>
    <w:rsid w:val="00EF2D09"/>
    <w:rsid w:val="00EF47B4"/>
    <w:rsid w:val="00EF7E27"/>
    <w:rsid w:val="00F00407"/>
    <w:rsid w:val="00F03BF2"/>
    <w:rsid w:val="00F06398"/>
    <w:rsid w:val="00F130D7"/>
    <w:rsid w:val="00F14821"/>
    <w:rsid w:val="00F15F4C"/>
    <w:rsid w:val="00F21CA2"/>
    <w:rsid w:val="00F222AA"/>
    <w:rsid w:val="00F25061"/>
    <w:rsid w:val="00F2558C"/>
    <w:rsid w:val="00F26219"/>
    <w:rsid w:val="00F2762B"/>
    <w:rsid w:val="00F30E78"/>
    <w:rsid w:val="00F3315B"/>
    <w:rsid w:val="00F345BC"/>
    <w:rsid w:val="00F37A2E"/>
    <w:rsid w:val="00F45670"/>
    <w:rsid w:val="00F4598B"/>
    <w:rsid w:val="00F513CA"/>
    <w:rsid w:val="00F514E9"/>
    <w:rsid w:val="00F527F4"/>
    <w:rsid w:val="00F55566"/>
    <w:rsid w:val="00F56DE8"/>
    <w:rsid w:val="00F617EC"/>
    <w:rsid w:val="00F63DAB"/>
    <w:rsid w:val="00F649C8"/>
    <w:rsid w:val="00F65830"/>
    <w:rsid w:val="00F74B71"/>
    <w:rsid w:val="00F75496"/>
    <w:rsid w:val="00F75901"/>
    <w:rsid w:val="00F77790"/>
    <w:rsid w:val="00F77E61"/>
    <w:rsid w:val="00F804C4"/>
    <w:rsid w:val="00F816D0"/>
    <w:rsid w:val="00F836EF"/>
    <w:rsid w:val="00F93ADE"/>
    <w:rsid w:val="00F93EC0"/>
    <w:rsid w:val="00F93F35"/>
    <w:rsid w:val="00F978D7"/>
    <w:rsid w:val="00FA0370"/>
    <w:rsid w:val="00FA090A"/>
    <w:rsid w:val="00FA35F2"/>
    <w:rsid w:val="00FA368D"/>
    <w:rsid w:val="00FA6B8E"/>
    <w:rsid w:val="00FA7481"/>
    <w:rsid w:val="00FB1BA5"/>
    <w:rsid w:val="00FB5A39"/>
    <w:rsid w:val="00FB5AF3"/>
    <w:rsid w:val="00FB5F79"/>
    <w:rsid w:val="00FB67A5"/>
    <w:rsid w:val="00FC0C14"/>
    <w:rsid w:val="00FC154A"/>
    <w:rsid w:val="00FC2E56"/>
    <w:rsid w:val="00FC7212"/>
    <w:rsid w:val="00FC7C79"/>
    <w:rsid w:val="00FD275F"/>
    <w:rsid w:val="00FD3BAC"/>
    <w:rsid w:val="00FD41B3"/>
    <w:rsid w:val="00FD4A1B"/>
    <w:rsid w:val="00FD4C7E"/>
    <w:rsid w:val="00FD541D"/>
    <w:rsid w:val="00FE0242"/>
    <w:rsid w:val="00FE04EB"/>
    <w:rsid w:val="00FE1859"/>
    <w:rsid w:val="00FE2DC0"/>
    <w:rsid w:val="00FE2E65"/>
    <w:rsid w:val="00FE480C"/>
    <w:rsid w:val="00FE61AE"/>
    <w:rsid w:val="00FE7464"/>
    <w:rsid w:val="00FF2E02"/>
    <w:rsid w:val="00FF3519"/>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E2"/>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C757E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757E2"/>
    <w:pPr>
      <w:keepNext/>
      <w:numPr>
        <w:ilvl w:val="1"/>
        <w:numId w:val="6"/>
      </w:numPr>
      <w:spacing w:after="120"/>
      <w:outlineLvl w:val="1"/>
    </w:pPr>
    <w:rPr>
      <w:b/>
    </w:rPr>
  </w:style>
  <w:style w:type="paragraph" w:styleId="Heading3">
    <w:name w:val="heading 3"/>
    <w:basedOn w:val="Normal"/>
    <w:next w:val="ParaNum"/>
    <w:link w:val="Heading3Char"/>
    <w:qFormat/>
    <w:rsid w:val="00C757E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C757E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C757E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C757E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C757E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C757E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757E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57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7E2"/>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757E2"/>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C757E2"/>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C757E2"/>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C757E2"/>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C757E2"/>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C757E2"/>
    <w:pPr>
      <w:tabs>
        <w:tab w:val="center" w:pos="4320"/>
        <w:tab w:val="right" w:pos="8640"/>
      </w:tabs>
    </w:pPr>
  </w:style>
  <w:style w:type="character" w:customStyle="1" w:styleId="FooterChar">
    <w:name w:val="Footer Char"/>
    <w:link w:val="Footer"/>
    <w:uiPriority w:val="99"/>
    <w:locked/>
    <w:rsid w:val="00C757E2"/>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C757E2"/>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C757E2"/>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C757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57E2"/>
    <w:pPr>
      <w:tabs>
        <w:tab w:val="left" w:pos="720"/>
        <w:tab w:val="right" w:leader="dot" w:pos="9360"/>
      </w:tabs>
      <w:suppressAutoHyphens/>
      <w:ind w:left="720" w:right="720" w:hanging="360"/>
    </w:pPr>
    <w:rPr>
      <w:noProof/>
    </w:rPr>
  </w:style>
  <w:style w:type="paragraph" w:styleId="TOC3">
    <w:name w:val="toc 3"/>
    <w:basedOn w:val="Normal"/>
    <w:next w:val="Normal"/>
    <w:semiHidden/>
    <w:rsid w:val="00C757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57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57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57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57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57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57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57E2"/>
    <w:pPr>
      <w:tabs>
        <w:tab w:val="right" w:pos="9360"/>
      </w:tabs>
      <w:suppressAutoHyphens/>
    </w:pPr>
  </w:style>
  <w:style w:type="character" w:customStyle="1" w:styleId="EquationCaption">
    <w:name w:val="_Equation Caption"/>
    <w:rsid w:val="00C757E2"/>
  </w:style>
  <w:style w:type="character" w:styleId="PageNumber">
    <w:name w:val="page number"/>
    <w:basedOn w:val="DefaultParagraphFont"/>
    <w:rsid w:val="00C757E2"/>
  </w:style>
  <w:style w:type="paragraph" w:styleId="BlockText">
    <w:name w:val="Block Text"/>
    <w:basedOn w:val="Normal"/>
    <w:rsid w:val="00C757E2"/>
    <w:pPr>
      <w:spacing w:after="240"/>
      <w:ind w:left="1440" w:right="1440"/>
    </w:pPr>
  </w:style>
  <w:style w:type="paragraph" w:customStyle="1" w:styleId="Paratitle">
    <w:name w:val="Para title"/>
    <w:basedOn w:val="Normal"/>
    <w:rsid w:val="00C757E2"/>
    <w:pPr>
      <w:tabs>
        <w:tab w:val="center" w:pos="9270"/>
      </w:tabs>
      <w:spacing w:after="240"/>
    </w:pPr>
    <w:rPr>
      <w:spacing w:val="-2"/>
    </w:rPr>
  </w:style>
  <w:style w:type="paragraph" w:customStyle="1" w:styleId="Bullet">
    <w:name w:val="Bullet"/>
    <w:basedOn w:val="Normal"/>
    <w:rsid w:val="00C757E2"/>
    <w:pPr>
      <w:tabs>
        <w:tab w:val="left" w:pos="2160"/>
      </w:tabs>
      <w:spacing w:after="220"/>
      <w:ind w:left="2160" w:hanging="720"/>
    </w:pPr>
  </w:style>
  <w:style w:type="paragraph" w:customStyle="1" w:styleId="TableFormat">
    <w:name w:val="TableFormat"/>
    <w:basedOn w:val="Bullet"/>
    <w:rsid w:val="00C757E2"/>
    <w:pPr>
      <w:tabs>
        <w:tab w:val="clear" w:pos="2160"/>
        <w:tab w:val="left" w:pos="5040"/>
      </w:tabs>
      <w:ind w:left="5040" w:hanging="3600"/>
    </w:pPr>
  </w:style>
  <w:style w:type="paragraph" w:customStyle="1" w:styleId="TOCTitle">
    <w:name w:val="TOC Title"/>
    <w:basedOn w:val="Normal"/>
    <w:rsid w:val="00C757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57E2"/>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www.midwaynet.net/about-us/" TargetMode="External" /><Relationship Id="rId3" Type="http://schemas.openxmlformats.org/officeDocument/2006/relationships/hyperlink" Target="https://wireless2.fcc.gov/UlsApp/UlsSearch/license.jsp?licKey=4114148" TargetMode="External" /><Relationship Id="rId4" Type="http://schemas.openxmlformats.org/officeDocument/2006/relationships/hyperlink" Target="https://wireless2.fcc.gov/UlsApp/UlsSearch/license.jsp?licKey=4112993" TargetMode="External" /><Relationship Id="rId5" Type="http://schemas.openxmlformats.org/officeDocument/2006/relationships/hyperlink" Target="https://wireless2.fcc.gov/UlsApp/UlsSearch/license.jsp?licKey=4114147" TargetMode="External" /><Relationship Id="rId6" Type="http://schemas.openxmlformats.org/officeDocument/2006/relationships/hyperlink" Target="https://www.fcc.gov/wireless/systems-utilities/universal-licensing-system" TargetMode="External" /><Relationship Id="rId7" Type="http://schemas.openxmlformats.org/officeDocument/2006/relationships/hyperlink" Target="mailto:ARINQUIRIES@fcc.gov" TargetMode="External" /><Relationship Id="rId8"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