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!-- Generated by Aspose.Words for Java 20.10.0 -->
  <w:body>
    <w:p w:rsidR="00013A8B" w:rsidRPr="000A7F3D" w:rsidP="00916B39" w14:paraId="7834DE1C" w14:textId="152EB9F4">
      <w:pPr>
        <w:jc w:val="right"/>
        <w:rPr>
          <w:b/>
          <w:sz w:val="24"/>
        </w:rPr>
      </w:pPr>
      <w:r w:rsidRPr="000A7F3D">
        <w:rPr>
          <w:b/>
          <w:sz w:val="24"/>
        </w:rPr>
        <w:t>DA 21-</w:t>
      </w:r>
      <w:r w:rsidR="00D8447E">
        <w:rPr>
          <w:b/>
          <w:sz w:val="24"/>
        </w:rPr>
        <w:t>230</w:t>
      </w:r>
    </w:p>
    <w:p w:rsidR="00013A8B" w:rsidRPr="000A7F3D" w:rsidP="00916B39" w14:paraId="1F39E065" w14:textId="1C14DB33">
      <w:pPr>
        <w:jc w:val="right"/>
        <w:rPr>
          <w:b/>
          <w:sz w:val="24"/>
        </w:rPr>
      </w:pPr>
      <w:r w:rsidRPr="000A7F3D">
        <w:rPr>
          <w:b/>
          <w:sz w:val="24"/>
        </w:rPr>
        <w:t xml:space="preserve">Released:  </w:t>
      </w:r>
      <w:r w:rsidRPr="000A7F3D" w:rsidR="009E7DE7">
        <w:rPr>
          <w:b/>
          <w:sz w:val="24"/>
        </w:rPr>
        <w:t xml:space="preserve">February </w:t>
      </w:r>
      <w:r w:rsidR="00D8447E">
        <w:rPr>
          <w:b/>
          <w:sz w:val="24"/>
        </w:rPr>
        <w:t>25</w:t>
      </w:r>
      <w:r w:rsidRPr="000A7F3D" w:rsidR="009E7DE7">
        <w:rPr>
          <w:b/>
          <w:sz w:val="24"/>
        </w:rPr>
        <w:t>, 2021</w:t>
      </w:r>
    </w:p>
    <w:p w:rsidR="00013A8B" w:rsidRPr="000A7F3D" w:rsidP="00013A8B" w14:paraId="0A623EDD" w14:textId="77777777">
      <w:pPr>
        <w:jc w:val="right"/>
        <w:rPr>
          <w:sz w:val="24"/>
        </w:rPr>
      </w:pPr>
    </w:p>
    <w:p w:rsidR="00916B39" w:rsidP="009E7DE7" w14:paraId="2C4A73A4" w14:textId="77777777">
      <w:pPr>
        <w:jc w:val="center"/>
        <w:rPr>
          <w:b/>
          <w:sz w:val="24"/>
        </w:rPr>
      </w:pPr>
    </w:p>
    <w:p w:rsidR="00916B39" w:rsidP="009E7DE7" w14:paraId="4527C903" w14:textId="0D4BB424">
      <w:pPr>
        <w:jc w:val="center"/>
        <w:rPr>
          <w:b/>
          <w:sz w:val="24"/>
        </w:rPr>
      </w:pPr>
      <w:r w:rsidRPr="000A7F3D">
        <w:rPr>
          <w:b/>
          <w:sz w:val="24"/>
        </w:rPr>
        <w:t xml:space="preserve">REMINDER REGARDING REQUIREMENT </w:t>
      </w:r>
      <w:r w:rsidRPr="000A7F3D" w:rsidR="00387506">
        <w:rPr>
          <w:b/>
          <w:sz w:val="24"/>
        </w:rPr>
        <w:t xml:space="preserve">TO </w:t>
      </w:r>
      <w:r w:rsidRPr="000A7F3D">
        <w:rPr>
          <w:b/>
          <w:sz w:val="24"/>
        </w:rPr>
        <w:t xml:space="preserve">REPORT OWNERSHIP </w:t>
      </w:r>
    </w:p>
    <w:p w:rsidR="009E7DE7" w:rsidP="00916B39" w14:paraId="11DA2D74" w14:textId="3DF62705">
      <w:pPr>
        <w:jc w:val="center"/>
        <w:rPr>
          <w:b/>
          <w:sz w:val="24"/>
        </w:rPr>
      </w:pPr>
      <w:r w:rsidRPr="000A7F3D">
        <w:rPr>
          <w:b/>
          <w:sz w:val="24"/>
        </w:rPr>
        <w:t xml:space="preserve">CHANGES IN THE ANTENNA STRUCTURE REGISTRATION SYSTEM </w:t>
      </w:r>
    </w:p>
    <w:p w:rsidR="00916B39" w:rsidRPr="00916B39" w:rsidP="00916B39" w14:paraId="2743B945" w14:textId="77777777">
      <w:pPr>
        <w:jc w:val="center"/>
        <w:rPr>
          <w:b/>
          <w:sz w:val="24"/>
        </w:rPr>
      </w:pPr>
    </w:p>
    <w:p w:rsidR="00916B39" w:rsidP="009E7DE7" w14:paraId="39C31D66" w14:textId="77777777"/>
    <w:p w:rsidR="00B77040" w:rsidRPr="000A7F3D" w:rsidP="009E7DE7" w14:paraId="572125A7" w14:textId="6C27465C">
      <w:r>
        <w:t>T</w:t>
      </w:r>
      <w:r w:rsidRPr="000A7F3D" w:rsidR="00CC544D">
        <w:t xml:space="preserve">his Public Notice serves as a reminder that all parties to transfers of ownership of registered wireless communications towers must comply with the process set forth by the Wireless Telecommunications Bureau </w:t>
      </w:r>
      <w:r w:rsidRPr="000A7F3D">
        <w:t xml:space="preserve">(Bureau) </w:t>
      </w:r>
      <w:r w:rsidRPr="000A7F3D" w:rsidR="00CC544D">
        <w:t>in a prior Public Notice.</w:t>
      </w:r>
      <w:r w:rsidRPr="000A7F3D">
        <w:t xml:space="preserve">  This reminder is necessary because of inconsistent compliance with </w:t>
      </w:r>
      <w:r w:rsidRPr="000A7F3D" w:rsidR="00A505B0">
        <w:t>this</w:t>
      </w:r>
      <w:r w:rsidRPr="000A7F3D">
        <w:t xml:space="preserve"> process</w:t>
      </w:r>
      <w:r w:rsidRPr="000A7F3D" w:rsidR="00A505B0">
        <w:t xml:space="preserve">, and it reflects the </w:t>
      </w:r>
      <w:r w:rsidRPr="000A7F3D">
        <w:t xml:space="preserve">importance of </w:t>
      </w:r>
      <w:r w:rsidRPr="000A7F3D" w:rsidR="00A505B0">
        <w:t>maintaining accurate records</w:t>
      </w:r>
      <w:r w:rsidRPr="000A7F3D" w:rsidR="00735316">
        <w:t xml:space="preserve"> in the FCC’s Antenna Structure Registration (ASR) System, which functions to protect aircraft navigation safety.</w:t>
      </w:r>
      <w:r w:rsidRPr="000A7F3D" w:rsidR="00A505B0">
        <w:t xml:space="preserve"> </w:t>
      </w:r>
      <w:r w:rsidRPr="000A7F3D">
        <w:t xml:space="preserve"> </w:t>
      </w:r>
      <w:r w:rsidRPr="000A7F3D" w:rsidR="00CC544D">
        <w:t xml:space="preserve">  </w:t>
      </w:r>
    </w:p>
    <w:p w:rsidR="00B77040" w:rsidRPr="000A7F3D" w:rsidP="009E7DE7" w14:paraId="13265DA7" w14:textId="77777777"/>
    <w:p w:rsidR="009E7DE7" w:rsidRPr="000A7F3D" w:rsidP="009E7DE7" w14:paraId="7A0E6420" w14:textId="157D9007">
      <w:r w:rsidRPr="000A7F3D">
        <w:t xml:space="preserve">On February 11, 2019, the </w:t>
      </w:r>
      <w:r w:rsidRPr="000A7F3D" w:rsidR="00263444">
        <w:t xml:space="preserve">Bureau </w:t>
      </w:r>
      <w:r w:rsidRPr="000A7F3D">
        <w:t xml:space="preserve">issued a Public Notice announcing that </w:t>
      </w:r>
      <w:r w:rsidRPr="000A7F3D" w:rsidR="00B90A7B">
        <w:t xml:space="preserve">the Commission </w:t>
      </w:r>
      <w:r w:rsidRPr="000A7F3D">
        <w:t xml:space="preserve">was revising </w:t>
      </w:r>
      <w:r w:rsidRPr="000A7F3D" w:rsidR="00B90A7B">
        <w:t xml:space="preserve">its </w:t>
      </w:r>
      <w:bookmarkStart w:id="0" w:name="_Hlk64323131"/>
      <w:r w:rsidRPr="000A7F3D" w:rsidR="00735316">
        <w:t>ASR</w:t>
      </w:r>
      <w:r w:rsidRPr="000A7F3D">
        <w:t xml:space="preserve"> System </w:t>
      </w:r>
      <w:bookmarkEnd w:id="0"/>
      <w:r w:rsidRPr="000A7F3D">
        <w:t>to put into place a new process for reporting changes in ownership of towers and other structures registered in the system.</w:t>
      </w:r>
      <w:r>
        <w:rPr>
          <w:rStyle w:val="FootnoteReference"/>
        </w:rPr>
        <w:footnoteReference w:id="3"/>
      </w:r>
      <w:r w:rsidRPr="000A7F3D">
        <w:rPr>
          <w:szCs w:val="22"/>
        </w:rPr>
        <w:t xml:space="preserve">  </w:t>
      </w:r>
      <w:r w:rsidRPr="000A7F3D">
        <w:t>Related changes were made to FCC Form 854, Antenna Structure Registration, and the Commission’s ASR website on the same date</w:t>
      </w:r>
      <w:r w:rsidRPr="000A7F3D">
        <w:rPr>
          <w:szCs w:val="22"/>
        </w:rPr>
        <w:t xml:space="preserve">.  </w:t>
      </w:r>
    </w:p>
    <w:p w:rsidR="009E7DE7" w:rsidRPr="000A7F3D" w:rsidP="009E7DE7" w14:paraId="1524072E" w14:textId="77777777"/>
    <w:p w:rsidR="009E7DE7" w:rsidRPr="000A7F3D" w:rsidP="009E7DE7" w14:paraId="43F53BD0" w14:textId="6854B6F1">
      <w:r w:rsidRPr="000A7F3D">
        <w:t xml:space="preserve">The </w:t>
      </w:r>
      <w:r w:rsidRPr="000A7F3D" w:rsidR="00EA4263">
        <w:t>o</w:t>
      </w:r>
      <w:r w:rsidRPr="000A7F3D">
        <w:t xml:space="preserve">wnership </w:t>
      </w:r>
      <w:r w:rsidRPr="000A7F3D" w:rsidR="00EA4263">
        <w:t>c</w:t>
      </w:r>
      <w:r w:rsidRPr="000A7F3D">
        <w:t xml:space="preserve">hange application procedure is a two-step process that requires both the assignor (current owner of record) and the assignee (new owner of record) to </w:t>
      </w:r>
      <w:r w:rsidRPr="000A7F3D" w:rsidR="00735316">
        <w:t xml:space="preserve">take several steps – </w:t>
      </w:r>
      <w:r w:rsidRPr="000A7F3D">
        <w:t xml:space="preserve">log into ASR, complete their respective portions of the application, and provide the signature of an authorized person. </w:t>
      </w:r>
      <w:r w:rsidRPr="000A7F3D" w:rsidR="000A7F3D">
        <w:t xml:space="preserve"> </w:t>
      </w:r>
      <w:r w:rsidRPr="000A7F3D">
        <w:t>In the time since these changes were enacted, there have been a number of instances where ownership changes were not properly completed because one of the parties failed to complete the process</w:t>
      </w:r>
      <w:bookmarkStart w:id="1" w:name="_Hlk65133047"/>
      <w:r w:rsidRPr="000A7F3D">
        <w:t>.  These failures made it difficult to identify the owner responsible for compliance with our Part 17 rules</w:t>
      </w:r>
      <w:r w:rsidR="00916B39">
        <w:t>,</w:t>
      </w:r>
      <w:r>
        <w:rPr>
          <w:rStyle w:val="FootnoteReference"/>
        </w:rPr>
        <w:footnoteReference w:id="4"/>
      </w:r>
      <w:r w:rsidRPr="000A7F3D">
        <w:t xml:space="preserve"> led to complications in subsequent transfers, and resulted in other administrative inefficiencies.   </w:t>
      </w:r>
    </w:p>
    <w:bookmarkEnd w:id="1"/>
    <w:p w:rsidR="009E7DE7" w:rsidRPr="000A7F3D" w:rsidP="009E7DE7" w14:paraId="32046EC8" w14:textId="77777777"/>
    <w:p w:rsidR="009E7DE7" w:rsidRPr="000A7F3D" w:rsidP="009E7DE7" w14:paraId="6F1ACEC9" w14:textId="64C63353">
      <w:r w:rsidRPr="000A7F3D">
        <w:t xml:space="preserve">This Public Notice serves as a reminder that all parties to transfers of ownership of registered towers must comply with the process set forth in the </w:t>
      </w:r>
      <w:r w:rsidRPr="000A7F3D">
        <w:rPr>
          <w:i/>
          <w:iCs/>
        </w:rPr>
        <w:t xml:space="preserve">Ownership Change Public Notice.  </w:t>
      </w:r>
      <w:r w:rsidRPr="000A7F3D">
        <w:t xml:space="preserve">Further, we recommend that </w:t>
      </w:r>
      <w:r w:rsidRPr="000A7F3D" w:rsidR="00337C7E">
        <w:t xml:space="preserve">parties complete the </w:t>
      </w:r>
      <w:r w:rsidRPr="000A7F3D">
        <w:t xml:space="preserve">change of ownership in ASR as part of the sales transaction, rather than leaving the ASR </w:t>
      </w:r>
      <w:r w:rsidRPr="000A7F3D" w:rsidR="00EA4263">
        <w:t>o</w:t>
      </w:r>
      <w:r w:rsidRPr="000A7F3D">
        <w:t xml:space="preserve">wnership </w:t>
      </w:r>
      <w:r w:rsidRPr="000A7F3D" w:rsidR="00EA4263">
        <w:t>c</w:t>
      </w:r>
      <w:r w:rsidRPr="000A7F3D">
        <w:t xml:space="preserve">hange to be completed at a later date.  If the </w:t>
      </w:r>
      <w:r w:rsidRPr="000A7F3D" w:rsidR="00EA4263">
        <w:t>o</w:t>
      </w:r>
      <w:r w:rsidRPr="000A7F3D">
        <w:t xml:space="preserve">wnership </w:t>
      </w:r>
      <w:r w:rsidRPr="000A7F3D" w:rsidR="00EA4263">
        <w:t>c</w:t>
      </w:r>
      <w:r w:rsidRPr="000A7F3D">
        <w:t xml:space="preserve">hange application </w:t>
      </w:r>
      <w:r w:rsidRPr="000A7F3D" w:rsidR="00EA4263">
        <w:t xml:space="preserve">process </w:t>
      </w:r>
      <w:r w:rsidRPr="000A7F3D">
        <w:t xml:space="preserve">is not properly completed by both parties, the ASR system will identify the wrong entity as the owner, </w:t>
      </w:r>
      <w:r w:rsidRPr="000A7F3D" w:rsidR="00787658">
        <w:t>which</w:t>
      </w:r>
      <w:r w:rsidRPr="000A7F3D" w:rsidR="00263444">
        <w:t xml:space="preserve"> may</w:t>
      </w:r>
      <w:r w:rsidRPr="000A7F3D">
        <w:t xml:space="preserve"> result in the wrong entity being held responsible for a tower it no longer holds</w:t>
      </w:r>
      <w:r w:rsidRPr="000A7F3D" w:rsidR="00787658">
        <w:t xml:space="preserve"> and</w:t>
      </w:r>
      <w:r w:rsidRPr="000A7F3D">
        <w:t xml:space="preserve"> </w:t>
      </w:r>
      <w:r w:rsidRPr="000A7F3D" w:rsidR="00CF18F2">
        <w:t xml:space="preserve">may </w:t>
      </w:r>
      <w:r w:rsidRPr="000A7F3D">
        <w:t xml:space="preserve">slow down future transfers of ownership for current owners. </w:t>
      </w:r>
      <w:r w:rsidR="000A7F3D">
        <w:t xml:space="preserve"> </w:t>
      </w:r>
      <w:r w:rsidRPr="000A7F3D" w:rsidR="00244833">
        <w:t xml:space="preserve">It could also impact aviation safety by preventing or delaying lighting outage reports from reaching tower owners and thus delay subsequent </w:t>
      </w:r>
      <w:r w:rsidRPr="000A7F3D" w:rsidR="00135F75">
        <w:t>FAA notification</w:t>
      </w:r>
      <w:r w:rsidRPr="000A7F3D" w:rsidR="00244833">
        <w:t xml:space="preserve"> and repairs.    </w:t>
      </w:r>
      <w:r w:rsidRPr="000A7F3D">
        <w:t xml:space="preserve"> </w:t>
      </w:r>
      <w:r w:rsidRPr="000A7F3D" w:rsidR="00CF18F2">
        <w:t xml:space="preserve">  </w:t>
      </w:r>
    </w:p>
    <w:p w:rsidR="009E7DE7" w:rsidRPr="000A7F3D" w:rsidP="009E7DE7" w14:paraId="727BF6F1" w14:textId="77777777"/>
    <w:p w:rsidR="009E7DE7" w:rsidRPr="000A7F3D" w:rsidP="009E7DE7" w14:paraId="18BD7A8F" w14:textId="77777777">
      <w:pPr>
        <w:rPr>
          <w:szCs w:val="22"/>
        </w:rPr>
      </w:pPr>
      <w:r w:rsidRPr="000A7F3D">
        <w:rPr>
          <w:b/>
          <w:szCs w:val="22"/>
        </w:rPr>
        <w:t>Additional Information</w:t>
      </w:r>
    </w:p>
    <w:p w:rsidR="009E7DE7" w:rsidRPr="000A7F3D" w:rsidP="009E7DE7" w14:paraId="38136EEE" w14:textId="77777777">
      <w:pPr>
        <w:rPr>
          <w:szCs w:val="24"/>
        </w:rPr>
      </w:pPr>
    </w:p>
    <w:p w:rsidR="00930ECF" w:rsidRPr="00D9447D" w:rsidP="00F96F63" w14:paraId="19AFD891" w14:textId="3FE8F461">
      <w:pPr>
        <w:rPr>
          <w:sz w:val="24"/>
          <w:szCs w:val="24"/>
        </w:rPr>
      </w:pPr>
      <w:r w:rsidRPr="000A7F3D">
        <w:t xml:space="preserve">For further information or assistance with the online application process, you can contact the </w:t>
      </w:r>
      <w:bookmarkStart w:id="2" w:name="SR;588"/>
      <w:bookmarkEnd w:id="2"/>
      <w:r w:rsidRPr="000A7F3D">
        <w:t xml:space="preserve">Licensing </w:t>
      </w:r>
      <w:r w:rsidRPr="000A7F3D">
        <w:t xml:space="preserve">Support Hotline at (877) 480-3201 option 2; TTY (717) 338-2824.  The </w:t>
      </w:r>
      <w:bookmarkStart w:id="3" w:name="SR;608"/>
      <w:bookmarkEnd w:id="3"/>
      <w:r w:rsidRPr="000A7F3D">
        <w:t xml:space="preserve">Hotline is available to assist with </w:t>
      </w:r>
      <w:bookmarkStart w:id="4" w:name="SR;614"/>
      <w:bookmarkStart w:id="5" w:name="SearchTerm"/>
      <w:bookmarkEnd w:id="4"/>
      <w:bookmarkEnd w:id="5"/>
      <w:r w:rsidRPr="000A7F3D">
        <w:t>questions Monday through Friday 8:00 a.m. to 6:00 p.m. ET.  In order to provide better service to the public, all calls to the Hotline are recorded.</w:t>
      </w:r>
      <w:bookmarkStart w:id="6" w:name="_GoBack"/>
      <w:bookmarkEnd w:id="6"/>
    </w:p>
    <w:sectPr w:rsidSect="000E588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p w:rsidR="006F7393" w:rsidP="0055614C" w14:paraId="7AF545F6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2E89E2F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p w:rsidR="006F7393" w:rsidP="00910F12" w14:paraId="498E8A74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p w:rsidR="006F7393" w14:paraId="0A02C18B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footnote w:type="separator" w:id="0">
    <w:p w:rsidR="00341255" w14:paraId="0B310498" w14:textId="77777777">
      <w:r>
        <w:separator/>
      </w:r>
    </w:p>
  </w:footnote>
  <w:footnote w:type="continuationSeparator" w:id="1">
    <w:p w:rsidR="00341255" w14:paraId="2F18A58A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341255" w:rsidP="00910F12" w14:paraId="336D29FB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9E7DE7" w:rsidRPr="00135F75" w:rsidP="009E7DE7" w14:paraId="4E2DD819" w14:textId="348A4FFE">
      <w:pPr>
        <w:pStyle w:val="FootnoteText"/>
      </w:pPr>
      <w:r>
        <w:rPr>
          <w:rStyle w:val="FootnoteReference"/>
        </w:rPr>
        <w:footnoteRef/>
      </w:r>
      <w:r w:rsidRPr="00AD0BF9">
        <w:rPr>
          <w:i/>
          <w:iCs/>
        </w:rPr>
        <w:t xml:space="preserve"> New Procedure for Reporting Ownership Changes in The Antenna Structure Registration System To Be Implemented February 14, 2019</w:t>
      </w:r>
      <w:r>
        <w:t xml:space="preserve">, Public Notice, 34 FCC </w:t>
      </w:r>
      <w:r>
        <w:t>Rcd</w:t>
      </w:r>
      <w:r>
        <w:t xml:space="preserve"> 314 (WTB 2019) (</w:t>
      </w:r>
      <w:r w:rsidRPr="004F3795">
        <w:rPr>
          <w:i/>
          <w:iCs/>
        </w:rPr>
        <w:t>Ownership Change P</w:t>
      </w:r>
      <w:r>
        <w:rPr>
          <w:i/>
          <w:iCs/>
        </w:rPr>
        <w:t xml:space="preserve">ublic </w:t>
      </w:r>
      <w:r w:rsidRPr="004F3795">
        <w:rPr>
          <w:i/>
          <w:iCs/>
        </w:rPr>
        <w:t>N</w:t>
      </w:r>
      <w:r>
        <w:rPr>
          <w:i/>
          <w:iCs/>
        </w:rPr>
        <w:t>otice</w:t>
      </w:r>
      <w:r>
        <w:t>)</w:t>
      </w:r>
      <w:r w:rsidR="00C06771">
        <w:t>.</w:t>
      </w:r>
    </w:p>
  </w:footnote>
  <w:footnote w:id="4">
    <w:p w:rsidR="00244833" w14:paraId="0AC1D433" w14:textId="2E20D7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849B7">
        <w:rPr>
          <w:i/>
          <w:iCs/>
        </w:rPr>
        <w:t xml:space="preserve">See </w:t>
      </w:r>
      <w:r w:rsidRPr="009849B7" w:rsidR="009849B7">
        <w:rPr>
          <w:i/>
          <w:iCs/>
        </w:rPr>
        <w:t>generally</w:t>
      </w:r>
      <w:r w:rsidR="009849B7">
        <w:t xml:space="preserve">, </w:t>
      </w:r>
      <w:r>
        <w:t xml:space="preserve">47 CFR Part 17, Construction, Marking, and Lighting of Antenna Structures.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p w:rsidR="009838BC" w:rsidRPr="009838BC" w:rsidP="009838BC" w14:paraId="27E709C6" w14:textId="76C0EA44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D8447E">
      <w:rPr>
        <w:b/>
      </w:rPr>
      <w:t>DA 21-230</w:t>
    </w:r>
  </w:p>
  <w:p w:rsidR="009838BC" w:rsidRPr="009838BC" w:rsidP="009838BC" w14:paraId="656EBDA8" w14:textId="215A5809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646EAFDE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p w:rsidR="009838BC" w:rsidRPr="00A866AC" w:rsidP="009838BC" w14:paraId="65D02B70" w14:textId="0EF74B19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AB8" w:rsidP="00DE0AB8" w14:textId="77777777">
                          <w:pPr>
                            <w:rPr>
                              <w:rFonts w:ascii="Arial" w:hAnsi="Arial"/>
                              <w:b/>
                              <w:snapToGrid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E0AB8" w:rsidP="00DE0AB8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Street NE</w:t>
                          </w:r>
                        </w:p>
                        <w:p w:rsidR="009838BC" w:rsidP="00DE0AB8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DC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DE0AB8" w:rsidP="00DE0AB8" w14:paraId="47835352" w14:textId="77777777">
                    <w:pPr>
                      <w:rPr>
                        <w:rFonts w:ascii="Arial" w:hAnsi="Arial"/>
                        <w:b/>
                        <w:snapToGrid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E0AB8" w:rsidP="00DE0AB8" w14:paraId="14205F03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Street NE</w:t>
                    </w:r>
                  </w:p>
                  <w:p w:rsidR="009838BC" w:rsidP="00DE0AB8" w14:paraId="38E9B0FC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DC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7703865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7E1F5B99" w14:textId="57BE0625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7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7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04E4AFE7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543CD781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7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7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3D245E9C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1409FCB6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E7"/>
    <w:rsid w:val="000072CE"/>
    <w:rsid w:val="00013A8B"/>
    <w:rsid w:val="00021445"/>
    <w:rsid w:val="00035E3D"/>
    <w:rsid w:val="00036039"/>
    <w:rsid w:val="00037F90"/>
    <w:rsid w:val="000745E3"/>
    <w:rsid w:val="000875BF"/>
    <w:rsid w:val="00096D8C"/>
    <w:rsid w:val="000A233C"/>
    <w:rsid w:val="000A4AA5"/>
    <w:rsid w:val="000A7F3D"/>
    <w:rsid w:val="000C0B65"/>
    <w:rsid w:val="000E3D42"/>
    <w:rsid w:val="000E5884"/>
    <w:rsid w:val="00122BD5"/>
    <w:rsid w:val="00135F75"/>
    <w:rsid w:val="00185BE7"/>
    <w:rsid w:val="001979D9"/>
    <w:rsid w:val="001B5479"/>
    <w:rsid w:val="001D6BCF"/>
    <w:rsid w:val="001E01CA"/>
    <w:rsid w:val="002060D9"/>
    <w:rsid w:val="002204B8"/>
    <w:rsid w:val="00226261"/>
    <w:rsid w:val="00226822"/>
    <w:rsid w:val="00244833"/>
    <w:rsid w:val="00260594"/>
    <w:rsid w:val="00263444"/>
    <w:rsid w:val="0026679F"/>
    <w:rsid w:val="00285017"/>
    <w:rsid w:val="002A2D2E"/>
    <w:rsid w:val="002B52AF"/>
    <w:rsid w:val="00316B3A"/>
    <w:rsid w:val="00337C7E"/>
    <w:rsid w:val="00341255"/>
    <w:rsid w:val="00343749"/>
    <w:rsid w:val="00357D50"/>
    <w:rsid w:val="00367B83"/>
    <w:rsid w:val="00387506"/>
    <w:rsid w:val="003925DC"/>
    <w:rsid w:val="003B0550"/>
    <w:rsid w:val="003B694F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C12D0"/>
    <w:rsid w:val="004C2EE3"/>
    <w:rsid w:val="004E4A22"/>
    <w:rsid w:val="004F3795"/>
    <w:rsid w:val="00511968"/>
    <w:rsid w:val="0055614C"/>
    <w:rsid w:val="005C1479"/>
    <w:rsid w:val="005F4BB0"/>
    <w:rsid w:val="00607BA5"/>
    <w:rsid w:val="00612FC8"/>
    <w:rsid w:val="00626EB6"/>
    <w:rsid w:val="006353A3"/>
    <w:rsid w:val="00635B6E"/>
    <w:rsid w:val="00655D03"/>
    <w:rsid w:val="00676E2D"/>
    <w:rsid w:val="00683F84"/>
    <w:rsid w:val="006A6A81"/>
    <w:rsid w:val="006E26AF"/>
    <w:rsid w:val="006F7393"/>
    <w:rsid w:val="0070224F"/>
    <w:rsid w:val="007115F7"/>
    <w:rsid w:val="00735316"/>
    <w:rsid w:val="00785689"/>
    <w:rsid w:val="00787658"/>
    <w:rsid w:val="00791FB2"/>
    <w:rsid w:val="0079754B"/>
    <w:rsid w:val="007A1E6D"/>
    <w:rsid w:val="00806037"/>
    <w:rsid w:val="00814E44"/>
    <w:rsid w:val="008175E6"/>
    <w:rsid w:val="00822CE0"/>
    <w:rsid w:val="00837C62"/>
    <w:rsid w:val="00841AB1"/>
    <w:rsid w:val="008C22FD"/>
    <w:rsid w:val="00910F12"/>
    <w:rsid w:val="00916B39"/>
    <w:rsid w:val="00926503"/>
    <w:rsid w:val="00930ECF"/>
    <w:rsid w:val="009838BC"/>
    <w:rsid w:val="009849B7"/>
    <w:rsid w:val="009A535C"/>
    <w:rsid w:val="009E7DE7"/>
    <w:rsid w:val="00A45F4F"/>
    <w:rsid w:val="00A505B0"/>
    <w:rsid w:val="00A600A9"/>
    <w:rsid w:val="00A866AC"/>
    <w:rsid w:val="00AA55B7"/>
    <w:rsid w:val="00AA5B9E"/>
    <w:rsid w:val="00AB2407"/>
    <w:rsid w:val="00AB53DF"/>
    <w:rsid w:val="00AD0BF9"/>
    <w:rsid w:val="00B07E5C"/>
    <w:rsid w:val="00B26EEE"/>
    <w:rsid w:val="00B326E3"/>
    <w:rsid w:val="00B77040"/>
    <w:rsid w:val="00B811F7"/>
    <w:rsid w:val="00B830A5"/>
    <w:rsid w:val="00B852CE"/>
    <w:rsid w:val="00B90A7B"/>
    <w:rsid w:val="00BA5DC6"/>
    <w:rsid w:val="00BA6196"/>
    <w:rsid w:val="00BC6D8C"/>
    <w:rsid w:val="00C06771"/>
    <w:rsid w:val="00C16AF2"/>
    <w:rsid w:val="00C2653F"/>
    <w:rsid w:val="00C34006"/>
    <w:rsid w:val="00C426B1"/>
    <w:rsid w:val="00C82B6B"/>
    <w:rsid w:val="00C8314E"/>
    <w:rsid w:val="00C90D6A"/>
    <w:rsid w:val="00CC544D"/>
    <w:rsid w:val="00CC72B6"/>
    <w:rsid w:val="00CD3F46"/>
    <w:rsid w:val="00CF18F2"/>
    <w:rsid w:val="00D0218D"/>
    <w:rsid w:val="00D216CD"/>
    <w:rsid w:val="00D55737"/>
    <w:rsid w:val="00D63297"/>
    <w:rsid w:val="00D8447E"/>
    <w:rsid w:val="00D9447D"/>
    <w:rsid w:val="00DA2529"/>
    <w:rsid w:val="00DB130A"/>
    <w:rsid w:val="00DC10A1"/>
    <w:rsid w:val="00DC655F"/>
    <w:rsid w:val="00DD7EBD"/>
    <w:rsid w:val="00DE0AB8"/>
    <w:rsid w:val="00DF62B6"/>
    <w:rsid w:val="00E07225"/>
    <w:rsid w:val="00E155B7"/>
    <w:rsid w:val="00E5409F"/>
    <w:rsid w:val="00E73730"/>
    <w:rsid w:val="00EA4263"/>
    <w:rsid w:val="00EB0ED8"/>
    <w:rsid w:val="00EC0185"/>
    <w:rsid w:val="00F021FA"/>
    <w:rsid w:val="00F57ACA"/>
    <w:rsid w:val="00F62E97"/>
    <w:rsid w:val="00F64209"/>
    <w:rsid w:val="00F86E0D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05342A1-9E73-429E-8083-BFA982CF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A4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2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263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263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2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63"/>
    <w:rPr>
      <w:rFonts w:ascii="Segoe UI" w:hAnsi="Segoe UI" w:cs="Segoe UI"/>
      <w:snapToGrid w:val="0"/>
      <w:kern w:val="28"/>
      <w:sz w:val="18"/>
      <w:szCs w:val="18"/>
    </w:rPr>
  </w:style>
  <w:style w:type="paragraph" w:styleId="Revision">
    <w:name w:val="Revision"/>
    <w:hidden/>
    <w:uiPriority w:val="99"/>
    <w:semiHidden/>
    <w:rsid w:val="00735316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