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75796D0F">
      <w:pPr>
        <w:jc w:val="right"/>
        <w:rPr>
          <w:sz w:val="24"/>
          <w:szCs w:val="24"/>
        </w:rPr>
      </w:pPr>
      <w:r w:rsidRPr="75796D0F">
        <w:rPr>
          <w:sz w:val="24"/>
          <w:szCs w:val="24"/>
        </w:rPr>
        <w:t xml:space="preserve"> </w:t>
      </w:r>
    </w:p>
    <w:p w:rsidR="005614FA" w:rsidP="005614FA">
      <w:pPr>
        <w:widowControl/>
        <w:suppressAutoHyphens/>
        <w:jc w:val="right"/>
        <w:rPr>
          <w:b/>
          <w:color w:val="000000"/>
        </w:rPr>
      </w:pPr>
      <w:r>
        <w:rPr>
          <w:b/>
          <w:color w:val="000000"/>
        </w:rPr>
        <w:t>DA 2</w:t>
      </w:r>
      <w:r w:rsidR="001E397D">
        <w:rPr>
          <w:b/>
          <w:color w:val="000000"/>
        </w:rPr>
        <w:t>1-</w:t>
      </w:r>
      <w:r w:rsidR="008F58CF">
        <w:rPr>
          <w:b/>
          <w:color w:val="000000"/>
        </w:rPr>
        <w:t>235</w:t>
      </w:r>
    </w:p>
    <w:p w:rsidR="005614FA" w:rsidP="005614FA">
      <w:pPr>
        <w:widowControl/>
        <w:suppressAutoHyphens/>
        <w:spacing w:after="240"/>
        <w:jc w:val="right"/>
        <w:rPr>
          <w:b/>
          <w:color w:val="000000"/>
        </w:rPr>
      </w:pPr>
      <w:r>
        <w:rPr>
          <w:b/>
          <w:color w:val="000000"/>
        </w:rPr>
        <w:t xml:space="preserve">Released:  </w:t>
      </w:r>
      <w:r w:rsidR="001E397D">
        <w:rPr>
          <w:b/>
          <w:color w:val="000000"/>
        </w:rPr>
        <w:t xml:space="preserve">February </w:t>
      </w:r>
      <w:r w:rsidR="008D6240">
        <w:rPr>
          <w:b/>
          <w:color w:val="000000"/>
        </w:rPr>
        <w:t>25</w:t>
      </w:r>
      <w:r>
        <w:rPr>
          <w:b/>
          <w:color w:val="000000"/>
        </w:rPr>
        <w:t>, 202</w:t>
      </w:r>
      <w:r w:rsidR="001E397D">
        <w:rPr>
          <w:b/>
          <w:color w:val="000000"/>
        </w:rPr>
        <w:t>1</w:t>
      </w:r>
    </w:p>
    <w:p w:rsidR="00242F44" w:rsidP="005614FA">
      <w:pPr>
        <w:autoSpaceDE w:val="0"/>
        <w:autoSpaceDN w:val="0"/>
        <w:adjustRightInd w:val="0"/>
        <w:jc w:val="center"/>
        <w:rPr>
          <w:b/>
          <w:szCs w:val="22"/>
        </w:rPr>
      </w:pPr>
      <w:r>
        <w:rPr>
          <w:b/>
          <w:szCs w:val="22"/>
        </w:rPr>
        <w:t xml:space="preserve">DOMESTIC 214 </w:t>
      </w:r>
      <w:r w:rsidRPr="00307030" w:rsidR="00C31891">
        <w:rPr>
          <w:b/>
          <w:szCs w:val="22"/>
        </w:rPr>
        <w:t>APPLICATION</w:t>
      </w:r>
      <w:r w:rsidR="0054043D">
        <w:rPr>
          <w:b/>
          <w:szCs w:val="22"/>
        </w:rPr>
        <w:t xml:space="preserve"> G</w:t>
      </w:r>
      <w:r w:rsidR="00C31891">
        <w:rPr>
          <w:b/>
          <w:szCs w:val="22"/>
        </w:rPr>
        <w:t>RANTED</w:t>
      </w:r>
      <w:r w:rsidRPr="00307030" w:rsidR="00C31891">
        <w:rPr>
          <w:b/>
          <w:szCs w:val="22"/>
        </w:rPr>
        <w:t xml:space="preserve"> FOR </w:t>
      </w:r>
    </w:p>
    <w:p w:rsidR="001E397D" w:rsidRPr="001E397D" w:rsidP="001E397D">
      <w:pPr>
        <w:autoSpaceDE w:val="0"/>
        <w:autoSpaceDN w:val="0"/>
        <w:adjustRightInd w:val="0"/>
        <w:jc w:val="center"/>
        <w:rPr>
          <w:b/>
          <w:szCs w:val="22"/>
        </w:rPr>
      </w:pPr>
      <w:r w:rsidRPr="00307030">
        <w:rPr>
          <w:b/>
          <w:szCs w:val="22"/>
        </w:rPr>
        <w:t xml:space="preserve">THE TRANSFER OF CONTROL OF </w:t>
      </w:r>
      <w:r w:rsidRPr="001E397D">
        <w:rPr>
          <w:b/>
          <w:bCs/>
          <w:szCs w:val="22"/>
        </w:rPr>
        <w:t xml:space="preserve">FUSION CONNECT, INC. AND SUBSIDIARIES </w:t>
      </w:r>
    </w:p>
    <w:p w:rsidR="005614FA" w:rsidRPr="00307030" w:rsidP="0084412A">
      <w:pPr>
        <w:autoSpaceDE w:val="0"/>
        <w:autoSpaceDN w:val="0"/>
        <w:adjustRightInd w:val="0"/>
        <w:rPr>
          <w:b/>
          <w:szCs w:val="22"/>
        </w:rPr>
      </w:pPr>
      <w:bookmarkStart w:id="0" w:name="_GoBack"/>
      <w:bookmarkEnd w:id="0"/>
    </w:p>
    <w:p w:rsidR="005614FA" w:rsidRPr="00307030" w:rsidP="005614FA">
      <w:pPr>
        <w:autoSpaceDE w:val="0"/>
        <w:autoSpaceDN w:val="0"/>
        <w:adjustRightInd w:val="0"/>
        <w:jc w:val="center"/>
        <w:rPr>
          <w:b/>
          <w:szCs w:val="22"/>
        </w:rPr>
      </w:pPr>
      <w:r w:rsidRPr="00307030">
        <w:rPr>
          <w:b/>
          <w:szCs w:val="22"/>
        </w:rPr>
        <w:t xml:space="preserve">WC Docket No. </w:t>
      </w:r>
      <w:r w:rsidR="00207939">
        <w:rPr>
          <w:b/>
          <w:szCs w:val="22"/>
        </w:rPr>
        <w:t>2</w:t>
      </w:r>
      <w:r w:rsidR="001E397D">
        <w:rPr>
          <w:b/>
          <w:szCs w:val="22"/>
        </w:rPr>
        <w:t>0-44</w:t>
      </w:r>
      <w:r>
        <w:rPr>
          <w:b/>
          <w:szCs w:val="22"/>
        </w:rPr>
        <w:t xml:space="preserve"> </w:t>
      </w:r>
    </w:p>
    <w:p w:rsidR="005614FA" w:rsidP="005614FA">
      <w:pPr>
        <w:widowControl/>
        <w:suppressAutoHyphens/>
        <w:rPr>
          <w:b/>
          <w:color w:val="000000"/>
        </w:rPr>
      </w:pPr>
    </w:p>
    <w:p w:rsidR="005614FA" w:rsidRPr="00A77268" w:rsidP="002D7CCE">
      <w:pPr>
        <w:widowControl/>
        <w:autoSpaceDE w:val="0"/>
        <w:autoSpaceDN w:val="0"/>
        <w:adjustRightInd w:val="0"/>
        <w:spacing w:after="120"/>
        <w:ind w:firstLine="720"/>
        <w:rPr>
          <w:snapToGrid/>
          <w:kern w:val="0"/>
          <w:szCs w:val="22"/>
        </w:rPr>
      </w:pPr>
      <w:r w:rsidRPr="00A77268">
        <w:rPr>
          <w:snapToGrid/>
          <w:kern w:val="0"/>
          <w:szCs w:val="22"/>
        </w:rPr>
        <w:t xml:space="preserve">By this Public Notice, the Wireline Competition Bureau </w:t>
      </w:r>
      <w:r w:rsidRPr="00A77268" w:rsidR="000D50EB">
        <w:rPr>
          <w:snapToGrid/>
          <w:kern w:val="0"/>
          <w:szCs w:val="22"/>
        </w:rPr>
        <w:t xml:space="preserve">(Bureau) </w:t>
      </w:r>
      <w:r w:rsidRPr="00A77268">
        <w:rPr>
          <w:snapToGrid/>
          <w:kern w:val="0"/>
          <w:szCs w:val="22"/>
        </w:rPr>
        <w:t xml:space="preserve">grants </w:t>
      </w:r>
      <w:r w:rsidR="00A42060">
        <w:rPr>
          <w:snapToGrid/>
          <w:kern w:val="0"/>
          <w:szCs w:val="22"/>
        </w:rPr>
        <w:t xml:space="preserve">the </w:t>
      </w:r>
      <w:r w:rsidRPr="00A77268">
        <w:rPr>
          <w:snapToGrid/>
          <w:kern w:val="0"/>
          <w:szCs w:val="22"/>
        </w:rPr>
        <w:t xml:space="preserve">application filed by </w:t>
      </w:r>
      <w:r w:rsidRPr="00A77268" w:rsidR="001E397D">
        <w:rPr>
          <w:snapToGrid/>
          <w:kern w:val="0"/>
          <w:szCs w:val="22"/>
        </w:rPr>
        <w:t>Fusion Connect, Inc. (Fusion and Applicant)</w:t>
      </w:r>
      <w:r w:rsidR="00582BAF">
        <w:rPr>
          <w:snapToGrid/>
          <w:kern w:val="0"/>
          <w:szCs w:val="22"/>
        </w:rPr>
        <w:t>,</w:t>
      </w:r>
      <w:r w:rsidRPr="00A77268" w:rsidR="001E397D">
        <w:rPr>
          <w:snapToGrid/>
          <w:kern w:val="0"/>
          <w:szCs w:val="22"/>
        </w:rPr>
        <w:t xml:space="preserve"> pursuant to section 214 of the Communications Act of 1934, as amended (Act), and sections 63.03-04 of the Commission’s rules, requesting consent for the transfer of control of Fusion and its </w:t>
      </w:r>
      <w:r w:rsidRPr="00A77268" w:rsidR="001E397D">
        <w:rPr>
          <w:snapToGrid/>
          <w:kern w:val="0"/>
          <w:szCs w:val="22"/>
        </w:rPr>
        <w:t>wholly-owned</w:t>
      </w:r>
      <w:r w:rsidRPr="00A77268" w:rsidR="001E397D">
        <w:rPr>
          <w:snapToGrid/>
          <w:kern w:val="0"/>
          <w:szCs w:val="22"/>
        </w:rPr>
        <w:t xml:space="preserve"> subsidiaries.</w:t>
      </w:r>
      <w:r>
        <w:rPr>
          <w:snapToGrid/>
          <w:kern w:val="0"/>
          <w:szCs w:val="22"/>
          <w:vertAlign w:val="superscript"/>
        </w:rPr>
        <w:footnoteReference w:id="3"/>
      </w:r>
    </w:p>
    <w:p w:rsidR="005614FA" w:rsidRPr="00A77268" w:rsidP="002D7CCE">
      <w:pPr>
        <w:autoSpaceDE w:val="0"/>
        <w:autoSpaceDN w:val="0"/>
        <w:adjustRightInd w:val="0"/>
        <w:spacing w:after="120"/>
        <w:ind w:firstLine="720"/>
        <w:rPr>
          <w:szCs w:val="22"/>
        </w:rPr>
      </w:pPr>
      <w:r w:rsidRPr="00A77268">
        <w:rPr>
          <w:color w:val="000000"/>
          <w:szCs w:val="22"/>
        </w:rPr>
        <w:t xml:space="preserve">On </w:t>
      </w:r>
      <w:r w:rsidRPr="00A77268" w:rsidR="009901F7">
        <w:rPr>
          <w:color w:val="000000"/>
          <w:szCs w:val="22"/>
        </w:rPr>
        <w:t>July 30</w:t>
      </w:r>
      <w:r w:rsidRPr="00A77268">
        <w:rPr>
          <w:color w:val="000000"/>
          <w:szCs w:val="22"/>
        </w:rPr>
        <w:t>, 20</w:t>
      </w:r>
      <w:r w:rsidRPr="00A77268" w:rsidR="00A51758">
        <w:rPr>
          <w:color w:val="000000"/>
          <w:szCs w:val="22"/>
        </w:rPr>
        <w:t>20</w:t>
      </w:r>
      <w:r w:rsidRPr="00A77268">
        <w:rPr>
          <w:color w:val="000000"/>
          <w:szCs w:val="22"/>
        </w:rPr>
        <w:t xml:space="preserve">, the Bureau released a public notice seeking comment on the </w:t>
      </w:r>
      <w:r w:rsidR="004C70FB">
        <w:rPr>
          <w:color w:val="000000"/>
          <w:szCs w:val="22"/>
        </w:rPr>
        <w:t xml:space="preserve">Restated </w:t>
      </w:r>
      <w:r w:rsidRPr="00A77268">
        <w:rPr>
          <w:color w:val="000000"/>
          <w:szCs w:val="22"/>
        </w:rPr>
        <w:t>Application.</w:t>
      </w:r>
      <w:r>
        <w:rPr>
          <w:rStyle w:val="FootnoteReference"/>
          <w:szCs w:val="22"/>
        </w:rPr>
        <w:footnoteReference w:id="4"/>
      </w:r>
      <w:r w:rsidRPr="00A77268">
        <w:rPr>
          <w:color w:val="000000"/>
          <w:szCs w:val="22"/>
        </w:rPr>
        <w:t xml:space="preserve">  </w:t>
      </w:r>
      <w:r w:rsidRPr="00A77268" w:rsidR="007C4371">
        <w:rPr>
          <w:color w:val="000000"/>
          <w:szCs w:val="22"/>
        </w:rPr>
        <w:t>We</w:t>
      </w:r>
      <w:r w:rsidRPr="00A77268">
        <w:rPr>
          <w:szCs w:val="22"/>
        </w:rPr>
        <w:t xml:space="preserve"> did not receive comments or petitions in opposition to the </w:t>
      </w:r>
      <w:r w:rsidR="004C70FB">
        <w:rPr>
          <w:szCs w:val="22"/>
        </w:rPr>
        <w:t xml:space="preserve">Restated </w:t>
      </w:r>
      <w:r w:rsidRPr="00A77268">
        <w:rPr>
          <w:szCs w:val="22"/>
        </w:rPr>
        <w:t>Application.</w:t>
      </w:r>
    </w:p>
    <w:p w:rsidR="009901F7" w:rsidRPr="00A77268" w:rsidP="002D7CCE">
      <w:pPr>
        <w:autoSpaceDE w:val="0"/>
        <w:autoSpaceDN w:val="0"/>
        <w:adjustRightInd w:val="0"/>
        <w:spacing w:after="120"/>
        <w:ind w:firstLine="720"/>
        <w:rPr>
          <w:szCs w:val="22"/>
        </w:rPr>
      </w:pPr>
      <w:r w:rsidRPr="00A77268">
        <w:rPr>
          <w:szCs w:val="22"/>
        </w:rPr>
        <w:t>Fusion is a private Delaware corporation.</w:t>
      </w:r>
      <w:r>
        <w:rPr>
          <w:rStyle w:val="FootnoteReference"/>
          <w:szCs w:val="22"/>
        </w:rPr>
        <w:footnoteReference w:id="5"/>
      </w:r>
      <w:r w:rsidRPr="00A77268">
        <w:rPr>
          <w:szCs w:val="22"/>
        </w:rPr>
        <w:t xml:space="preserve">  Through the following U.S.-based subsidiaries, it provides competitive telecommunications services primarily to business customers located throughout the United States:  Fusion LLC, Fusion Cloud Services, LLC, Fusion Communications, LLC, Fusion Telecom of Kansas, LLC, and Fusion Telecom of Texas Ltd., LLP (collectively, Fusion Licensees).</w:t>
      </w:r>
      <w:r>
        <w:rPr>
          <w:rStyle w:val="FootnoteReference"/>
          <w:szCs w:val="22"/>
        </w:rPr>
        <w:footnoteReference w:id="6"/>
      </w:r>
      <w:r w:rsidRPr="00A77268">
        <w:rPr>
          <w:szCs w:val="22"/>
        </w:rPr>
        <w:t xml:space="preserve">  Telecom Holdings, LLC (Telecom Holdings), a Delaware holding company, currently holds </w:t>
      </w:r>
      <w:r w:rsidRPr="00A77268">
        <w:rPr>
          <w:szCs w:val="22"/>
        </w:rPr>
        <w:t xml:space="preserve">approximately 65% of the common stock and </w:t>
      </w:r>
      <w:r w:rsidRPr="00A77268">
        <w:rPr>
          <w:i/>
          <w:iCs/>
          <w:szCs w:val="22"/>
        </w:rPr>
        <w:t xml:space="preserve">de jure </w:t>
      </w:r>
      <w:r w:rsidRPr="00A77268">
        <w:rPr>
          <w:szCs w:val="22"/>
        </w:rPr>
        <w:t xml:space="preserve">and </w:t>
      </w:r>
      <w:r w:rsidRPr="00A77268">
        <w:rPr>
          <w:i/>
          <w:iCs/>
          <w:szCs w:val="22"/>
        </w:rPr>
        <w:t>de facto</w:t>
      </w:r>
      <w:r w:rsidRPr="00A77268">
        <w:rPr>
          <w:szCs w:val="22"/>
        </w:rPr>
        <w:t xml:space="preserve"> control of Fusion.</w:t>
      </w:r>
      <w:r>
        <w:rPr>
          <w:rStyle w:val="FootnoteReference"/>
          <w:szCs w:val="22"/>
        </w:rPr>
        <w:footnoteReference w:id="7"/>
      </w:r>
    </w:p>
    <w:p w:rsidR="005614FA" w:rsidRPr="00B17B13" w:rsidP="002D7CCE">
      <w:pPr>
        <w:autoSpaceDE w:val="0"/>
        <w:autoSpaceDN w:val="0"/>
        <w:adjustRightInd w:val="0"/>
        <w:spacing w:after="120"/>
        <w:ind w:firstLine="720"/>
        <w:rPr>
          <w:szCs w:val="22"/>
        </w:rPr>
      </w:pPr>
      <w:r w:rsidRPr="00EA003B">
        <w:rPr>
          <w:szCs w:val="22"/>
        </w:rPr>
        <w:t>The proposed transfer of control is the second of two related transactions seeking Commission approval as part of Fusion’s bankruptcy reorganization plan.</w:t>
      </w:r>
      <w:r>
        <w:rPr>
          <w:szCs w:val="22"/>
          <w:vertAlign w:val="superscript"/>
        </w:rPr>
        <w:footnoteReference w:id="8"/>
      </w:r>
      <w:r w:rsidRPr="00EA003B">
        <w:rPr>
          <w:szCs w:val="22"/>
        </w:rPr>
        <w:t xml:space="preserve">  In the first transaction, all the equity interests in Fusion were cancelled, certain debt extinguished, and first and second lien lenders received shares of Fusion’s voting common stock and/or special warrants (Special Warrants).</w:t>
      </w:r>
      <w:r>
        <w:rPr>
          <w:rStyle w:val="FootnoteReference"/>
          <w:szCs w:val="22"/>
        </w:rPr>
        <w:footnoteReference w:id="9"/>
      </w:r>
      <w:r w:rsidRPr="00EA003B">
        <w:rPr>
          <w:szCs w:val="22"/>
        </w:rPr>
        <w:t xml:space="preserve"> </w:t>
      </w:r>
      <w:r w:rsidRPr="00EA003B">
        <w:rPr>
          <w:szCs w:val="22"/>
          <w:vertAlign w:val="superscript"/>
        </w:rPr>
        <w:t xml:space="preserve"> </w:t>
      </w:r>
      <w:r w:rsidRPr="00A77268">
        <w:rPr>
          <w:szCs w:val="22"/>
        </w:rPr>
        <w:t>In this current second transaction, Applicant seeks Commission approval for the transfer of control that would occur from the exercise of the Special Warrants and the exchange of those warrants for common stock in Fusion to be held by the holders of the Special Warrants.</w:t>
      </w:r>
      <w:r>
        <w:rPr>
          <w:rStyle w:val="FootnoteReference"/>
          <w:szCs w:val="22"/>
        </w:rPr>
        <w:footnoteReference w:id="10"/>
      </w:r>
      <w:r w:rsidRPr="00A77268">
        <w:rPr>
          <w:szCs w:val="22"/>
        </w:rPr>
        <w:t xml:space="preserve">  As a result of the exercise of Special Warrants and the issuance of new common stock in exchange, the voting and equity interests of Telecom Holdings would decrease to non-controlling levels, resulting in a negative transfer of control.</w:t>
      </w:r>
      <w:r>
        <w:rPr>
          <w:rStyle w:val="FootnoteReference"/>
          <w:szCs w:val="22"/>
        </w:rPr>
        <w:footnoteReference w:id="11"/>
      </w:r>
      <w:r w:rsidRPr="00A77268">
        <w:rPr>
          <w:szCs w:val="22"/>
        </w:rPr>
        <w:t xml:space="preserve"> </w:t>
      </w:r>
      <w:r w:rsidR="005C24D8">
        <w:rPr>
          <w:szCs w:val="22"/>
        </w:rPr>
        <w:t xml:space="preserve"> </w:t>
      </w:r>
      <w:r w:rsidRPr="00A77268">
        <w:rPr>
          <w:szCs w:val="22"/>
        </w:rPr>
        <w:t xml:space="preserve">Applicant states that, following the consummation of the proposed transaction, Fusion will be widely held by numerous stockholders, nearly all of whom will hold non-disclosable interests in Fusion, and that no single person or entity will obtain </w:t>
      </w:r>
      <w:r w:rsidRPr="00A77268">
        <w:rPr>
          <w:i/>
          <w:iCs/>
          <w:szCs w:val="22"/>
        </w:rPr>
        <w:t xml:space="preserve">de jure </w:t>
      </w:r>
      <w:r w:rsidRPr="00A77268">
        <w:rPr>
          <w:szCs w:val="22"/>
        </w:rPr>
        <w:t xml:space="preserve">or </w:t>
      </w:r>
      <w:r w:rsidRPr="00A77268">
        <w:rPr>
          <w:i/>
          <w:iCs/>
          <w:szCs w:val="22"/>
        </w:rPr>
        <w:t xml:space="preserve">de facto </w:t>
      </w:r>
      <w:r w:rsidRPr="00A77268">
        <w:rPr>
          <w:szCs w:val="22"/>
        </w:rPr>
        <w:t>control.</w:t>
      </w:r>
      <w:r>
        <w:rPr>
          <w:rStyle w:val="FootnoteReference"/>
          <w:szCs w:val="22"/>
        </w:rPr>
        <w:footnoteReference w:id="12"/>
      </w:r>
      <w:r w:rsidRPr="00A77268">
        <w:rPr>
          <w:szCs w:val="22"/>
        </w:rPr>
        <w:t xml:space="preserve">  </w:t>
      </w:r>
    </w:p>
    <w:p w:rsidR="00E77864" w:rsidP="005C24D8">
      <w:pPr>
        <w:pStyle w:val="Default"/>
        <w:spacing w:after="120"/>
        <w:ind w:firstLine="720"/>
        <w:rPr>
          <w:sz w:val="22"/>
          <w:szCs w:val="22"/>
        </w:rPr>
      </w:pPr>
      <w:r w:rsidRPr="00A663DB">
        <w:rPr>
          <w:sz w:val="22"/>
          <w:szCs w:val="22"/>
        </w:rPr>
        <w:t xml:space="preserve">On </w:t>
      </w:r>
      <w:r w:rsidR="00E9794F">
        <w:rPr>
          <w:sz w:val="22"/>
          <w:szCs w:val="22"/>
        </w:rPr>
        <w:t>August 3</w:t>
      </w:r>
      <w:r w:rsidRPr="00A663DB">
        <w:rPr>
          <w:sz w:val="22"/>
          <w:szCs w:val="22"/>
        </w:rPr>
        <w:t>, 20</w:t>
      </w:r>
      <w:r w:rsidRPr="00A663DB" w:rsidR="00023E9D">
        <w:rPr>
          <w:sz w:val="22"/>
          <w:szCs w:val="22"/>
        </w:rPr>
        <w:t>20</w:t>
      </w:r>
      <w:r w:rsidRPr="00A663DB">
        <w:rPr>
          <w:sz w:val="22"/>
          <w:szCs w:val="22"/>
        </w:rPr>
        <w:t xml:space="preserve">, the </w:t>
      </w:r>
      <w:r w:rsidRPr="00BD0A9B" w:rsidR="00BD0A9B">
        <w:rPr>
          <w:sz w:val="22"/>
          <w:szCs w:val="22"/>
        </w:rPr>
        <w:t xml:space="preserve">Committee for the Assessment of Foreign Participation in the United States Telecommunications Services Sector (Committee) </w:t>
      </w:r>
      <w:r w:rsidR="00BD0A9B">
        <w:rPr>
          <w:sz w:val="22"/>
          <w:szCs w:val="22"/>
        </w:rPr>
        <w:t xml:space="preserve">notified the Commission that it </w:t>
      </w:r>
      <w:r w:rsidR="00800267">
        <w:rPr>
          <w:sz w:val="22"/>
          <w:szCs w:val="22"/>
        </w:rPr>
        <w:t>was</w:t>
      </w:r>
      <w:r w:rsidRPr="00BD0A9B" w:rsidR="00BD0A9B">
        <w:rPr>
          <w:sz w:val="22"/>
          <w:szCs w:val="22"/>
        </w:rPr>
        <w:t xml:space="preserve"> reviewing the </w:t>
      </w:r>
      <w:r w:rsidR="00800267">
        <w:rPr>
          <w:sz w:val="22"/>
          <w:szCs w:val="22"/>
        </w:rPr>
        <w:t>Restated Application</w:t>
      </w:r>
      <w:r w:rsidRPr="00BD0A9B" w:rsidR="00BD0A9B">
        <w:rPr>
          <w:sz w:val="22"/>
          <w:szCs w:val="22"/>
        </w:rPr>
        <w:t>.</w:t>
      </w:r>
      <w:r>
        <w:rPr>
          <w:rStyle w:val="FootnoteReference"/>
          <w:color w:val="000000"/>
          <w:szCs w:val="22"/>
        </w:rPr>
        <w:footnoteReference w:id="13"/>
      </w:r>
      <w:r w:rsidRPr="00A663DB">
        <w:rPr>
          <w:sz w:val="22"/>
          <w:szCs w:val="22"/>
        </w:rPr>
        <w:t xml:space="preserve">  We deferred action in response to this request</w:t>
      </w:r>
      <w:r w:rsidRPr="00A663DB" w:rsidR="00563C1F">
        <w:rPr>
          <w:sz w:val="22"/>
          <w:szCs w:val="22"/>
        </w:rPr>
        <w:t xml:space="preserve"> from the </w:t>
      </w:r>
      <w:r w:rsidR="00A22D46">
        <w:rPr>
          <w:sz w:val="22"/>
          <w:szCs w:val="22"/>
        </w:rPr>
        <w:t>Committee</w:t>
      </w:r>
      <w:r w:rsidRPr="00A663DB">
        <w:rPr>
          <w:sz w:val="22"/>
          <w:szCs w:val="22"/>
        </w:rPr>
        <w:t xml:space="preserve">.  </w:t>
      </w:r>
      <w:r>
        <w:rPr>
          <w:sz w:val="22"/>
          <w:szCs w:val="22"/>
        </w:rPr>
        <w:t>On</w:t>
      </w:r>
      <w:r w:rsidR="00BD0A9B">
        <w:rPr>
          <w:sz w:val="22"/>
          <w:szCs w:val="22"/>
        </w:rPr>
        <w:t xml:space="preserve"> October 20, 2020</w:t>
      </w:r>
      <w:r>
        <w:rPr>
          <w:sz w:val="22"/>
          <w:szCs w:val="22"/>
        </w:rPr>
        <w:t xml:space="preserve">, the </w:t>
      </w:r>
      <w:r w:rsidRPr="004872D0" w:rsidR="004872D0">
        <w:rPr>
          <w:sz w:val="22"/>
          <w:szCs w:val="22"/>
        </w:rPr>
        <w:t xml:space="preserve">Committee </w:t>
      </w:r>
      <w:r>
        <w:rPr>
          <w:sz w:val="22"/>
          <w:szCs w:val="22"/>
        </w:rPr>
        <w:t xml:space="preserve">notified the </w:t>
      </w:r>
      <w:r w:rsidR="00286468">
        <w:rPr>
          <w:sz w:val="22"/>
          <w:szCs w:val="22"/>
        </w:rPr>
        <w:t>Commission</w:t>
      </w:r>
      <w:r w:rsidR="004872D0">
        <w:rPr>
          <w:sz w:val="22"/>
          <w:szCs w:val="22"/>
        </w:rPr>
        <w:t xml:space="preserve"> that the Applicant ha</w:t>
      </w:r>
      <w:r w:rsidR="00800267">
        <w:rPr>
          <w:sz w:val="22"/>
          <w:szCs w:val="22"/>
        </w:rPr>
        <w:t xml:space="preserve">d </w:t>
      </w:r>
      <w:r w:rsidRPr="004872D0" w:rsidR="004872D0">
        <w:rPr>
          <w:sz w:val="22"/>
          <w:szCs w:val="22"/>
        </w:rPr>
        <w:t xml:space="preserve">provided complete responses to initial questions posed by the Committee </w:t>
      </w:r>
      <w:r w:rsidR="004872D0">
        <w:rPr>
          <w:sz w:val="22"/>
          <w:szCs w:val="22"/>
        </w:rPr>
        <w:t xml:space="preserve">and that the Committee </w:t>
      </w:r>
      <w:r w:rsidR="00800267">
        <w:rPr>
          <w:sz w:val="22"/>
          <w:szCs w:val="22"/>
        </w:rPr>
        <w:t>was</w:t>
      </w:r>
      <w:r w:rsidR="004872D0">
        <w:rPr>
          <w:sz w:val="22"/>
          <w:szCs w:val="22"/>
        </w:rPr>
        <w:t xml:space="preserve"> conducting</w:t>
      </w:r>
      <w:r w:rsidR="00E96AC2">
        <w:rPr>
          <w:sz w:val="22"/>
          <w:szCs w:val="22"/>
        </w:rPr>
        <w:t xml:space="preserve"> an initial </w:t>
      </w:r>
      <w:r w:rsidR="00E96AC2">
        <w:rPr>
          <w:sz w:val="22"/>
          <w:szCs w:val="22"/>
        </w:rPr>
        <w:t xml:space="preserve">review </w:t>
      </w:r>
      <w:r w:rsidRPr="00E96AC2" w:rsidR="00E96AC2">
        <w:rPr>
          <w:sz w:val="22"/>
          <w:szCs w:val="22"/>
        </w:rPr>
        <w:t xml:space="preserve">to assess whether granting the </w:t>
      </w:r>
      <w:r w:rsidR="00800267">
        <w:rPr>
          <w:sz w:val="22"/>
          <w:szCs w:val="22"/>
        </w:rPr>
        <w:t xml:space="preserve">Restated </w:t>
      </w:r>
      <w:r w:rsidRPr="00E96AC2" w:rsidR="00E96AC2">
        <w:rPr>
          <w:sz w:val="22"/>
          <w:szCs w:val="22"/>
        </w:rPr>
        <w:t xml:space="preserve">Application </w:t>
      </w:r>
      <w:r w:rsidR="00564FFA">
        <w:rPr>
          <w:sz w:val="22"/>
          <w:szCs w:val="22"/>
        </w:rPr>
        <w:t>would</w:t>
      </w:r>
      <w:r w:rsidRPr="00E96AC2" w:rsidR="00E96AC2">
        <w:rPr>
          <w:sz w:val="22"/>
          <w:szCs w:val="22"/>
        </w:rPr>
        <w:t xml:space="preserve"> pose a risk to the national security or law enforcement interests of the United States.</w:t>
      </w:r>
      <w:r>
        <w:rPr>
          <w:rStyle w:val="FootnoteReference"/>
          <w:szCs w:val="22"/>
        </w:rPr>
        <w:footnoteReference w:id="14"/>
      </w:r>
    </w:p>
    <w:p w:rsidR="002D7CCE" w:rsidP="005C24D8">
      <w:pPr>
        <w:pStyle w:val="Default"/>
        <w:spacing w:after="120"/>
        <w:ind w:firstLine="720"/>
        <w:rPr>
          <w:color w:val="212121"/>
          <w:sz w:val="22"/>
          <w:szCs w:val="22"/>
        </w:rPr>
      </w:pPr>
      <w:r>
        <w:rPr>
          <w:color w:val="212121"/>
          <w:sz w:val="22"/>
          <w:szCs w:val="22"/>
        </w:rPr>
        <w:t xml:space="preserve">On </w:t>
      </w:r>
      <w:r w:rsidR="00EC2DFD">
        <w:rPr>
          <w:color w:val="212121"/>
          <w:sz w:val="22"/>
          <w:szCs w:val="22"/>
        </w:rPr>
        <w:t>February 22</w:t>
      </w:r>
      <w:r>
        <w:rPr>
          <w:color w:val="212121"/>
          <w:sz w:val="22"/>
          <w:szCs w:val="22"/>
        </w:rPr>
        <w:t>, 202</w:t>
      </w:r>
      <w:r w:rsidR="00EC2DFD">
        <w:rPr>
          <w:color w:val="212121"/>
          <w:sz w:val="22"/>
          <w:szCs w:val="22"/>
        </w:rPr>
        <w:t>1</w:t>
      </w:r>
      <w:r>
        <w:rPr>
          <w:color w:val="212121"/>
          <w:sz w:val="22"/>
          <w:szCs w:val="22"/>
        </w:rPr>
        <w:t xml:space="preserve">, the </w:t>
      </w:r>
      <w:r w:rsidR="00800267">
        <w:rPr>
          <w:color w:val="212121"/>
          <w:sz w:val="22"/>
          <w:szCs w:val="22"/>
        </w:rPr>
        <w:t xml:space="preserve">National Telecommunications and Information Administration </w:t>
      </w:r>
      <w:r w:rsidR="004C70FB">
        <w:rPr>
          <w:color w:val="212121"/>
          <w:sz w:val="22"/>
          <w:szCs w:val="22"/>
        </w:rPr>
        <w:t xml:space="preserve">informed </w:t>
      </w:r>
      <w:r w:rsidR="00EC2DFD">
        <w:rPr>
          <w:color w:val="212121"/>
          <w:sz w:val="22"/>
          <w:szCs w:val="22"/>
        </w:rPr>
        <w:t xml:space="preserve">the Commission </w:t>
      </w:r>
      <w:r w:rsidR="004C70FB">
        <w:rPr>
          <w:color w:val="212121"/>
          <w:sz w:val="22"/>
          <w:szCs w:val="22"/>
        </w:rPr>
        <w:t xml:space="preserve">that “the Committee </w:t>
      </w:r>
      <w:r w:rsidRPr="006F4636" w:rsidR="006F4636">
        <w:rPr>
          <w:color w:val="212121"/>
          <w:sz w:val="22"/>
          <w:szCs w:val="22"/>
        </w:rPr>
        <w:t>has reviewed the application and has no recommendation at this time to the Commission approving the application and no objection to the Commission granting it</w:t>
      </w:r>
      <w:r w:rsidR="00422B9A">
        <w:rPr>
          <w:color w:val="212121"/>
          <w:sz w:val="22"/>
          <w:szCs w:val="22"/>
        </w:rPr>
        <w:t>”</w:t>
      </w:r>
      <w:r w:rsidR="006F4636">
        <w:rPr>
          <w:color w:val="212121"/>
          <w:sz w:val="22"/>
          <w:szCs w:val="22"/>
        </w:rPr>
        <w:t xml:space="preserve"> and that </w:t>
      </w:r>
      <w:r w:rsidR="004C70FB">
        <w:rPr>
          <w:color w:val="212121"/>
          <w:sz w:val="22"/>
          <w:szCs w:val="22"/>
        </w:rPr>
        <w:t xml:space="preserve">the Committee </w:t>
      </w:r>
      <w:r w:rsidR="00422B9A">
        <w:rPr>
          <w:color w:val="212121"/>
          <w:sz w:val="22"/>
          <w:szCs w:val="22"/>
        </w:rPr>
        <w:t>“</w:t>
      </w:r>
      <w:r w:rsidRPr="006F4636" w:rsidR="006F4636">
        <w:rPr>
          <w:color w:val="212121"/>
          <w:sz w:val="22"/>
          <w:szCs w:val="22"/>
        </w:rPr>
        <w:t>reserves the right to review any resulting authorization in the future to identify any additional or new risks to U.S. national security or law enforcement interests.</w:t>
      </w:r>
      <w:r w:rsidR="00422B9A">
        <w:rPr>
          <w:color w:val="212121"/>
          <w:sz w:val="22"/>
          <w:szCs w:val="22"/>
        </w:rPr>
        <w:t>”</w:t>
      </w:r>
      <w:r>
        <w:rPr>
          <w:rStyle w:val="FootnoteReference"/>
          <w:szCs w:val="22"/>
        </w:rPr>
        <w:footnoteReference w:id="15"/>
      </w:r>
    </w:p>
    <w:p w:rsidR="002D7CCE" w:rsidRPr="002D7CCE" w:rsidP="005C24D8">
      <w:pPr>
        <w:pStyle w:val="Default"/>
        <w:spacing w:after="120"/>
        <w:ind w:firstLine="720"/>
        <w:rPr>
          <w:color w:val="212121"/>
          <w:sz w:val="22"/>
          <w:szCs w:val="22"/>
        </w:rPr>
      </w:pPr>
      <w:r>
        <w:rPr>
          <w:color w:val="212121"/>
          <w:sz w:val="22"/>
          <w:szCs w:val="22"/>
        </w:rPr>
        <w:t>We find</w:t>
      </w:r>
      <w:r w:rsidRPr="002D7CCE">
        <w:rPr>
          <w:color w:val="212121"/>
          <w:sz w:val="22"/>
          <w:szCs w:val="22"/>
        </w:rPr>
        <w:t xml:space="preserve">, upon consideration of the record, that </w:t>
      </w:r>
      <w:r>
        <w:rPr>
          <w:color w:val="212121"/>
          <w:sz w:val="22"/>
          <w:szCs w:val="22"/>
        </w:rPr>
        <w:t xml:space="preserve">the proposed transaction </w:t>
      </w:r>
      <w:r w:rsidRPr="002D7CCE">
        <w:rPr>
          <w:color w:val="212121"/>
          <w:sz w:val="22"/>
          <w:szCs w:val="22"/>
        </w:rPr>
        <w:t>will serve the public interest, convenience, and necessity.</w:t>
      </w:r>
      <w:r>
        <w:rPr>
          <w:color w:val="212121"/>
          <w:sz w:val="22"/>
          <w:szCs w:val="22"/>
          <w:vertAlign w:val="superscript"/>
        </w:rPr>
        <w:footnoteReference w:id="16"/>
      </w:r>
      <w:r w:rsidRPr="002D7CCE">
        <w:rPr>
          <w:color w:val="212121"/>
          <w:sz w:val="22"/>
          <w:szCs w:val="22"/>
        </w:rPr>
        <w:t xml:space="preserve">   Pursuant to section 1.103 of the Commission's rules, 47 C.F.R. § 1.103, the grant is effective upon release of this Public Notice.  Petitions for reconsideration under section 1.106 or applications for review under section 1.115 of the Commission's rules, 47 C.F.R. §§ 1.106, 1.115, may be filed within 30 days of the date of this Public Notice.</w:t>
      </w:r>
      <w:bookmarkStart w:id="4" w:name="FN[FN9]"/>
      <w:bookmarkStart w:id="5" w:name="sp_999_1"/>
      <w:bookmarkStart w:id="6" w:name="SDU_1"/>
      <w:bookmarkEnd w:id="4"/>
      <w:bookmarkEnd w:id="5"/>
      <w:bookmarkEnd w:id="6"/>
    </w:p>
    <w:p w:rsidR="002D7CCE" w:rsidRPr="002D7CCE" w:rsidP="002D7CCE">
      <w:pPr>
        <w:pStyle w:val="Default"/>
        <w:spacing w:after="120"/>
        <w:ind w:firstLine="720"/>
        <w:rPr>
          <w:color w:val="212121"/>
          <w:sz w:val="22"/>
          <w:szCs w:val="22"/>
        </w:rPr>
      </w:pPr>
      <w:bookmarkStart w:id="7" w:name="sp_999_2"/>
      <w:bookmarkStart w:id="8" w:name="SDU_2"/>
      <w:bookmarkEnd w:id="7"/>
      <w:bookmarkEnd w:id="8"/>
      <w:r w:rsidRPr="002D7CCE">
        <w:rPr>
          <w:color w:val="212121"/>
          <w:sz w:val="22"/>
          <w:szCs w:val="22"/>
        </w:rPr>
        <w:t>For further information, please contact Gregory Kwan, Wireline Competition Bureau, Competition Policy Division, (202) 418-0809.</w:t>
      </w:r>
    </w:p>
    <w:p w:rsidR="002D7CCE" w:rsidRPr="002D7CCE" w:rsidP="002D7CCE">
      <w:pPr>
        <w:pStyle w:val="Default"/>
        <w:rPr>
          <w:color w:val="212121"/>
          <w:sz w:val="22"/>
          <w:szCs w:val="22"/>
        </w:rPr>
      </w:pPr>
    </w:p>
    <w:p w:rsidR="002D7CCE" w:rsidRPr="002D7CCE" w:rsidP="002D7CCE">
      <w:pPr>
        <w:pStyle w:val="Default"/>
        <w:jc w:val="center"/>
        <w:rPr>
          <w:b/>
          <w:bCs/>
          <w:color w:val="212121"/>
          <w:sz w:val="22"/>
          <w:szCs w:val="22"/>
        </w:rPr>
      </w:pPr>
      <w:r w:rsidRPr="002D7CCE">
        <w:rPr>
          <w:b/>
          <w:bCs/>
          <w:color w:val="212121"/>
          <w:sz w:val="22"/>
          <w:szCs w:val="22"/>
        </w:rPr>
        <w:t>-FCC-</w:t>
      </w:r>
    </w:p>
    <w:p w:rsidR="002D7CCE" w:rsidRPr="006F4636" w:rsidP="006F4636">
      <w:pPr>
        <w:pStyle w:val="Default"/>
        <w:ind w:firstLine="720"/>
        <w:rPr>
          <w:color w:val="212121"/>
          <w:szCs w:val="22"/>
        </w:rPr>
      </w:pPr>
    </w:p>
    <w:p w:rsidR="006F4636" w:rsidP="00EC2DFD">
      <w:pPr>
        <w:pStyle w:val="Default"/>
        <w:ind w:firstLine="720"/>
        <w:rPr>
          <w:color w:val="212121"/>
          <w:sz w:val="22"/>
          <w:szCs w:val="22"/>
        </w:rPr>
      </w:pPr>
    </w:p>
    <w:p w:rsidR="00E61137" w:rsidP="002B0207">
      <w:pPr>
        <w:jc w:val="center"/>
        <w:rPr>
          <w:b/>
          <w:color w:val="000000"/>
          <w:szCs w:val="22"/>
        </w:rPr>
      </w:pPr>
    </w:p>
    <w:p w:rsidR="00E61137" w:rsidP="002B0207">
      <w:pPr>
        <w:jc w:val="center"/>
        <w:rPr>
          <w:b/>
          <w:color w:val="000000"/>
          <w:szCs w:val="22"/>
        </w:rPr>
      </w:pPr>
    </w:p>
    <w:p w:rsidR="00B17B13" w:rsidRPr="00930ECF" w:rsidP="00E6113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2406">
      <w:r>
        <w:separator/>
      </w:r>
    </w:p>
  </w:footnote>
  <w:footnote w:type="continuationSeparator" w:id="1">
    <w:p w:rsidR="00432406">
      <w:pPr>
        <w:rPr>
          <w:sz w:val="20"/>
        </w:rPr>
      </w:pPr>
      <w:r>
        <w:rPr>
          <w:sz w:val="20"/>
        </w:rPr>
        <w:t xml:space="preserve">(Continued from previous page)  </w:t>
      </w:r>
      <w:r>
        <w:rPr>
          <w:sz w:val="20"/>
        </w:rPr>
        <w:separator/>
      </w:r>
    </w:p>
  </w:footnote>
  <w:footnote w:type="continuationNotice" w:id="2">
    <w:p w:rsidR="00432406" w:rsidP="00910F12">
      <w:pPr>
        <w:jc w:val="right"/>
        <w:rPr>
          <w:sz w:val="20"/>
        </w:rPr>
      </w:pPr>
      <w:r>
        <w:rPr>
          <w:sz w:val="20"/>
        </w:rPr>
        <w:t>(continued….)</w:t>
      </w:r>
    </w:p>
  </w:footnote>
  <w:footnote w:id="3">
    <w:p w:rsidR="001E397D" w:rsidRPr="004E72B7" w:rsidP="001E397D">
      <w:pPr>
        <w:pStyle w:val="FootnoteText"/>
      </w:pPr>
      <w:r w:rsidRPr="004E72B7">
        <w:rPr>
          <w:rStyle w:val="FootnoteReference"/>
          <w:sz w:val="20"/>
        </w:rPr>
        <w:footnoteRef/>
      </w:r>
      <w:r w:rsidRPr="004E72B7">
        <w:t xml:space="preserve"> </w:t>
      </w:r>
      <w:bookmarkStart w:id="1" w:name="_Hlk37410251"/>
      <w:r w:rsidRPr="00A7404D" w:rsidR="00E61137">
        <w:rPr>
          <w:i/>
        </w:rPr>
        <w:t>See</w:t>
      </w:r>
      <w:r w:rsidRPr="00A7404D" w:rsidR="00E61137">
        <w:t xml:space="preserve"> 47 U.S.C. § 214; 47 CFR §§ 63.03-04.  </w:t>
      </w:r>
      <w:bookmarkEnd w:id="1"/>
      <w:r w:rsidRPr="004E72B7">
        <w:t xml:space="preserve">Application of Fusion Connect, Inc., for Consent to a Transaction that </w:t>
      </w:r>
      <w:r>
        <w:t>W</w:t>
      </w:r>
      <w:r w:rsidRPr="004E72B7">
        <w:t xml:space="preserve">ill Result in a Change of Control of Companies Holding Domestic </w:t>
      </w:r>
      <w:r w:rsidR="008B51AD">
        <w:t xml:space="preserve">and International </w:t>
      </w:r>
      <w:r w:rsidRPr="004E72B7">
        <w:t>Authority Pursuant to Section 214 of the Communications Act of 1934, as Amended, WC Docket No. 20-44</w:t>
      </w:r>
      <w:r w:rsidR="004F60EC">
        <w:t xml:space="preserve">; </w:t>
      </w:r>
      <w:r w:rsidRPr="00637E27" w:rsidR="004F60EC">
        <w:t xml:space="preserve">IB File No. ITC-T/C-20200213-00030 </w:t>
      </w:r>
      <w:r w:rsidRPr="004E72B7">
        <w:t>(filed Feb. 13, 2020).</w:t>
      </w:r>
      <w:r>
        <w:t xml:space="preserve">  On July 22, 2020, Applicant filed supplemental information and revisions to its </w:t>
      </w:r>
      <w:r w:rsidR="0054043D">
        <w:t>application</w:t>
      </w:r>
      <w:r>
        <w:t>.  Restated</w:t>
      </w:r>
      <w:r w:rsidRPr="00164F1D">
        <w:t xml:space="preserve"> Application of Fusion Connect, Inc., for Consent to a Transaction that Will Result in a Change of Control of Companies Holding Domestic </w:t>
      </w:r>
      <w:r w:rsidR="008B51AD">
        <w:t xml:space="preserve">and International </w:t>
      </w:r>
      <w:r w:rsidRPr="00164F1D">
        <w:t>Authority Pursuant to Section 214 of the Communications Act of 1934, as Amended, WC Docket No. 20-44</w:t>
      </w:r>
      <w:r w:rsidR="004F60EC">
        <w:t xml:space="preserve">; </w:t>
      </w:r>
      <w:r w:rsidRPr="00637E27" w:rsidR="004F60EC">
        <w:t>IB File No. ITC-T/C-20200213-00030</w:t>
      </w:r>
      <w:r w:rsidRPr="00164F1D">
        <w:t xml:space="preserve"> (filed </w:t>
      </w:r>
      <w:r>
        <w:t>July 22</w:t>
      </w:r>
      <w:r w:rsidRPr="00164F1D">
        <w:t xml:space="preserve">, 2020) </w:t>
      </w:r>
      <w:r>
        <w:t>(Restated Application</w:t>
      </w:r>
      <w:r w:rsidR="0054043D">
        <w:t>).  The Restated Application replaces, in its entirety, Fusion’s application filed on February 13, 2020.  Letter from Edward A. Yorkgitis, Jr. and Denise N. Smith, Counsel for Fusion, to Marlene H. Dortch, Secretary, FCC, WC Docket No. 20-44 (filed July 22, 2020</w:t>
      </w:r>
      <w:r w:rsidR="008B51AD">
        <w:t>)</w:t>
      </w:r>
      <w:r w:rsidR="0054043D">
        <w:t xml:space="preserve"> (on file in WC Docket No. 20-44). </w:t>
      </w:r>
      <w:r w:rsidR="00FB6AC1">
        <w:t xml:space="preserve"> </w:t>
      </w:r>
      <w:r w:rsidR="008B51AD">
        <w:t>A grant of the domestic section 214 Restated Application is without prejudice to Commission action on other related, pending applications.</w:t>
      </w:r>
    </w:p>
  </w:footnote>
  <w:footnote w:id="4">
    <w:p w:rsidR="005614FA" w:rsidP="001F1CB2">
      <w:pPr>
        <w:pStyle w:val="FootnoteText"/>
      </w:pPr>
      <w:r>
        <w:rPr>
          <w:rStyle w:val="FootnoteReference"/>
        </w:rPr>
        <w:footnoteRef/>
      </w:r>
      <w:r>
        <w:t xml:space="preserve"> </w:t>
      </w:r>
      <w:r w:rsidRPr="00207939" w:rsidR="00207939">
        <w:rPr>
          <w:i/>
          <w:iCs/>
        </w:rPr>
        <w:t>Application</w:t>
      </w:r>
      <w:r w:rsidR="009901F7">
        <w:rPr>
          <w:i/>
          <w:iCs/>
        </w:rPr>
        <w:t>s</w:t>
      </w:r>
      <w:r w:rsidRPr="00207939" w:rsidR="00207939">
        <w:rPr>
          <w:i/>
          <w:iCs/>
        </w:rPr>
        <w:t xml:space="preserve"> Filed for the Transfer of Control of</w:t>
      </w:r>
      <w:r w:rsidR="009901F7">
        <w:rPr>
          <w:i/>
          <w:iCs/>
        </w:rPr>
        <w:t xml:space="preserve"> Fusion Connect, Inc. and Subsidiaries</w:t>
      </w:r>
      <w:r w:rsidRPr="00207939" w:rsidR="00207939">
        <w:t>, WC Docket No. 20-</w:t>
      </w:r>
      <w:r w:rsidR="009D708B">
        <w:t>44</w:t>
      </w:r>
      <w:r w:rsidR="00207939">
        <w:t>, Public Notice, DA 20-</w:t>
      </w:r>
      <w:r w:rsidR="009901F7">
        <w:t>806</w:t>
      </w:r>
      <w:r w:rsidRPr="008670A1">
        <w:t xml:space="preserve"> </w:t>
      </w:r>
      <w:r>
        <w:t>(WCB 20</w:t>
      </w:r>
      <w:r w:rsidR="00A51758">
        <w:t>20</w:t>
      </w:r>
      <w:r>
        <w:t xml:space="preserve">).     </w:t>
      </w:r>
    </w:p>
  </w:footnote>
  <w:footnote w:id="5">
    <w:p w:rsidR="0095057C">
      <w:pPr>
        <w:pStyle w:val="FootnoteText"/>
      </w:pPr>
      <w:r>
        <w:rPr>
          <w:rStyle w:val="FootnoteReference"/>
        </w:rPr>
        <w:footnoteRef/>
      </w:r>
      <w:r>
        <w:t xml:space="preserve"> Restated Application at 2.</w:t>
      </w:r>
    </w:p>
  </w:footnote>
  <w:footnote w:id="6">
    <w:p w:rsidR="009901F7" w:rsidRPr="0090545D" w:rsidP="009901F7">
      <w:pPr>
        <w:pStyle w:val="FootnoteText"/>
        <w:rPr>
          <w:i/>
          <w:iCs/>
        </w:rPr>
      </w:pPr>
      <w:r w:rsidRPr="004E72B7">
        <w:rPr>
          <w:rStyle w:val="FootnoteReference"/>
          <w:sz w:val="20"/>
        </w:rPr>
        <w:footnoteRef/>
      </w:r>
      <w:r w:rsidRPr="004E72B7">
        <w:t xml:space="preserve"> </w:t>
      </w:r>
      <w:r w:rsidRPr="0090545D">
        <w:t xml:space="preserve">On June 3, 2019, Fusion and its subsidiaries filed with the United States Bankruptcy Court for the Southern District of New York (Bankruptcy Court) a voluntary case under Chapter 11 of the United States Code.  On December 17, 2019, the Bankruptcy Court approved the reorganization plan.  </w:t>
      </w:r>
      <w:r w:rsidR="004C70FB">
        <w:t>Restated Application at 4 (citing Fusion Connect, Inc., et al., Debtors, Case No. 19-11811 (Bankr. S.D.N.Y. June 3, 2019); Fusion Connect, Inc., et al., Order (I) Confirming Third Amended Joint Chapter 11 Plan of Fusion Connect, Inc. and its Subsidiary Debtors and (II) Granting Related Relief, Case No. 19-11811 (SMB) (Bankr. S.D.N.Y. December 17, 2019)).</w:t>
      </w:r>
    </w:p>
  </w:footnote>
  <w:footnote w:id="7">
    <w:p w:rsidR="0095057C" w:rsidRPr="0095057C">
      <w:pPr>
        <w:pStyle w:val="FootnoteText"/>
      </w:pPr>
      <w:r>
        <w:rPr>
          <w:rStyle w:val="FootnoteReference"/>
        </w:rPr>
        <w:footnoteRef/>
      </w:r>
      <w:r>
        <w:t xml:space="preserve"> Restated Application at 6.</w:t>
      </w:r>
    </w:p>
  </w:footnote>
  <w:footnote w:id="8">
    <w:p w:rsidR="009901F7" w:rsidRPr="004E72B7" w:rsidP="009901F7">
      <w:pPr>
        <w:pStyle w:val="FootnoteText"/>
      </w:pPr>
      <w:r>
        <w:rPr>
          <w:rStyle w:val="FootnoteReference"/>
        </w:rPr>
        <w:footnoteRef/>
      </w:r>
      <w:r>
        <w:t xml:space="preserve"> </w:t>
      </w:r>
      <w:r w:rsidRPr="0090545D">
        <w:t>On</w:t>
      </w:r>
      <w:r w:rsidRPr="004E72B7">
        <w:t xml:space="preserve"> January 10, 2020, the </w:t>
      </w:r>
      <w:r>
        <w:t>Bureau</w:t>
      </w:r>
      <w:r w:rsidR="00EC2DFD">
        <w:t>, along with the International Bureau,</w:t>
      </w:r>
      <w:r w:rsidRPr="004E72B7">
        <w:t xml:space="preserve"> granted the application</w:t>
      </w:r>
      <w:r>
        <w:t>s to</w:t>
      </w:r>
      <w:r w:rsidRPr="004E72B7">
        <w:t xml:space="preserve"> transfer control of Fusion Connect</w:t>
      </w:r>
      <w:r>
        <w:t>,</w:t>
      </w:r>
      <w:r w:rsidRPr="004E72B7">
        <w:t xml:space="preserve"> debtor-in-possession</w:t>
      </w:r>
      <w:r>
        <w:t>,</w:t>
      </w:r>
      <w:r w:rsidRPr="004E72B7">
        <w:t xml:space="preserve"> to Telecom Holdings, </w:t>
      </w:r>
      <w:r>
        <w:t>conditioned “upon the filing, no later than 30 days after closing the transaction authorized by such grant, of a petition for declaratory ruling to exceed the aggregate foreign ownership benchmark set forth in section 310(b)(4) of the Act and necessary transfer applications</w:t>
      </w:r>
      <w:r w:rsidRPr="004E72B7">
        <w:t>.</w:t>
      </w:r>
      <w:r>
        <w:t>”</w:t>
      </w:r>
      <w:r w:rsidRPr="004E72B7">
        <w:t xml:space="preserve">  </w:t>
      </w:r>
      <w:r w:rsidRPr="004E72B7">
        <w:rPr>
          <w:i/>
          <w:iCs/>
        </w:rPr>
        <w:t>Applications Granted for the Transfer of Control of Fusion Connect, Inc., Debtor-in-Possession, and Subsidiaries</w:t>
      </w:r>
      <w:r w:rsidRPr="004E72B7">
        <w:t xml:space="preserve">, Public Notice, </w:t>
      </w:r>
      <w:r w:rsidR="003942C1">
        <w:t xml:space="preserve">WC Docket No. 19-262, Public Notice, </w:t>
      </w:r>
      <w:r w:rsidRPr="004E72B7">
        <w:t>DA 20-43 (WCB/IB, Jan. 10, 2020)</w:t>
      </w:r>
      <w:r w:rsidR="009D708B">
        <w:t xml:space="preserve"> </w:t>
      </w:r>
      <w:r w:rsidRPr="005C24D8" w:rsidR="005C24D8">
        <w:t>(</w:t>
      </w:r>
      <w:r w:rsidRPr="005C24D8" w:rsidR="005C24D8">
        <w:rPr>
          <w:i/>
          <w:iCs/>
        </w:rPr>
        <w:t>First Transaction Grant Public Notice</w:t>
      </w:r>
      <w:r w:rsidRPr="005C24D8" w:rsidR="005C24D8">
        <w:t>)</w:t>
      </w:r>
      <w:r w:rsidR="005C24D8">
        <w:t xml:space="preserve">. </w:t>
      </w:r>
      <w:r w:rsidR="009D708B">
        <w:t xml:space="preserve"> </w:t>
      </w:r>
      <w:r>
        <w:t xml:space="preserve">Fusion </w:t>
      </w:r>
      <w:r w:rsidR="003942C1">
        <w:t xml:space="preserve">consummated the first transaction on </w:t>
      </w:r>
      <w:r>
        <w:t>January 14, 2020</w:t>
      </w:r>
      <w:r w:rsidR="003942C1">
        <w:t>, resulting in the substantive transfer of control of Fusion and its subsidiaries to Telecom Holdings</w:t>
      </w:r>
      <w:r>
        <w:t xml:space="preserve">.  </w:t>
      </w:r>
      <w:r w:rsidR="003942C1">
        <w:t>Letter from Denise N. Smith, Counsel to Fusion, and Wayne D. Johnsen, Counsel to Telecom Holdings, to Marlene H. Dortch, Secretary, FCC, WC Docket No. 19-262; IB File Nos ITC-ASG-20190724-00136, ISP-WAV20191009-00007, and ITC-WAV-20191009-00165 (filed Jan. 23, 2020) (on file in WC Docket No. 19-262).</w:t>
      </w:r>
    </w:p>
  </w:footnote>
  <w:footnote w:id="9">
    <w:p w:rsidR="009901F7" w:rsidRPr="004E72B7" w:rsidP="009901F7">
      <w:pPr>
        <w:pStyle w:val="FootnoteText"/>
      </w:pPr>
      <w:r w:rsidRPr="004E72B7">
        <w:rPr>
          <w:rStyle w:val="FootnoteReference"/>
          <w:sz w:val="20"/>
        </w:rPr>
        <w:footnoteRef/>
      </w:r>
      <w:r w:rsidRPr="004E72B7">
        <w:t xml:space="preserve"> </w:t>
      </w:r>
      <w:r w:rsidRPr="00BD50BA">
        <w:rPr>
          <w:i/>
          <w:iCs/>
        </w:rPr>
        <w:t>First Transaction Grant Public Notice</w:t>
      </w:r>
      <w:r>
        <w:t xml:space="preserve"> </w:t>
      </w:r>
      <w:r w:rsidRPr="004E72B7">
        <w:t>at 3</w:t>
      </w:r>
      <w:r>
        <w:t xml:space="preserve">.  </w:t>
      </w:r>
      <w:r w:rsidRPr="00EC2DFD">
        <w:t xml:space="preserve">Special Warrants, rather than, or in addition to, shares of common stock of Fusion were issued to certain </w:t>
      </w:r>
      <w:r w:rsidR="005C24D8">
        <w:t>l</w:t>
      </w:r>
      <w:r w:rsidRPr="00EC2DFD">
        <w:t xml:space="preserve">enders insofar as their equity ownership of Fusion required review under the foreign ownership provisions in section 310(b)(4), in addition to the transfer of control provisions in sections 214 and 310(d) of the Act and associated Commission rules.  47 U.S.C. §§ 214, 310(b)(4) and (d). </w:t>
      </w:r>
      <w:bookmarkStart w:id="2" w:name="_Hlk32994003"/>
      <w:r w:rsidR="00422B9A">
        <w:t xml:space="preserve"> </w:t>
      </w:r>
      <w:r w:rsidRPr="00A77268" w:rsidR="00A77268">
        <w:t>Special Warrants represent a future right to acquire shares of Fusion’s common stock and cannot be exercised until Fusion has secured any necessary Commission approvals</w:t>
      </w:r>
      <w:r w:rsidRPr="004E72B7" w:rsidR="00A77268">
        <w:t>.</w:t>
      </w:r>
      <w:r w:rsidR="0095057C">
        <w:t xml:space="preserve">  Restated Application at 5-6</w:t>
      </w:r>
      <w:r w:rsidR="00161259">
        <w:t xml:space="preserve">; </w:t>
      </w:r>
      <w:r w:rsidRPr="004F60EC" w:rsidR="00161259">
        <w:rPr>
          <w:i/>
          <w:iCs/>
        </w:rPr>
        <w:t>First Transaction Grant Public Notice</w:t>
      </w:r>
      <w:r w:rsidR="00161259">
        <w:t xml:space="preserve"> at 3</w:t>
      </w:r>
      <w:r w:rsidR="0095057C">
        <w:t>.</w:t>
      </w:r>
      <w:r w:rsidR="00A77268">
        <w:t xml:space="preserve">  </w:t>
      </w:r>
    </w:p>
    <w:bookmarkEnd w:id="2"/>
  </w:footnote>
  <w:footnote w:id="10">
    <w:p w:rsidR="0095057C">
      <w:pPr>
        <w:pStyle w:val="FootnoteText"/>
      </w:pPr>
      <w:r>
        <w:rPr>
          <w:rStyle w:val="FootnoteReference"/>
        </w:rPr>
        <w:footnoteRef/>
      </w:r>
      <w:r>
        <w:t xml:space="preserve"> Restated Application at 6-7.</w:t>
      </w:r>
    </w:p>
  </w:footnote>
  <w:footnote w:id="11">
    <w:p w:rsidR="0095057C" w:rsidRPr="0095057C">
      <w:pPr>
        <w:pStyle w:val="FootnoteText"/>
      </w:pPr>
      <w:r>
        <w:rPr>
          <w:rStyle w:val="FootnoteReference"/>
        </w:rPr>
        <w:footnoteRef/>
      </w:r>
      <w:r>
        <w:t xml:space="preserve"> </w:t>
      </w:r>
      <w:r>
        <w:rPr>
          <w:i/>
          <w:iCs/>
        </w:rPr>
        <w:t>Id</w:t>
      </w:r>
      <w:r>
        <w:t>. at 7.</w:t>
      </w:r>
    </w:p>
  </w:footnote>
  <w:footnote w:id="12">
    <w:p w:rsidR="009901F7" w:rsidRPr="00D06FA2" w:rsidP="009901F7">
      <w:pPr>
        <w:pStyle w:val="FootnoteText"/>
      </w:pPr>
      <w:r w:rsidRPr="00516819">
        <w:rPr>
          <w:rStyle w:val="FootnoteReference"/>
          <w:sz w:val="20"/>
        </w:rPr>
        <w:footnoteRef/>
      </w:r>
      <w:r w:rsidRPr="00516819">
        <w:t xml:space="preserve"> </w:t>
      </w:r>
      <w:r w:rsidR="0095057C">
        <w:rPr>
          <w:i/>
          <w:iCs/>
        </w:rPr>
        <w:t>Id</w:t>
      </w:r>
      <w:r w:rsidR="0095057C">
        <w:t>.</w:t>
      </w:r>
      <w:r w:rsidR="0095057C">
        <w:rPr>
          <w:i/>
          <w:iCs/>
        </w:rPr>
        <w:t xml:space="preserve">  </w:t>
      </w:r>
      <w:r w:rsidR="004F60EC">
        <w:t>According to Applicant, u</w:t>
      </w:r>
      <w:r w:rsidRPr="00D06FA2" w:rsidR="00D06FA2">
        <w:t>pon their exercise of the Special Warrants, the following institutional investor entities would hold in excess of 10% of Fusion’s common stock:  entities managed by CBAM CLO Management, LLC (Cayman Islands, Kansas, and Delaware citizenship, approximately 12.63%); Invesco Ltd. (Bermuda, Delaware, Colorado, and United Kingdom citizenship, approximately 11.49%), Morgan Stanley/North Haven Entities (Delaware citizenship, approximately 12.88%)</w:t>
      </w:r>
      <w:r w:rsidR="00B17B13">
        <w:rPr>
          <w:vertAlign w:val="superscript"/>
        </w:rPr>
        <w:t>,</w:t>
      </w:r>
      <w:r w:rsidRPr="00D06FA2" w:rsidR="00D06FA2">
        <w:t xml:space="preserve"> and Vector Fusion Holdings (Cayman), LTD</w:t>
      </w:r>
      <w:r w:rsidR="00B17B13">
        <w:t xml:space="preserve"> (</w:t>
      </w:r>
      <w:r w:rsidRPr="00B17B13" w:rsidR="00B17B13">
        <w:t>Cayman Islands and Delaware citizenship, approximately 27.87%)</w:t>
      </w:r>
      <w:r w:rsidRPr="00D06FA2" w:rsidR="00D06FA2">
        <w:t xml:space="preserve">.  </w:t>
      </w:r>
      <w:r w:rsidRPr="004F60EC" w:rsidR="0095057C">
        <w:rPr>
          <w:i/>
          <w:iCs/>
        </w:rPr>
        <w:t>Id</w:t>
      </w:r>
      <w:r w:rsidR="0095057C">
        <w:t>. at Attach. 1 at 18-</w:t>
      </w:r>
      <w:r w:rsidR="00717B07">
        <w:t>32</w:t>
      </w:r>
      <w:r w:rsidR="0095057C">
        <w:t xml:space="preserve">. </w:t>
      </w:r>
      <w:r w:rsidR="004F60EC">
        <w:t xml:space="preserve"> </w:t>
      </w:r>
      <w:r w:rsidRPr="00D06FA2" w:rsidR="004F60EC">
        <w:t>Applicant states that none of these entities hold an interest in any other telecommunications provider.</w:t>
      </w:r>
      <w:r w:rsidR="004F60EC">
        <w:t xml:space="preserve">  </w:t>
      </w:r>
      <w:r w:rsidRPr="0095057C" w:rsidR="004F60EC">
        <w:rPr>
          <w:i/>
          <w:iCs/>
        </w:rPr>
        <w:t>Id</w:t>
      </w:r>
      <w:r w:rsidR="004F60EC">
        <w:t>. at n.</w:t>
      </w:r>
      <w:r w:rsidR="00B17836">
        <w:t xml:space="preserve"> </w:t>
      </w:r>
      <w:r w:rsidR="004F60EC">
        <w:t xml:space="preserve">20 and Attach. 1 at 29, 32.  </w:t>
      </w:r>
      <w:r w:rsidR="0095057C">
        <w:t>Applicant provided detailed ownership information in Attach. 1, as well as pre-and post-transaction ownership charts in Attach. 3.</w:t>
      </w:r>
    </w:p>
  </w:footnote>
  <w:footnote w:id="13">
    <w:p w:rsidR="005614FA" w:rsidRPr="000009A3" w:rsidP="001F1CB2">
      <w:pPr>
        <w:pStyle w:val="FootnoteText"/>
        <w:rPr>
          <w:color w:val="000000"/>
        </w:rPr>
      </w:pPr>
      <w:r>
        <w:rPr>
          <w:rStyle w:val="FootnoteReference"/>
          <w:color w:val="000000"/>
        </w:rPr>
        <w:footnoteRef/>
      </w:r>
      <w:r>
        <w:rPr>
          <w:color w:val="000000"/>
        </w:rPr>
        <w:t xml:space="preserve"> </w:t>
      </w:r>
      <w:bookmarkStart w:id="3" w:name="_Hlk54947808"/>
      <w:r>
        <w:rPr>
          <w:color w:val="000000"/>
        </w:rPr>
        <w:t xml:space="preserve">Letter from </w:t>
      </w:r>
      <w:r w:rsidR="007F40C5">
        <w:rPr>
          <w:color w:val="000000"/>
        </w:rPr>
        <w:t>Alice Suh Jou</w:t>
      </w:r>
      <w:r>
        <w:rPr>
          <w:color w:val="000000"/>
        </w:rPr>
        <w:t xml:space="preserve">, U.S. Department of Justice, to Marlene H. Dortch, </w:t>
      </w:r>
      <w:r w:rsidR="00717B07">
        <w:rPr>
          <w:color w:val="000000"/>
        </w:rPr>
        <w:t xml:space="preserve">Secretary, </w:t>
      </w:r>
      <w:r>
        <w:rPr>
          <w:color w:val="000000"/>
        </w:rPr>
        <w:t xml:space="preserve">FCC, </w:t>
      </w:r>
      <w:r w:rsidRPr="007F40C5" w:rsidR="007F40C5">
        <w:rPr>
          <w:color w:val="000000"/>
        </w:rPr>
        <w:t>WC Docket No. 20-</w:t>
      </w:r>
      <w:r w:rsidR="00BD0A9B">
        <w:rPr>
          <w:color w:val="000000"/>
        </w:rPr>
        <w:t>44</w:t>
      </w:r>
      <w:r w:rsidR="00FB6AC1">
        <w:rPr>
          <w:color w:val="000000"/>
        </w:rPr>
        <w:t xml:space="preserve">; </w:t>
      </w:r>
      <w:r w:rsidRPr="00637E27" w:rsidR="00FB6AC1">
        <w:t>IB File No. ITC-T/C-20200213-00030</w:t>
      </w:r>
      <w:r w:rsidR="00441312">
        <w:rPr>
          <w:color w:val="000000"/>
        </w:rPr>
        <w:t xml:space="preserve"> (</w:t>
      </w:r>
      <w:r w:rsidR="00BD0A9B">
        <w:rPr>
          <w:color w:val="000000"/>
        </w:rPr>
        <w:t>Aug. 3</w:t>
      </w:r>
      <w:r w:rsidR="00441312">
        <w:rPr>
          <w:color w:val="000000"/>
        </w:rPr>
        <w:t>, 2020)</w:t>
      </w:r>
      <w:r w:rsidRPr="000D5BC1" w:rsidR="007F40C5">
        <w:rPr>
          <w:color w:val="000000"/>
        </w:rPr>
        <w:t xml:space="preserve"> </w:t>
      </w:r>
      <w:r w:rsidRPr="000D5BC1" w:rsidR="00413423">
        <w:rPr>
          <w:color w:val="000000"/>
        </w:rPr>
        <w:t>(</w:t>
      </w:r>
      <w:r w:rsidRPr="000D5BC1" w:rsidR="00413423">
        <w:t xml:space="preserve">on file in WC Docket No. </w:t>
      </w:r>
      <w:r w:rsidRPr="000D5BC1" w:rsidR="007F40C5">
        <w:t>20-</w:t>
      </w:r>
      <w:r w:rsidR="00BD0A9B">
        <w:t>44</w:t>
      </w:r>
      <w:r w:rsidRPr="000D5BC1" w:rsidR="00413423">
        <w:t>)</w:t>
      </w:r>
      <w:r w:rsidRPr="000D5BC1">
        <w:rPr>
          <w:color w:val="000000"/>
        </w:rPr>
        <w:t>.</w:t>
      </w:r>
      <w:bookmarkEnd w:id="3"/>
    </w:p>
  </w:footnote>
  <w:footnote w:id="14">
    <w:p w:rsidR="00E96AC2">
      <w:pPr>
        <w:pStyle w:val="FootnoteText"/>
      </w:pPr>
      <w:r>
        <w:rPr>
          <w:rStyle w:val="FootnoteReference"/>
        </w:rPr>
        <w:footnoteRef/>
      </w:r>
      <w:r>
        <w:t xml:space="preserve"> </w:t>
      </w:r>
      <w:r w:rsidRPr="00BD0A9B" w:rsidR="00BD0A9B">
        <w:t xml:space="preserve">Letter from Alice Suh Jou, U.S. Department of Justice, to Marlene H. Dortch, </w:t>
      </w:r>
      <w:r w:rsidR="004F60EC">
        <w:t xml:space="preserve">Secretary, </w:t>
      </w:r>
      <w:r w:rsidRPr="00BD0A9B" w:rsidR="00BD0A9B">
        <w:t>FCC, WC Docket No. 20-44</w:t>
      </w:r>
      <w:r w:rsidR="00FB6AC1">
        <w:t xml:space="preserve">; </w:t>
      </w:r>
      <w:r w:rsidRPr="00637E27" w:rsidR="00FB6AC1">
        <w:t xml:space="preserve">IB File No. ITC-T/C-20200213-00030 </w:t>
      </w:r>
      <w:r w:rsidR="00161259">
        <w:t xml:space="preserve">(filed Oct. 20, 2020) </w:t>
      </w:r>
      <w:r w:rsidRPr="00BD0A9B" w:rsidR="00BD0A9B">
        <w:t>(on file in WC Docket No. 20-44).</w:t>
      </w:r>
    </w:p>
  </w:footnote>
  <w:footnote w:id="15">
    <w:p w:rsidR="006F4636">
      <w:pPr>
        <w:pStyle w:val="FootnoteText"/>
      </w:pPr>
      <w:r>
        <w:rPr>
          <w:rStyle w:val="FootnoteReference"/>
        </w:rPr>
        <w:footnoteRef/>
      </w:r>
      <w:r>
        <w:t xml:space="preserve"> Letter from Kathy Smith, Chief Counsel, National Telecommunications and Information Administration, to Marlene H. Dortch, </w:t>
      </w:r>
      <w:r w:rsidR="004F60EC">
        <w:t xml:space="preserve">Secretary, </w:t>
      </w:r>
      <w:r>
        <w:t>FCC, WC Docket No. 20-44</w:t>
      </w:r>
      <w:r w:rsidR="00FB6AC1">
        <w:t xml:space="preserve">; </w:t>
      </w:r>
      <w:r w:rsidRPr="00637E27" w:rsidR="00FB6AC1">
        <w:t xml:space="preserve">IB File No. ITC-T/C-20200213-00030 </w:t>
      </w:r>
      <w:r w:rsidR="00161259">
        <w:t>(filed Feb. 22, 2021)</w:t>
      </w:r>
      <w:r>
        <w:t xml:space="preserve"> (on file in WC Docket No. 20-44).</w:t>
      </w:r>
    </w:p>
  </w:footnote>
  <w:footnote w:id="16">
    <w:p w:rsidR="002D7CCE" w:rsidP="002D7CCE">
      <w:pPr>
        <w:pStyle w:val="FootnoteText"/>
      </w:pPr>
      <w:r>
        <w:rPr>
          <w:rStyle w:val="FootnoteReference"/>
        </w:rPr>
        <w:footnoteRef/>
      </w:r>
      <w:r w:rsidR="00FB6AC1">
        <w:t xml:space="preserve"> See 47 U.S.C. § 214(a);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45 L St., N.E.</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75796D0F" w:rsidR="00C31891">
      <w:rPr>
        <w:rFonts w:ascii="Arial" w:hAnsi="Arial" w:cs="Arial"/>
        <w:b/>
        <w:bCs/>
        <w:sz w:val="96"/>
        <w:szCs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1250.4pt,56.7pt" to="1718.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pPr>
                  <w:jc w:val="right"/>
                </w:pP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FA"/>
    <w:rsid w:val="000009A3"/>
    <w:rsid w:val="000072CE"/>
    <w:rsid w:val="00013A8B"/>
    <w:rsid w:val="00016BF1"/>
    <w:rsid w:val="00021252"/>
    <w:rsid w:val="00021445"/>
    <w:rsid w:val="00023E9D"/>
    <w:rsid w:val="000326B7"/>
    <w:rsid w:val="00036039"/>
    <w:rsid w:val="00037F90"/>
    <w:rsid w:val="00044FC2"/>
    <w:rsid w:val="0004637E"/>
    <w:rsid w:val="000505D6"/>
    <w:rsid w:val="000578D9"/>
    <w:rsid w:val="000654FE"/>
    <w:rsid w:val="0007304F"/>
    <w:rsid w:val="000875BF"/>
    <w:rsid w:val="00090879"/>
    <w:rsid w:val="00096D8C"/>
    <w:rsid w:val="000A43AA"/>
    <w:rsid w:val="000A719C"/>
    <w:rsid w:val="000B206F"/>
    <w:rsid w:val="000B3A1F"/>
    <w:rsid w:val="000C0B65"/>
    <w:rsid w:val="000D50EB"/>
    <w:rsid w:val="000D5BC1"/>
    <w:rsid w:val="000E3D42"/>
    <w:rsid w:val="000E5884"/>
    <w:rsid w:val="000E6601"/>
    <w:rsid w:val="000F248A"/>
    <w:rsid w:val="000F3EAA"/>
    <w:rsid w:val="000F70F5"/>
    <w:rsid w:val="000F7336"/>
    <w:rsid w:val="000F7AFB"/>
    <w:rsid w:val="00114C73"/>
    <w:rsid w:val="00116C3F"/>
    <w:rsid w:val="00122BD5"/>
    <w:rsid w:val="0012361D"/>
    <w:rsid w:val="001330FF"/>
    <w:rsid w:val="001415BA"/>
    <w:rsid w:val="00144A2D"/>
    <w:rsid w:val="001539F3"/>
    <w:rsid w:val="001541A8"/>
    <w:rsid w:val="00154EB8"/>
    <w:rsid w:val="00161259"/>
    <w:rsid w:val="00164F1D"/>
    <w:rsid w:val="00164FFA"/>
    <w:rsid w:val="00181174"/>
    <w:rsid w:val="001975FA"/>
    <w:rsid w:val="001979D9"/>
    <w:rsid w:val="001A0E9C"/>
    <w:rsid w:val="001A6361"/>
    <w:rsid w:val="001B158F"/>
    <w:rsid w:val="001C4655"/>
    <w:rsid w:val="001D0A43"/>
    <w:rsid w:val="001D6BCF"/>
    <w:rsid w:val="001E01CA"/>
    <w:rsid w:val="001E397D"/>
    <w:rsid w:val="001E410D"/>
    <w:rsid w:val="001F1CB2"/>
    <w:rsid w:val="001F1FC6"/>
    <w:rsid w:val="001F1FF1"/>
    <w:rsid w:val="001F3582"/>
    <w:rsid w:val="001F731B"/>
    <w:rsid w:val="00204D99"/>
    <w:rsid w:val="002060D9"/>
    <w:rsid w:val="00206137"/>
    <w:rsid w:val="002078DE"/>
    <w:rsid w:val="00207939"/>
    <w:rsid w:val="00215AF2"/>
    <w:rsid w:val="0021655B"/>
    <w:rsid w:val="00224DB8"/>
    <w:rsid w:val="0022664E"/>
    <w:rsid w:val="00226822"/>
    <w:rsid w:val="00227E61"/>
    <w:rsid w:val="002334CD"/>
    <w:rsid w:val="00240A9F"/>
    <w:rsid w:val="00242F44"/>
    <w:rsid w:val="00245087"/>
    <w:rsid w:val="002456F6"/>
    <w:rsid w:val="0025072B"/>
    <w:rsid w:val="0025082C"/>
    <w:rsid w:val="00254E19"/>
    <w:rsid w:val="002572DC"/>
    <w:rsid w:val="00260594"/>
    <w:rsid w:val="00264313"/>
    <w:rsid w:val="00276C04"/>
    <w:rsid w:val="00280975"/>
    <w:rsid w:val="00285017"/>
    <w:rsid w:val="00286468"/>
    <w:rsid w:val="002A03DD"/>
    <w:rsid w:val="002A2D2E"/>
    <w:rsid w:val="002A6D6A"/>
    <w:rsid w:val="002B0207"/>
    <w:rsid w:val="002B4C9C"/>
    <w:rsid w:val="002C1AF9"/>
    <w:rsid w:val="002D447E"/>
    <w:rsid w:val="002D6286"/>
    <w:rsid w:val="002D62DD"/>
    <w:rsid w:val="002D7A48"/>
    <w:rsid w:val="002D7CCE"/>
    <w:rsid w:val="002F2339"/>
    <w:rsid w:val="002F7221"/>
    <w:rsid w:val="00307030"/>
    <w:rsid w:val="0031328E"/>
    <w:rsid w:val="0032799C"/>
    <w:rsid w:val="00327A84"/>
    <w:rsid w:val="00343749"/>
    <w:rsid w:val="00344102"/>
    <w:rsid w:val="00353A57"/>
    <w:rsid w:val="00357D50"/>
    <w:rsid w:val="003602FC"/>
    <w:rsid w:val="00377C00"/>
    <w:rsid w:val="00381FE8"/>
    <w:rsid w:val="00385229"/>
    <w:rsid w:val="003925DC"/>
    <w:rsid w:val="003942C1"/>
    <w:rsid w:val="00395F38"/>
    <w:rsid w:val="0039668F"/>
    <w:rsid w:val="003A3FC6"/>
    <w:rsid w:val="003A49D1"/>
    <w:rsid w:val="003B0550"/>
    <w:rsid w:val="003B06B7"/>
    <w:rsid w:val="003B28FF"/>
    <w:rsid w:val="003B366F"/>
    <w:rsid w:val="003B694F"/>
    <w:rsid w:val="003C2436"/>
    <w:rsid w:val="003C47B1"/>
    <w:rsid w:val="003C589A"/>
    <w:rsid w:val="003E7B6C"/>
    <w:rsid w:val="003F171C"/>
    <w:rsid w:val="00402A03"/>
    <w:rsid w:val="00403231"/>
    <w:rsid w:val="00412582"/>
    <w:rsid w:val="00412FC5"/>
    <w:rsid w:val="00413423"/>
    <w:rsid w:val="00420182"/>
    <w:rsid w:val="00422276"/>
    <w:rsid w:val="00422B9A"/>
    <w:rsid w:val="004242F1"/>
    <w:rsid w:val="004243FE"/>
    <w:rsid w:val="00432406"/>
    <w:rsid w:val="00441312"/>
    <w:rsid w:val="00445A00"/>
    <w:rsid w:val="00451B0F"/>
    <w:rsid w:val="0046125F"/>
    <w:rsid w:val="00462520"/>
    <w:rsid w:val="00466B8E"/>
    <w:rsid w:val="0046783E"/>
    <w:rsid w:val="00470E9D"/>
    <w:rsid w:val="004806FB"/>
    <w:rsid w:val="004872D0"/>
    <w:rsid w:val="00487524"/>
    <w:rsid w:val="004876D1"/>
    <w:rsid w:val="004903BF"/>
    <w:rsid w:val="004928F5"/>
    <w:rsid w:val="004943CA"/>
    <w:rsid w:val="0049488B"/>
    <w:rsid w:val="00495252"/>
    <w:rsid w:val="00496106"/>
    <w:rsid w:val="004A660E"/>
    <w:rsid w:val="004B088F"/>
    <w:rsid w:val="004B091D"/>
    <w:rsid w:val="004B6492"/>
    <w:rsid w:val="004C12D0"/>
    <w:rsid w:val="004C2EE3"/>
    <w:rsid w:val="004C3FFB"/>
    <w:rsid w:val="004C70FB"/>
    <w:rsid w:val="004D22C3"/>
    <w:rsid w:val="004E4A22"/>
    <w:rsid w:val="004E72B7"/>
    <w:rsid w:val="004F35CA"/>
    <w:rsid w:val="004F4239"/>
    <w:rsid w:val="004F60EC"/>
    <w:rsid w:val="00511968"/>
    <w:rsid w:val="00516819"/>
    <w:rsid w:val="00516C98"/>
    <w:rsid w:val="0052214B"/>
    <w:rsid w:val="00525F91"/>
    <w:rsid w:val="00536CF8"/>
    <w:rsid w:val="0054043D"/>
    <w:rsid w:val="0054650E"/>
    <w:rsid w:val="00550354"/>
    <w:rsid w:val="0055614C"/>
    <w:rsid w:val="005614FA"/>
    <w:rsid w:val="00563C1F"/>
    <w:rsid w:val="00564FFA"/>
    <w:rsid w:val="00577322"/>
    <w:rsid w:val="00577BFF"/>
    <w:rsid w:val="00581C61"/>
    <w:rsid w:val="00582BAF"/>
    <w:rsid w:val="00595381"/>
    <w:rsid w:val="005A0BF4"/>
    <w:rsid w:val="005A3062"/>
    <w:rsid w:val="005A4610"/>
    <w:rsid w:val="005C24D8"/>
    <w:rsid w:val="005C680A"/>
    <w:rsid w:val="005C7EF4"/>
    <w:rsid w:val="005D0403"/>
    <w:rsid w:val="005D0A49"/>
    <w:rsid w:val="005E347C"/>
    <w:rsid w:val="005E5F6A"/>
    <w:rsid w:val="005E74A9"/>
    <w:rsid w:val="00603CBE"/>
    <w:rsid w:val="00607BA5"/>
    <w:rsid w:val="006126AF"/>
    <w:rsid w:val="00620DBB"/>
    <w:rsid w:val="00620F82"/>
    <w:rsid w:val="00621457"/>
    <w:rsid w:val="00626EB6"/>
    <w:rsid w:val="006275B0"/>
    <w:rsid w:val="00631B71"/>
    <w:rsid w:val="006353A3"/>
    <w:rsid w:val="00637E27"/>
    <w:rsid w:val="00642E7B"/>
    <w:rsid w:val="00643878"/>
    <w:rsid w:val="00655D03"/>
    <w:rsid w:val="00664AB4"/>
    <w:rsid w:val="00675E8A"/>
    <w:rsid w:val="00683F84"/>
    <w:rsid w:val="00684738"/>
    <w:rsid w:val="006A6A81"/>
    <w:rsid w:val="006B5D0A"/>
    <w:rsid w:val="006B6F46"/>
    <w:rsid w:val="006C47FA"/>
    <w:rsid w:val="006C7A94"/>
    <w:rsid w:val="006D40DD"/>
    <w:rsid w:val="006D760F"/>
    <w:rsid w:val="006E26AF"/>
    <w:rsid w:val="006E57B3"/>
    <w:rsid w:val="006F1183"/>
    <w:rsid w:val="006F4636"/>
    <w:rsid w:val="006F7393"/>
    <w:rsid w:val="00701094"/>
    <w:rsid w:val="007019FF"/>
    <w:rsid w:val="0070224F"/>
    <w:rsid w:val="00703BB5"/>
    <w:rsid w:val="0070486C"/>
    <w:rsid w:val="007115F7"/>
    <w:rsid w:val="007178B4"/>
    <w:rsid w:val="00717B07"/>
    <w:rsid w:val="00725674"/>
    <w:rsid w:val="00726F80"/>
    <w:rsid w:val="00735B84"/>
    <w:rsid w:val="00762FC4"/>
    <w:rsid w:val="007668C8"/>
    <w:rsid w:val="00780E7D"/>
    <w:rsid w:val="00785689"/>
    <w:rsid w:val="0079754B"/>
    <w:rsid w:val="007A0B06"/>
    <w:rsid w:val="007A1E6D"/>
    <w:rsid w:val="007B1170"/>
    <w:rsid w:val="007B72F9"/>
    <w:rsid w:val="007C2228"/>
    <w:rsid w:val="007C4371"/>
    <w:rsid w:val="007C5078"/>
    <w:rsid w:val="007C53B3"/>
    <w:rsid w:val="007C674D"/>
    <w:rsid w:val="007D3761"/>
    <w:rsid w:val="007D6054"/>
    <w:rsid w:val="007F0DBB"/>
    <w:rsid w:val="007F29ED"/>
    <w:rsid w:val="007F40C5"/>
    <w:rsid w:val="007F5818"/>
    <w:rsid w:val="00800267"/>
    <w:rsid w:val="00801FDC"/>
    <w:rsid w:val="008068FD"/>
    <w:rsid w:val="00822CE0"/>
    <w:rsid w:val="00825E7D"/>
    <w:rsid w:val="008275B8"/>
    <w:rsid w:val="0083155B"/>
    <w:rsid w:val="008338CE"/>
    <w:rsid w:val="00837C62"/>
    <w:rsid w:val="00841404"/>
    <w:rsid w:val="00841AB1"/>
    <w:rsid w:val="00844109"/>
    <w:rsid w:val="0084412A"/>
    <w:rsid w:val="00845944"/>
    <w:rsid w:val="00851E64"/>
    <w:rsid w:val="008550B5"/>
    <w:rsid w:val="0086068D"/>
    <w:rsid w:val="00861958"/>
    <w:rsid w:val="008670A1"/>
    <w:rsid w:val="008759A0"/>
    <w:rsid w:val="00880549"/>
    <w:rsid w:val="00885346"/>
    <w:rsid w:val="00890537"/>
    <w:rsid w:val="008928B0"/>
    <w:rsid w:val="00892BEE"/>
    <w:rsid w:val="00893955"/>
    <w:rsid w:val="008969B3"/>
    <w:rsid w:val="0089722C"/>
    <w:rsid w:val="008B3951"/>
    <w:rsid w:val="008B3DC7"/>
    <w:rsid w:val="008B51AD"/>
    <w:rsid w:val="008C22FD"/>
    <w:rsid w:val="008C2513"/>
    <w:rsid w:val="008D327D"/>
    <w:rsid w:val="008D5EA0"/>
    <w:rsid w:val="008D6240"/>
    <w:rsid w:val="008E5D2B"/>
    <w:rsid w:val="008F58CF"/>
    <w:rsid w:val="0090545D"/>
    <w:rsid w:val="00910F12"/>
    <w:rsid w:val="0091539A"/>
    <w:rsid w:val="0091650F"/>
    <w:rsid w:val="00923F59"/>
    <w:rsid w:val="00925ACF"/>
    <w:rsid w:val="00926397"/>
    <w:rsid w:val="00926503"/>
    <w:rsid w:val="0092692D"/>
    <w:rsid w:val="00926C1D"/>
    <w:rsid w:val="00930ECF"/>
    <w:rsid w:val="0093267F"/>
    <w:rsid w:val="009432A3"/>
    <w:rsid w:val="00943407"/>
    <w:rsid w:val="00943B23"/>
    <w:rsid w:val="0095053C"/>
    <w:rsid w:val="0095057C"/>
    <w:rsid w:val="00967271"/>
    <w:rsid w:val="009713DD"/>
    <w:rsid w:val="00976129"/>
    <w:rsid w:val="009801F8"/>
    <w:rsid w:val="009838BC"/>
    <w:rsid w:val="009901F7"/>
    <w:rsid w:val="009A65B8"/>
    <w:rsid w:val="009A685A"/>
    <w:rsid w:val="009B3988"/>
    <w:rsid w:val="009B63B0"/>
    <w:rsid w:val="009C2EC9"/>
    <w:rsid w:val="009C448A"/>
    <w:rsid w:val="009C73EF"/>
    <w:rsid w:val="009D36AB"/>
    <w:rsid w:val="009D708B"/>
    <w:rsid w:val="009E0A80"/>
    <w:rsid w:val="009F1761"/>
    <w:rsid w:val="00A03FAC"/>
    <w:rsid w:val="00A06E7E"/>
    <w:rsid w:val="00A13DDC"/>
    <w:rsid w:val="00A164EA"/>
    <w:rsid w:val="00A22D46"/>
    <w:rsid w:val="00A351CE"/>
    <w:rsid w:val="00A40309"/>
    <w:rsid w:val="00A42060"/>
    <w:rsid w:val="00A45F4F"/>
    <w:rsid w:val="00A51758"/>
    <w:rsid w:val="00A600A9"/>
    <w:rsid w:val="00A61E25"/>
    <w:rsid w:val="00A6263A"/>
    <w:rsid w:val="00A6329B"/>
    <w:rsid w:val="00A6538C"/>
    <w:rsid w:val="00A663DB"/>
    <w:rsid w:val="00A7404D"/>
    <w:rsid w:val="00A77268"/>
    <w:rsid w:val="00A84BCC"/>
    <w:rsid w:val="00A8620D"/>
    <w:rsid w:val="00A866AC"/>
    <w:rsid w:val="00A922E8"/>
    <w:rsid w:val="00A92F17"/>
    <w:rsid w:val="00A950E2"/>
    <w:rsid w:val="00AA52F2"/>
    <w:rsid w:val="00AA55B7"/>
    <w:rsid w:val="00AA5B9E"/>
    <w:rsid w:val="00AB2109"/>
    <w:rsid w:val="00AB2407"/>
    <w:rsid w:val="00AB53DF"/>
    <w:rsid w:val="00AB61ED"/>
    <w:rsid w:val="00AB7889"/>
    <w:rsid w:val="00AD50D4"/>
    <w:rsid w:val="00AD62E9"/>
    <w:rsid w:val="00AE47E9"/>
    <w:rsid w:val="00AF2B5C"/>
    <w:rsid w:val="00B07E5C"/>
    <w:rsid w:val="00B17836"/>
    <w:rsid w:val="00B17B13"/>
    <w:rsid w:val="00B31B86"/>
    <w:rsid w:val="00B326E3"/>
    <w:rsid w:val="00B3351F"/>
    <w:rsid w:val="00B36901"/>
    <w:rsid w:val="00B43169"/>
    <w:rsid w:val="00B44339"/>
    <w:rsid w:val="00B47261"/>
    <w:rsid w:val="00B61C60"/>
    <w:rsid w:val="00B7124D"/>
    <w:rsid w:val="00B73C0C"/>
    <w:rsid w:val="00B74EB4"/>
    <w:rsid w:val="00B811F7"/>
    <w:rsid w:val="00B82285"/>
    <w:rsid w:val="00B84BD2"/>
    <w:rsid w:val="00B959E6"/>
    <w:rsid w:val="00BA1383"/>
    <w:rsid w:val="00BA5DC6"/>
    <w:rsid w:val="00BA6196"/>
    <w:rsid w:val="00BB4022"/>
    <w:rsid w:val="00BC6D8C"/>
    <w:rsid w:val="00BD0A9B"/>
    <w:rsid w:val="00BD1F31"/>
    <w:rsid w:val="00BD38DB"/>
    <w:rsid w:val="00BD50BA"/>
    <w:rsid w:val="00BD5994"/>
    <w:rsid w:val="00C01B19"/>
    <w:rsid w:val="00C07140"/>
    <w:rsid w:val="00C077E1"/>
    <w:rsid w:val="00C14E8F"/>
    <w:rsid w:val="00C16AF2"/>
    <w:rsid w:val="00C2475E"/>
    <w:rsid w:val="00C24DD2"/>
    <w:rsid w:val="00C27859"/>
    <w:rsid w:val="00C31891"/>
    <w:rsid w:val="00C34006"/>
    <w:rsid w:val="00C35272"/>
    <w:rsid w:val="00C360F5"/>
    <w:rsid w:val="00C367FB"/>
    <w:rsid w:val="00C41A27"/>
    <w:rsid w:val="00C426B1"/>
    <w:rsid w:val="00C4665E"/>
    <w:rsid w:val="00C50A2E"/>
    <w:rsid w:val="00C70F5B"/>
    <w:rsid w:val="00C7200D"/>
    <w:rsid w:val="00C7222F"/>
    <w:rsid w:val="00C82B6B"/>
    <w:rsid w:val="00C90D6A"/>
    <w:rsid w:val="00CB14D4"/>
    <w:rsid w:val="00CB4801"/>
    <w:rsid w:val="00CC3745"/>
    <w:rsid w:val="00CC60EB"/>
    <w:rsid w:val="00CC6A10"/>
    <w:rsid w:val="00CC72B6"/>
    <w:rsid w:val="00CD5655"/>
    <w:rsid w:val="00CE359D"/>
    <w:rsid w:val="00CF1A56"/>
    <w:rsid w:val="00D0218D"/>
    <w:rsid w:val="00D04868"/>
    <w:rsid w:val="00D06FA2"/>
    <w:rsid w:val="00D12B3C"/>
    <w:rsid w:val="00D13707"/>
    <w:rsid w:val="00D216CD"/>
    <w:rsid w:val="00D238CC"/>
    <w:rsid w:val="00D26EF4"/>
    <w:rsid w:val="00D351CC"/>
    <w:rsid w:val="00D51481"/>
    <w:rsid w:val="00D53ADF"/>
    <w:rsid w:val="00D6557E"/>
    <w:rsid w:val="00D76953"/>
    <w:rsid w:val="00D806AA"/>
    <w:rsid w:val="00D8081B"/>
    <w:rsid w:val="00D8472B"/>
    <w:rsid w:val="00D851AB"/>
    <w:rsid w:val="00D90DAC"/>
    <w:rsid w:val="00DA07AA"/>
    <w:rsid w:val="00DA2529"/>
    <w:rsid w:val="00DA455F"/>
    <w:rsid w:val="00DA77F0"/>
    <w:rsid w:val="00DB130A"/>
    <w:rsid w:val="00DB36BF"/>
    <w:rsid w:val="00DB54CA"/>
    <w:rsid w:val="00DC10A1"/>
    <w:rsid w:val="00DC44DE"/>
    <w:rsid w:val="00DC53B1"/>
    <w:rsid w:val="00DC655F"/>
    <w:rsid w:val="00DD0336"/>
    <w:rsid w:val="00DD0F22"/>
    <w:rsid w:val="00DD7EBD"/>
    <w:rsid w:val="00DE0D04"/>
    <w:rsid w:val="00DE4B07"/>
    <w:rsid w:val="00DF1B24"/>
    <w:rsid w:val="00DF4E87"/>
    <w:rsid w:val="00DF62B6"/>
    <w:rsid w:val="00E04D5A"/>
    <w:rsid w:val="00E07225"/>
    <w:rsid w:val="00E155B7"/>
    <w:rsid w:val="00E15AD6"/>
    <w:rsid w:val="00E15F88"/>
    <w:rsid w:val="00E17865"/>
    <w:rsid w:val="00E504A8"/>
    <w:rsid w:val="00E50F11"/>
    <w:rsid w:val="00E5409F"/>
    <w:rsid w:val="00E61137"/>
    <w:rsid w:val="00E63E9C"/>
    <w:rsid w:val="00E65904"/>
    <w:rsid w:val="00E70C9B"/>
    <w:rsid w:val="00E72298"/>
    <w:rsid w:val="00E73463"/>
    <w:rsid w:val="00E743F2"/>
    <w:rsid w:val="00E77864"/>
    <w:rsid w:val="00E85276"/>
    <w:rsid w:val="00E87847"/>
    <w:rsid w:val="00E96AC2"/>
    <w:rsid w:val="00E96B4B"/>
    <w:rsid w:val="00E9794F"/>
    <w:rsid w:val="00EA003B"/>
    <w:rsid w:val="00EA1D70"/>
    <w:rsid w:val="00EB08CE"/>
    <w:rsid w:val="00EB2C44"/>
    <w:rsid w:val="00EC0185"/>
    <w:rsid w:val="00EC195C"/>
    <w:rsid w:val="00EC2DFD"/>
    <w:rsid w:val="00ED05B6"/>
    <w:rsid w:val="00ED33DB"/>
    <w:rsid w:val="00ED6F96"/>
    <w:rsid w:val="00EE0028"/>
    <w:rsid w:val="00EE6ADD"/>
    <w:rsid w:val="00EF5E4D"/>
    <w:rsid w:val="00F021FA"/>
    <w:rsid w:val="00F03EE6"/>
    <w:rsid w:val="00F051B1"/>
    <w:rsid w:val="00F11F96"/>
    <w:rsid w:val="00F13114"/>
    <w:rsid w:val="00F14D69"/>
    <w:rsid w:val="00F1632C"/>
    <w:rsid w:val="00F311FC"/>
    <w:rsid w:val="00F37BD3"/>
    <w:rsid w:val="00F446CC"/>
    <w:rsid w:val="00F5223B"/>
    <w:rsid w:val="00F57ACA"/>
    <w:rsid w:val="00F62E97"/>
    <w:rsid w:val="00F64209"/>
    <w:rsid w:val="00F65711"/>
    <w:rsid w:val="00F66D37"/>
    <w:rsid w:val="00F72B31"/>
    <w:rsid w:val="00F73399"/>
    <w:rsid w:val="00F7410E"/>
    <w:rsid w:val="00F84F68"/>
    <w:rsid w:val="00F93BF5"/>
    <w:rsid w:val="00F96438"/>
    <w:rsid w:val="00F96F63"/>
    <w:rsid w:val="00F9742C"/>
    <w:rsid w:val="00FA3284"/>
    <w:rsid w:val="00FB3EDD"/>
    <w:rsid w:val="00FB6AC1"/>
    <w:rsid w:val="00FC392C"/>
    <w:rsid w:val="00FC565D"/>
    <w:rsid w:val="00FE1675"/>
    <w:rsid w:val="00FE56A1"/>
    <w:rsid w:val="00FF7A37"/>
    <w:rsid w:val="75796D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93E7FF8-3611-4E69-B5A0-9CC369B1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9901F7"/>
  </w:style>
  <w:style w:type="paragraph" w:styleId="Revision">
    <w:name w:val="Revision"/>
    <w:hidden/>
    <w:uiPriority w:val="99"/>
    <w:semiHidden/>
    <w:rsid w:val="007019F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