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756DA" w:rsidRPr="002007ED" w:rsidP="004756DA" w14:paraId="6B4FA7C0" w14:textId="77777777">
      <w:pPr>
        <w:jc w:val="center"/>
        <w:rPr>
          <w:b/>
          <w:szCs w:val="22"/>
        </w:rPr>
      </w:pPr>
      <w:r w:rsidRPr="002007ED">
        <w:rPr>
          <w:b/>
          <w:szCs w:val="22"/>
        </w:rPr>
        <w:t>Before the</w:t>
      </w:r>
    </w:p>
    <w:p w:rsidR="004756DA" w:rsidRPr="002007ED" w:rsidP="004756DA" w14:paraId="69E35574" w14:textId="77777777">
      <w:pPr>
        <w:jc w:val="center"/>
        <w:rPr>
          <w:b/>
          <w:szCs w:val="22"/>
        </w:rPr>
      </w:pPr>
      <w:r w:rsidRPr="002007ED">
        <w:rPr>
          <w:b/>
          <w:szCs w:val="22"/>
        </w:rPr>
        <w:t>Federal Communications Commission</w:t>
      </w:r>
    </w:p>
    <w:p w:rsidR="004756DA" w:rsidRPr="002007ED" w:rsidP="004756DA" w14:paraId="515221C6" w14:textId="77777777">
      <w:pPr>
        <w:jc w:val="center"/>
        <w:rPr>
          <w:b/>
          <w:szCs w:val="22"/>
        </w:rPr>
      </w:pPr>
      <w:r w:rsidRPr="002007ED">
        <w:rPr>
          <w:b/>
          <w:szCs w:val="22"/>
        </w:rPr>
        <w:t>Washington, D.C. 20554</w:t>
      </w:r>
    </w:p>
    <w:p w:rsidR="004756DA" w:rsidRPr="002007ED" w:rsidP="004756DA" w14:paraId="56E69294" w14:textId="77777777">
      <w:pPr>
        <w:rPr>
          <w:szCs w:val="22"/>
        </w:rPr>
      </w:pPr>
    </w:p>
    <w:tbl>
      <w:tblPr>
        <w:tblW w:w="9648" w:type="dxa"/>
        <w:tblLayout w:type="fixed"/>
        <w:tblLook w:val="0000"/>
      </w:tblPr>
      <w:tblGrid>
        <w:gridCol w:w="4698"/>
        <w:gridCol w:w="720"/>
        <w:gridCol w:w="4230"/>
      </w:tblGrid>
      <w:tr w14:paraId="2EF7BC49" w14:textId="77777777" w:rsidTr="000C1190">
        <w:tblPrEx>
          <w:tblW w:w="9648" w:type="dxa"/>
          <w:tblLayout w:type="fixed"/>
          <w:tblLook w:val="0000"/>
        </w:tblPrEx>
        <w:tc>
          <w:tcPr>
            <w:tcW w:w="4698" w:type="dxa"/>
          </w:tcPr>
          <w:p w:rsidR="004756DA" w:rsidRPr="002007ED" w:rsidP="000C1190" w14:paraId="669215F3" w14:textId="77777777">
            <w:pPr>
              <w:ind w:right="-18"/>
              <w:rPr>
                <w:szCs w:val="22"/>
              </w:rPr>
            </w:pPr>
            <w:r w:rsidRPr="002007ED">
              <w:rPr>
                <w:szCs w:val="22"/>
              </w:rPr>
              <w:t xml:space="preserve">In re </w:t>
            </w:r>
            <w:r w:rsidRPr="002007ED" w:rsidR="00EA24F5">
              <w:rPr>
                <w:szCs w:val="22"/>
              </w:rPr>
              <w:t>Application of</w:t>
            </w:r>
            <w:r w:rsidRPr="002007ED">
              <w:rPr>
                <w:szCs w:val="22"/>
              </w:rPr>
              <w:t xml:space="preserve">  </w:t>
            </w:r>
          </w:p>
          <w:p w:rsidR="004756DA" w:rsidRPr="002007ED" w:rsidP="000C1190" w14:paraId="0D60F17C" w14:textId="77777777">
            <w:pPr>
              <w:ind w:right="-18"/>
              <w:rPr>
                <w:szCs w:val="22"/>
              </w:rPr>
            </w:pPr>
          </w:p>
          <w:p w:rsidR="00642AED" w:rsidRPr="00642AED" w:rsidP="00642AED" w14:paraId="46128FDB" w14:textId="77777777">
            <w:pPr>
              <w:tabs>
                <w:tab w:val="center" w:pos="4680"/>
              </w:tabs>
              <w:suppressAutoHyphens/>
              <w:rPr>
                <w:b/>
                <w:bCs/>
                <w:spacing w:val="-2"/>
              </w:rPr>
            </w:pPr>
            <w:r w:rsidRPr="00642AED">
              <w:rPr>
                <w:b/>
                <w:bCs/>
                <w:spacing w:val="-2"/>
              </w:rPr>
              <w:t>Heritage Media of Kentucky, Inc.</w:t>
            </w:r>
          </w:p>
          <w:p w:rsidR="00642AED" w:rsidRPr="00642AED" w:rsidP="00642AED" w14:paraId="5125A85D" w14:textId="77777777">
            <w:pPr>
              <w:tabs>
                <w:tab w:val="center" w:pos="4680"/>
              </w:tabs>
              <w:suppressAutoHyphens/>
              <w:rPr>
                <w:b/>
                <w:bCs/>
                <w:spacing w:val="-2"/>
              </w:rPr>
            </w:pPr>
          </w:p>
          <w:p w:rsidR="00642AED" w:rsidRPr="00642AED" w:rsidP="00642AED" w14:paraId="2CB8CF87" w14:textId="77777777">
            <w:pPr>
              <w:tabs>
                <w:tab w:val="center" w:pos="4680"/>
              </w:tabs>
              <w:suppressAutoHyphens/>
              <w:rPr>
                <w:spacing w:val="-2"/>
              </w:rPr>
            </w:pPr>
            <w:r w:rsidRPr="00642AED">
              <w:rPr>
                <w:spacing w:val="-2"/>
              </w:rPr>
              <w:t>For Renewal of License for</w:t>
            </w:r>
          </w:p>
          <w:p w:rsidR="00642AED" w:rsidRPr="00642AED" w:rsidP="00642AED" w14:paraId="48FE3C6B" w14:textId="77777777">
            <w:pPr>
              <w:tabs>
                <w:tab w:val="center" w:pos="4680"/>
              </w:tabs>
              <w:suppressAutoHyphens/>
              <w:rPr>
                <w:spacing w:val="-2"/>
              </w:rPr>
            </w:pPr>
            <w:r w:rsidRPr="00642AED">
              <w:rPr>
                <w:spacing w:val="-2"/>
              </w:rPr>
              <w:t>FM Translator Station W280FH</w:t>
            </w:r>
          </w:p>
          <w:p w:rsidR="004756DA" w:rsidRPr="002007ED" w:rsidP="00642AED" w14:paraId="67AE0B8D" w14:textId="5C60AE8F">
            <w:pPr>
              <w:ind w:right="-18"/>
              <w:rPr>
                <w:b/>
                <w:szCs w:val="22"/>
              </w:rPr>
            </w:pPr>
            <w:r w:rsidRPr="00642AED">
              <w:rPr>
                <w:spacing w:val="-2"/>
              </w:rPr>
              <w:t>Leitchfield, Kentucky</w:t>
            </w:r>
          </w:p>
        </w:tc>
        <w:tc>
          <w:tcPr>
            <w:tcW w:w="720" w:type="dxa"/>
          </w:tcPr>
          <w:p w:rsidR="004756DA" w:rsidRPr="002007ED" w:rsidP="000C1190" w14:paraId="1AFDFF62" w14:textId="77777777">
            <w:pPr>
              <w:rPr>
                <w:b/>
                <w:szCs w:val="22"/>
              </w:rPr>
            </w:pPr>
            <w:r w:rsidRPr="002007ED">
              <w:rPr>
                <w:b/>
                <w:szCs w:val="22"/>
              </w:rPr>
              <w:t>)</w:t>
            </w:r>
          </w:p>
          <w:p w:rsidR="004756DA" w:rsidRPr="002007ED" w:rsidP="000C1190" w14:paraId="1D3B204E" w14:textId="77777777">
            <w:pPr>
              <w:rPr>
                <w:b/>
                <w:szCs w:val="22"/>
              </w:rPr>
            </w:pPr>
            <w:r w:rsidRPr="002007ED">
              <w:rPr>
                <w:b/>
                <w:szCs w:val="22"/>
              </w:rPr>
              <w:t>)</w:t>
            </w:r>
          </w:p>
          <w:p w:rsidR="004756DA" w:rsidRPr="002007ED" w:rsidP="000C1190" w14:paraId="005311AD" w14:textId="77777777">
            <w:pPr>
              <w:rPr>
                <w:b/>
                <w:szCs w:val="22"/>
              </w:rPr>
            </w:pPr>
            <w:r w:rsidRPr="002007ED">
              <w:rPr>
                <w:b/>
                <w:szCs w:val="22"/>
              </w:rPr>
              <w:t>)</w:t>
            </w:r>
          </w:p>
          <w:p w:rsidR="004756DA" w:rsidRPr="002007ED" w:rsidP="000C1190" w14:paraId="0DD9DC50" w14:textId="77777777">
            <w:pPr>
              <w:rPr>
                <w:b/>
                <w:szCs w:val="22"/>
              </w:rPr>
            </w:pPr>
            <w:r w:rsidRPr="002007ED">
              <w:rPr>
                <w:b/>
                <w:szCs w:val="22"/>
              </w:rPr>
              <w:t>)</w:t>
            </w:r>
          </w:p>
          <w:p w:rsidR="004756DA" w:rsidRPr="002007ED" w:rsidP="000C1190" w14:paraId="79E5A0F5" w14:textId="77777777">
            <w:pPr>
              <w:rPr>
                <w:b/>
                <w:szCs w:val="22"/>
              </w:rPr>
            </w:pPr>
            <w:r w:rsidRPr="002007ED">
              <w:rPr>
                <w:b/>
                <w:szCs w:val="22"/>
              </w:rPr>
              <w:t>)</w:t>
            </w:r>
          </w:p>
          <w:p w:rsidR="004756DA" w:rsidRPr="002007ED" w:rsidP="000C1190" w14:paraId="795CD28A" w14:textId="77777777">
            <w:pPr>
              <w:rPr>
                <w:b/>
                <w:szCs w:val="22"/>
              </w:rPr>
            </w:pPr>
            <w:r w:rsidRPr="002007ED">
              <w:rPr>
                <w:b/>
                <w:szCs w:val="22"/>
              </w:rPr>
              <w:t>)</w:t>
            </w:r>
          </w:p>
          <w:p w:rsidR="009834E0" w:rsidRPr="002007ED" w:rsidP="000C1190" w14:paraId="7905EDFE" w14:textId="77777777">
            <w:pPr>
              <w:rPr>
                <w:b/>
                <w:szCs w:val="22"/>
              </w:rPr>
            </w:pPr>
            <w:r w:rsidRPr="002007ED">
              <w:rPr>
                <w:b/>
                <w:szCs w:val="22"/>
              </w:rPr>
              <w:t>)</w:t>
            </w:r>
          </w:p>
          <w:p w:rsidR="00EA24F5" w:rsidRPr="002007ED" w:rsidP="000C1190" w14:paraId="73881ED5" w14:textId="77777777">
            <w:pPr>
              <w:rPr>
                <w:b/>
                <w:szCs w:val="22"/>
              </w:rPr>
            </w:pPr>
          </w:p>
        </w:tc>
        <w:tc>
          <w:tcPr>
            <w:tcW w:w="4230" w:type="dxa"/>
          </w:tcPr>
          <w:p w:rsidR="004756DA" w:rsidRPr="002007ED" w:rsidP="000C1190" w14:paraId="4813D16E" w14:textId="77777777">
            <w:pPr>
              <w:rPr>
                <w:szCs w:val="22"/>
              </w:rPr>
            </w:pPr>
          </w:p>
          <w:p w:rsidR="004756DA" w:rsidRPr="002007ED" w:rsidP="000C1190" w14:paraId="3B565323" w14:textId="77777777">
            <w:pPr>
              <w:rPr>
                <w:szCs w:val="22"/>
              </w:rPr>
            </w:pPr>
          </w:p>
          <w:p w:rsidR="00642AED" w:rsidRPr="00642AED" w:rsidP="00642AED" w14:paraId="1BB0764D" w14:textId="77777777">
            <w:pPr>
              <w:pStyle w:val="TOAHeading"/>
              <w:rPr>
                <w:spacing w:val="-2"/>
              </w:rPr>
            </w:pPr>
            <w:r w:rsidRPr="00642AED">
              <w:rPr>
                <w:spacing w:val="-2"/>
              </w:rPr>
              <w:t>Facility ID No. 200086</w:t>
            </w:r>
          </w:p>
          <w:p w:rsidR="00642AED" w:rsidRPr="00642AED" w:rsidP="00642AED" w14:paraId="5BB73513" w14:textId="77777777">
            <w:pPr>
              <w:pStyle w:val="TOAHeading"/>
              <w:rPr>
                <w:spacing w:val="-2"/>
              </w:rPr>
            </w:pPr>
            <w:r w:rsidRPr="00642AED">
              <w:rPr>
                <w:spacing w:val="-2"/>
              </w:rPr>
              <w:t>NAL/Acct. No. MB-202141410001</w:t>
            </w:r>
          </w:p>
          <w:p w:rsidR="00642AED" w:rsidRPr="00642AED" w:rsidP="00642AED" w14:paraId="1E7BF039" w14:textId="77777777">
            <w:pPr>
              <w:pStyle w:val="TOAHeading"/>
              <w:rPr>
                <w:spacing w:val="-2"/>
              </w:rPr>
            </w:pPr>
            <w:r w:rsidRPr="00642AED">
              <w:rPr>
                <w:spacing w:val="-2"/>
              </w:rPr>
              <w:t>FRN:  0003786217</w:t>
            </w:r>
          </w:p>
          <w:p w:rsidR="004756DA" w:rsidRPr="002007ED" w:rsidP="00642AED" w14:paraId="63BB995F" w14:textId="13BB77C7">
            <w:pPr>
              <w:rPr>
                <w:szCs w:val="22"/>
              </w:rPr>
            </w:pPr>
            <w:r w:rsidRPr="00642AED">
              <w:rPr>
                <w:spacing w:val="-2"/>
              </w:rPr>
              <w:t>File No. 0000118483</w:t>
            </w:r>
          </w:p>
        </w:tc>
      </w:tr>
    </w:tbl>
    <w:p w:rsidR="004756DA" w:rsidRPr="002007ED" w:rsidP="004756DA" w14:paraId="70FF1023" w14:textId="0E5B2CA5">
      <w:pPr>
        <w:jc w:val="center"/>
        <w:rPr>
          <w:b/>
          <w:szCs w:val="22"/>
        </w:rPr>
      </w:pPr>
      <w:r>
        <w:rPr>
          <w:b/>
          <w:szCs w:val="22"/>
        </w:rPr>
        <w:t xml:space="preserve">FORFEITURE </w:t>
      </w:r>
      <w:r w:rsidRPr="002007ED" w:rsidR="00DB41FF">
        <w:rPr>
          <w:b/>
          <w:szCs w:val="22"/>
        </w:rPr>
        <w:t>ORDER</w:t>
      </w:r>
    </w:p>
    <w:p w:rsidR="004756DA" w:rsidRPr="002007ED" w:rsidP="004756DA" w14:paraId="041B03D5" w14:textId="77777777">
      <w:pPr>
        <w:tabs>
          <w:tab w:val="left" w:pos="5760"/>
        </w:tabs>
        <w:rPr>
          <w:szCs w:val="22"/>
        </w:rPr>
      </w:pPr>
    </w:p>
    <w:p w:rsidR="004756DA" w:rsidRPr="002007ED" w:rsidP="004756DA" w14:paraId="1B6EB243" w14:textId="7AA3AF07">
      <w:pPr>
        <w:tabs>
          <w:tab w:val="left" w:pos="5760"/>
        </w:tabs>
        <w:rPr>
          <w:b/>
          <w:szCs w:val="22"/>
        </w:rPr>
      </w:pPr>
      <w:r w:rsidRPr="002007ED">
        <w:rPr>
          <w:b/>
          <w:szCs w:val="22"/>
        </w:rPr>
        <w:t xml:space="preserve">Adopted:  </w:t>
      </w:r>
      <w:r w:rsidR="007D3800">
        <w:rPr>
          <w:b/>
          <w:szCs w:val="22"/>
        </w:rPr>
        <w:t>March 1, 2021</w:t>
      </w:r>
      <w:r w:rsidRPr="002007ED">
        <w:rPr>
          <w:b/>
          <w:szCs w:val="22"/>
        </w:rPr>
        <w:tab/>
      </w:r>
      <w:r w:rsidR="007D3800">
        <w:rPr>
          <w:b/>
          <w:szCs w:val="22"/>
        </w:rPr>
        <w:tab/>
      </w:r>
      <w:r w:rsidRPr="002007ED">
        <w:rPr>
          <w:b/>
          <w:szCs w:val="22"/>
        </w:rPr>
        <w:t xml:space="preserve">Released:  </w:t>
      </w:r>
      <w:r w:rsidR="007D3800">
        <w:rPr>
          <w:b/>
          <w:szCs w:val="22"/>
        </w:rPr>
        <w:t>March 1, 2021</w:t>
      </w:r>
    </w:p>
    <w:p w:rsidR="004756DA" w:rsidRPr="002007ED" w:rsidP="004756DA" w14:paraId="00B96A71" w14:textId="77777777">
      <w:pPr>
        <w:tabs>
          <w:tab w:val="left" w:pos="5760"/>
        </w:tabs>
        <w:rPr>
          <w:b/>
          <w:szCs w:val="22"/>
        </w:rPr>
      </w:pPr>
    </w:p>
    <w:p w:rsidR="004756DA" w:rsidRPr="002007ED" w:rsidP="004756DA" w14:paraId="64352A12" w14:textId="77777777">
      <w:pPr>
        <w:tabs>
          <w:tab w:val="left" w:pos="5760"/>
        </w:tabs>
        <w:rPr>
          <w:spacing w:val="-2"/>
          <w:szCs w:val="22"/>
        </w:rPr>
      </w:pPr>
      <w:r w:rsidRPr="002007ED">
        <w:rPr>
          <w:szCs w:val="22"/>
        </w:rPr>
        <w:t xml:space="preserve">By the Chief, </w:t>
      </w:r>
      <w:r w:rsidRPr="002007ED" w:rsidR="00475AB4">
        <w:rPr>
          <w:szCs w:val="22"/>
        </w:rPr>
        <w:t>Audio Division</w:t>
      </w:r>
      <w:r w:rsidRPr="002007ED" w:rsidR="00BF70C1">
        <w:rPr>
          <w:szCs w:val="22"/>
        </w:rPr>
        <w:t>, Media Bureau</w:t>
      </w:r>
      <w:r w:rsidRPr="002007ED">
        <w:rPr>
          <w:spacing w:val="-2"/>
          <w:szCs w:val="22"/>
        </w:rPr>
        <w:t>:</w:t>
      </w:r>
    </w:p>
    <w:p w:rsidR="007415F1" w:rsidRPr="002007ED" w:rsidP="007415F1" w14:paraId="669BD725" w14:textId="77777777">
      <w:pPr>
        <w:tabs>
          <w:tab w:val="left" w:pos="1080"/>
          <w:tab w:val="left" w:pos="5760"/>
        </w:tabs>
        <w:rPr>
          <w:spacing w:val="-2"/>
          <w:szCs w:val="22"/>
        </w:rPr>
      </w:pPr>
    </w:p>
    <w:p w:rsidR="005F3236" w:rsidRPr="002007ED" w:rsidP="005F3236" w14:paraId="03998D3F" w14:textId="77777777">
      <w:pPr>
        <w:pStyle w:val="Heading1"/>
        <w:rPr>
          <w:rFonts w:ascii="Times New Roman" w:hAnsi="Times New Roman"/>
          <w:szCs w:val="22"/>
        </w:rPr>
      </w:pPr>
      <w:r w:rsidRPr="002007ED">
        <w:rPr>
          <w:rFonts w:ascii="Times New Roman" w:hAnsi="Times New Roman"/>
          <w:szCs w:val="22"/>
        </w:rPr>
        <w:t>introduction</w:t>
      </w:r>
    </w:p>
    <w:p w:rsidR="003A22F6" w:rsidP="003A22F6" w14:paraId="1019C47F" w14:textId="594DE0BC">
      <w:pPr>
        <w:pStyle w:val="ParaNum"/>
        <w:numPr>
          <w:ilvl w:val="0"/>
          <w:numId w:val="20"/>
        </w:numPr>
        <w:tabs>
          <w:tab w:val="clear" w:pos="450"/>
          <w:tab w:val="left" w:pos="1440"/>
        </w:tabs>
        <w:snapToGrid w:val="0"/>
        <w:spacing w:after="220"/>
        <w:ind w:left="0"/>
        <w:rPr>
          <w:snapToGrid/>
        </w:rPr>
      </w:pPr>
      <w:r>
        <w:t xml:space="preserve">In this </w:t>
      </w:r>
      <w:r>
        <w:rPr>
          <w:i/>
          <w:iCs/>
        </w:rPr>
        <w:t>Forfeiture Order</w:t>
      </w:r>
      <w:r>
        <w:t xml:space="preserve">, we issue a monetary forfeiture in the amount of </w:t>
      </w:r>
      <w:r w:rsidR="00DF778B">
        <w:t>one thousand, one hundred and twenty-five</w:t>
      </w:r>
      <w:r w:rsidR="00302772">
        <w:t xml:space="preserve"> </w:t>
      </w:r>
      <w:r>
        <w:t>dollars ($</w:t>
      </w:r>
      <w:r w:rsidR="000717E9">
        <w:t>1,</w:t>
      </w:r>
      <w:r w:rsidR="00DF778B">
        <w:t>125</w:t>
      </w:r>
      <w:r>
        <w:t>) to</w:t>
      </w:r>
      <w:r>
        <w:rPr>
          <w:szCs w:val="22"/>
        </w:rPr>
        <w:t xml:space="preserve"> </w:t>
      </w:r>
      <w:r w:rsidR="000717E9">
        <w:rPr>
          <w:szCs w:val="22"/>
        </w:rPr>
        <w:t>Heritage Media of Kentucky</w:t>
      </w:r>
      <w:r>
        <w:rPr>
          <w:szCs w:val="22"/>
        </w:rPr>
        <w:t>, Inc. (Licensee), licensee of FM Translator Station W</w:t>
      </w:r>
      <w:r w:rsidR="000717E9">
        <w:rPr>
          <w:szCs w:val="22"/>
        </w:rPr>
        <w:t>280FH</w:t>
      </w:r>
      <w:r w:rsidR="00612A61">
        <w:rPr>
          <w:szCs w:val="22"/>
        </w:rPr>
        <w:t>, Leitchfield, Kentucky</w:t>
      </w:r>
      <w:r w:rsidR="00DF778B">
        <w:rPr>
          <w:szCs w:val="22"/>
        </w:rPr>
        <w:t xml:space="preserve"> </w:t>
      </w:r>
      <w:r>
        <w:rPr>
          <w:szCs w:val="22"/>
        </w:rPr>
        <w:t>(Station</w:t>
      </w:r>
      <w:r>
        <w:t>), for willfully violating section 73.3539 of the Commission’s rules (Rules) by failing to timely file a license renewal application for the Station.</w:t>
      </w:r>
      <w:r>
        <w:rPr>
          <w:rStyle w:val="FootnoteReference"/>
          <w:szCs w:val="22"/>
        </w:rPr>
        <w:footnoteReference w:id="2"/>
      </w:r>
      <w:r>
        <w:t xml:space="preserve">  </w:t>
      </w:r>
    </w:p>
    <w:p w:rsidR="005F3236" w:rsidRPr="002007ED" w:rsidP="005F3236" w14:paraId="205CFC7E" w14:textId="77777777">
      <w:pPr>
        <w:pStyle w:val="Heading1"/>
        <w:rPr>
          <w:rFonts w:ascii="Times New Roman" w:hAnsi="Times New Roman"/>
          <w:szCs w:val="22"/>
        </w:rPr>
      </w:pPr>
      <w:r w:rsidRPr="002007ED">
        <w:rPr>
          <w:rFonts w:ascii="Times New Roman" w:hAnsi="Times New Roman"/>
          <w:szCs w:val="22"/>
        </w:rPr>
        <w:t>background</w:t>
      </w:r>
    </w:p>
    <w:p w:rsidR="008426F1" w:rsidRPr="002007ED" w:rsidP="008426F1" w14:paraId="2A4F3016" w14:textId="3E17056D">
      <w:pPr>
        <w:pStyle w:val="ParaNum"/>
        <w:rPr>
          <w:szCs w:val="22"/>
        </w:rPr>
      </w:pPr>
      <w:r w:rsidRPr="002007ED">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3"/>
      </w:r>
      <w:r w:rsidRPr="002007ED">
        <w:rPr>
          <w:szCs w:val="22"/>
        </w:rPr>
        <w:t xml:space="preserve">  An application for renewal of the Station’s license should have been filed by </w:t>
      </w:r>
      <w:r w:rsidR="0023747D">
        <w:rPr>
          <w:szCs w:val="22"/>
        </w:rPr>
        <w:t>April 1, 2020</w:t>
      </w:r>
      <w:r w:rsidRPr="002007ED">
        <w:rPr>
          <w:szCs w:val="22"/>
        </w:rPr>
        <w:t xml:space="preserve">, the first day of the fourth full calendar month prior to the Station’s license expiration date of </w:t>
      </w:r>
      <w:r w:rsidR="0023747D">
        <w:rPr>
          <w:szCs w:val="22"/>
        </w:rPr>
        <w:t xml:space="preserve">August </w:t>
      </w:r>
      <w:r w:rsidRPr="002007ED">
        <w:rPr>
          <w:szCs w:val="22"/>
        </w:rPr>
        <w:t>1, 2020.</w:t>
      </w:r>
      <w:r>
        <w:rPr>
          <w:rStyle w:val="FootnoteReference"/>
          <w:sz w:val="22"/>
          <w:szCs w:val="22"/>
        </w:rPr>
        <w:footnoteReference w:id="4"/>
      </w:r>
      <w:r w:rsidRPr="002007ED">
        <w:rPr>
          <w:szCs w:val="22"/>
        </w:rPr>
        <w:t xml:space="preserve">  The application was not filed until </w:t>
      </w:r>
      <w:r w:rsidR="0023747D">
        <w:rPr>
          <w:szCs w:val="22"/>
        </w:rPr>
        <w:t xml:space="preserve">July </w:t>
      </w:r>
      <w:r w:rsidR="00DF778B">
        <w:rPr>
          <w:szCs w:val="22"/>
        </w:rPr>
        <w:t>27</w:t>
      </w:r>
      <w:r w:rsidRPr="002007ED">
        <w:rPr>
          <w:szCs w:val="22"/>
        </w:rPr>
        <w:t xml:space="preserve">, 2020.  The Licensee provided no explanation for its untimely filing of the application. </w:t>
      </w:r>
    </w:p>
    <w:p w:rsidR="00A6332C" w:rsidRPr="002007ED" w:rsidP="00A32431" w14:paraId="3AF48C51" w14:textId="77318C1B">
      <w:pPr>
        <w:pStyle w:val="ParaNum"/>
        <w:rPr>
          <w:szCs w:val="22"/>
        </w:rPr>
      </w:pPr>
      <w:r w:rsidRPr="002007ED">
        <w:rPr>
          <w:szCs w:val="22"/>
        </w:rPr>
        <w:t xml:space="preserve">Accordingly, on </w:t>
      </w:r>
      <w:r w:rsidR="0023747D">
        <w:rPr>
          <w:szCs w:val="22"/>
        </w:rPr>
        <w:t xml:space="preserve">February </w:t>
      </w:r>
      <w:r w:rsidR="000717E9">
        <w:rPr>
          <w:szCs w:val="22"/>
        </w:rPr>
        <w:t>4</w:t>
      </w:r>
      <w:r w:rsidR="0023747D">
        <w:rPr>
          <w:szCs w:val="22"/>
        </w:rPr>
        <w:t>, 2021</w:t>
      </w:r>
      <w:r w:rsidRPr="002007ED">
        <w:rPr>
          <w:szCs w:val="22"/>
        </w:rPr>
        <w:t>, we release</w:t>
      </w:r>
      <w:r w:rsidRPr="002007ED" w:rsidR="002D6CCE">
        <w:rPr>
          <w:szCs w:val="22"/>
        </w:rPr>
        <w:t xml:space="preserve">d the </w:t>
      </w:r>
      <w:r w:rsidRPr="002007ED" w:rsidR="002D6CCE">
        <w:rPr>
          <w:i/>
          <w:iCs/>
          <w:szCs w:val="22"/>
        </w:rPr>
        <w:t>NAL</w:t>
      </w:r>
      <w:r w:rsidRPr="002007ED" w:rsidR="002D6CCE">
        <w:rPr>
          <w:szCs w:val="22"/>
        </w:rPr>
        <w:t xml:space="preserve">, which </w:t>
      </w:r>
      <w:r w:rsidRPr="002007ED">
        <w:rPr>
          <w:szCs w:val="22"/>
        </w:rPr>
        <w:t xml:space="preserve">proposed a forfeiture of </w:t>
      </w:r>
      <w:r w:rsidR="003A22F6">
        <w:rPr>
          <w:szCs w:val="22"/>
        </w:rPr>
        <w:t xml:space="preserve">one thousand five hundred </w:t>
      </w:r>
      <w:r w:rsidRPr="002007ED">
        <w:rPr>
          <w:szCs w:val="22"/>
        </w:rPr>
        <w:t>dollars ($</w:t>
      </w:r>
      <w:r w:rsidR="003A22F6">
        <w:rPr>
          <w:szCs w:val="22"/>
        </w:rPr>
        <w:t>1,5</w:t>
      </w:r>
      <w:r w:rsidRPr="002007ED">
        <w:rPr>
          <w:szCs w:val="22"/>
        </w:rPr>
        <w:t>00).</w:t>
      </w:r>
      <w:r>
        <w:rPr>
          <w:rStyle w:val="FootnoteReference"/>
          <w:szCs w:val="22"/>
        </w:rPr>
        <w:footnoteReference w:id="5"/>
      </w:r>
      <w:r w:rsidRPr="002007ED">
        <w:rPr>
          <w:szCs w:val="22"/>
        </w:rPr>
        <w:t xml:space="preserve">  The </w:t>
      </w:r>
      <w:r w:rsidRPr="002007ED">
        <w:rPr>
          <w:i/>
          <w:szCs w:val="22"/>
        </w:rPr>
        <w:t>NAL</w:t>
      </w:r>
      <w:r w:rsidRPr="002007ED">
        <w:rPr>
          <w:szCs w:val="22"/>
        </w:rPr>
        <w:t xml:space="preserve"> gave the Licensee thirty days to pay the full amount of the proposed forfeiture, or file a written statement seeking reduction or cancellation of the proposed forfeiture.</w:t>
      </w:r>
      <w:r>
        <w:rPr>
          <w:rStyle w:val="FootnoteReference"/>
          <w:sz w:val="22"/>
          <w:szCs w:val="22"/>
        </w:rPr>
        <w:footnoteReference w:id="6"/>
      </w:r>
      <w:r w:rsidRPr="002007ED">
        <w:rPr>
          <w:szCs w:val="22"/>
        </w:rPr>
        <w:t xml:space="preserve">  </w:t>
      </w:r>
    </w:p>
    <w:p w:rsidR="00A6332C" w:rsidRPr="002007ED" w:rsidP="0076731C" w14:paraId="52B7CE79" w14:textId="69B29ACF">
      <w:pPr>
        <w:pStyle w:val="ParaNum"/>
        <w:widowControl/>
        <w:rPr>
          <w:szCs w:val="22"/>
        </w:rPr>
      </w:pPr>
      <w:r>
        <w:rPr>
          <w:szCs w:val="22"/>
        </w:rPr>
        <w:t xml:space="preserve">On February </w:t>
      </w:r>
      <w:r w:rsidR="000717E9">
        <w:rPr>
          <w:szCs w:val="22"/>
        </w:rPr>
        <w:t>8</w:t>
      </w:r>
      <w:r>
        <w:rPr>
          <w:szCs w:val="22"/>
        </w:rPr>
        <w:t>, 2021,</w:t>
      </w:r>
      <w:r w:rsidRPr="002007ED" w:rsidR="00DB41FF">
        <w:rPr>
          <w:szCs w:val="22"/>
        </w:rPr>
        <w:t xml:space="preserve"> the Licensee submitted a written response</w:t>
      </w:r>
      <w:r w:rsidRPr="002007ED" w:rsidR="00A9500C">
        <w:rPr>
          <w:szCs w:val="22"/>
        </w:rPr>
        <w:t xml:space="preserve"> </w:t>
      </w:r>
      <w:r w:rsidRPr="002007ED" w:rsidR="00EA4AB4">
        <w:rPr>
          <w:szCs w:val="22"/>
        </w:rPr>
        <w:t>in which it</w:t>
      </w:r>
      <w:r w:rsidRPr="002007ED" w:rsidR="001F407C">
        <w:rPr>
          <w:szCs w:val="22"/>
        </w:rPr>
        <w:t xml:space="preserve"> d</w:t>
      </w:r>
      <w:r w:rsidR="007F2A69">
        <w:rPr>
          <w:szCs w:val="22"/>
        </w:rPr>
        <w:t>oes</w:t>
      </w:r>
      <w:r w:rsidRPr="002007ED" w:rsidR="001F407C">
        <w:rPr>
          <w:szCs w:val="22"/>
        </w:rPr>
        <w:t xml:space="preserve"> not dispute </w:t>
      </w:r>
      <w:r w:rsidRPr="002007ED" w:rsidR="002007ED">
        <w:rPr>
          <w:szCs w:val="22"/>
        </w:rPr>
        <w:t>that it had violated section 73.35</w:t>
      </w:r>
      <w:r w:rsidR="00CA7DD3">
        <w:rPr>
          <w:szCs w:val="22"/>
        </w:rPr>
        <w:t>3</w:t>
      </w:r>
      <w:r w:rsidRPr="002007ED" w:rsidR="002007ED">
        <w:rPr>
          <w:szCs w:val="22"/>
        </w:rPr>
        <w:t>9 of the Rules</w:t>
      </w:r>
      <w:r w:rsidRPr="002007ED" w:rsidR="00324113">
        <w:rPr>
          <w:szCs w:val="22"/>
        </w:rPr>
        <w:t xml:space="preserve"> but</w:t>
      </w:r>
      <w:r w:rsidRPr="002007ED" w:rsidR="00EA4AB4">
        <w:rPr>
          <w:szCs w:val="22"/>
        </w:rPr>
        <w:t xml:space="preserve"> </w:t>
      </w:r>
      <w:r w:rsidR="000717E9">
        <w:rPr>
          <w:szCs w:val="22"/>
        </w:rPr>
        <w:t>argue</w:t>
      </w:r>
      <w:r w:rsidR="007F2A69">
        <w:rPr>
          <w:szCs w:val="22"/>
        </w:rPr>
        <w:t>s</w:t>
      </w:r>
      <w:r w:rsidR="000717E9">
        <w:rPr>
          <w:szCs w:val="22"/>
        </w:rPr>
        <w:t xml:space="preserve"> that the </w:t>
      </w:r>
      <w:r w:rsidR="007F2A69">
        <w:rPr>
          <w:szCs w:val="22"/>
        </w:rPr>
        <w:t xml:space="preserve">proposed forfeiture should be </w:t>
      </w:r>
      <w:r w:rsidR="00DD3C28">
        <w:rPr>
          <w:szCs w:val="22"/>
        </w:rPr>
        <w:t>eliminated</w:t>
      </w:r>
      <w:r w:rsidR="00FF2658">
        <w:rPr>
          <w:szCs w:val="22"/>
        </w:rPr>
        <w:t xml:space="preserve"> based on additional factors not explained in the renewal application</w:t>
      </w:r>
      <w:r w:rsidR="00DD3C28">
        <w:rPr>
          <w:szCs w:val="22"/>
        </w:rPr>
        <w:t>.</w:t>
      </w:r>
      <w:r w:rsidRPr="00DD3C28" w:rsidR="00DD3C28">
        <w:rPr>
          <w:rStyle w:val="FootnoteReference"/>
          <w:szCs w:val="22"/>
        </w:rPr>
        <w:t xml:space="preserve"> </w:t>
      </w:r>
      <w:r>
        <w:rPr>
          <w:rStyle w:val="FootnoteReference"/>
          <w:szCs w:val="22"/>
        </w:rPr>
        <w:footnoteReference w:id="7"/>
      </w:r>
      <w:r w:rsidR="00DD3C28">
        <w:rPr>
          <w:rStyle w:val="FootnoteReference"/>
          <w:szCs w:val="22"/>
        </w:rPr>
        <w:t xml:space="preserve"> </w:t>
      </w:r>
      <w:r w:rsidR="00DD3C28">
        <w:rPr>
          <w:szCs w:val="22"/>
        </w:rPr>
        <w:t xml:space="preserve"> Licensee argues that the Station’s initial license “[w]as granted a mere 13 days prior to the renewal deadline of April 1, 2020 during the initial chaos caused by the Covid-19 pandemic”, that </w:t>
      </w:r>
      <w:r w:rsidR="007F2A69">
        <w:rPr>
          <w:szCs w:val="22"/>
        </w:rPr>
        <w:t>“[d]</w:t>
      </w:r>
      <w:r w:rsidR="007F2A69">
        <w:rPr>
          <w:szCs w:val="22"/>
        </w:rPr>
        <w:t>ue</w:t>
      </w:r>
      <w:r w:rsidR="007F2A69">
        <w:rPr>
          <w:szCs w:val="22"/>
        </w:rPr>
        <w:t xml:space="preserve"> to a </w:t>
      </w:r>
      <w:r w:rsidR="00DF778B">
        <w:rPr>
          <w:szCs w:val="22"/>
        </w:rPr>
        <w:t>clerical</w:t>
      </w:r>
      <w:r w:rsidR="007F2A69">
        <w:rPr>
          <w:szCs w:val="22"/>
        </w:rPr>
        <w:t xml:space="preserve"> error, [the Station] was not included with the timely filed application for renewal of lice</w:t>
      </w:r>
      <w:r w:rsidR="00FF2658">
        <w:rPr>
          <w:szCs w:val="22"/>
        </w:rPr>
        <w:t>nse</w:t>
      </w:r>
      <w:r w:rsidR="007F2A69">
        <w:rPr>
          <w:szCs w:val="22"/>
        </w:rPr>
        <w:t xml:space="preserve"> of its primary </w:t>
      </w:r>
      <w:r w:rsidR="00DF778B">
        <w:rPr>
          <w:szCs w:val="22"/>
        </w:rPr>
        <w:t>rebroadcast</w:t>
      </w:r>
      <w:r w:rsidR="007F2A69">
        <w:rPr>
          <w:szCs w:val="22"/>
        </w:rPr>
        <w:t xml:space="preserve"> station, </w:t>
      </w:r>
      <w:r w:rsidR="007F2A69">
        <w:rPr>
          <w:szCs w:val="22"/>
        </w:rPr>
        <w:t>WMTL(AM), Leitchfield, KY” and that “in the haste to file the renewal application [for the Station], counsel failed to upload the necessary explanatory exhibit.”</w:t>
      </w:r>
      <w:r>
        <w:rPr>
          <w:rStyle w:val="FootnoteReference"/>
          <w:szCs w:val="22"/>
        </w:rPr>
        <w:footnoteReference w:id="8"/>
      </w:r>
      <w:r w:rsidR="007F2A69">
        <w:rPr>
          <w:szCs w:val="22"/>
        </w:rPr>
        <w:t xml:space="preserve">  Finally, the Licensee argues that it has a history</w:t>
      </w:r>
      <w:r w:rsidR="00D05025">
        <w:rPr>
          <w:szCs w:val="22"/>
        </w:rPr>
        <w:t xml:space="preserve"> </w:t>
      </w:r>
      <w:r w:rsidR="007F2A69">
        <w:rPr>
          <w:szCs w:val="22"/>
        </w:rPr>
        <w:t xml:space="preserve">of compliance with the </w:t>
      </w:r>
      <w:r w:rsidR="00D05025">
        <w:rPr>
          <w:szCs w:val="22"/>
        </w:rPr>
        <w:t>Rules.</w:t>
      </w:r>
      <w:r>
        <w:rPr>
          <w:rStyle w:val="FootnoteReference"/>
          <w:szCs w:val="22"/>
        </w:rPr>
        <w:footnoteReference w:id="9"/>
      </w:r>
    </w:p>
    <w:p w:rsidR="00912D6D" w:rsidRPr="002007ED" w:rsidP="00912D6D" w14:paraId="7078E9FF" w14:textId="77777777">
      <w:pPr>
        <w:pStyle w:val="Heading1"/>
        <w:rPr>
          <w:rFonts w:ascii="Times New Roman" w:hAnsi="Times New Roman"/>
          <w:szCs w:val="22"/>
        </w:rPr>
      </w:pPr>
      <w:r w:rsidRPr="002007ED">
        <w:rPr>
          <w:rFonts w:ascii="Times New Roman" w:hAnsi="Times New Roman"/>
          <w:szCs w:val="22"/>
        </w:rPr>
        <w:t>discussion</w:t>
      </w:r>
    </w:p>
    <w:p w:rsidR="00D911F2" w:rsidP="00955990" w14:paraId="69B5C702" w14:textId="1DF72624">
      <w:pPr>
        <w:pStyle w:val="ParaNum"/>
        <w:rPr>
          <w:szCs w:val="22"/>
        </w:rPr>
      </w:pPr>
      <w:r w:rsidRPr="002007ED">
        <w:rPr>
          <w:szCs w:val="22"/>
        </w:rPr>
        <w:t xml:space="preserve">The proposed forfeiture amount in this case was assessed in accordance with </w:t>
      </w:r>
      <w:r w:rsidR="003A22F6">
        <w:rPr>
          <w:szCs w:val="22"/>
        </w:rPr>
        <w:t>s</w:t>
      </w:r>
      <w:r w:rsidRPr="002007ED">
        <w:rPr>
          <w:szCs w:val="22"/>
        </w:rPr>
        <w:t>ection 503(b) of the</w:t>
      </w:r>
      <w:r w:rsidR="00FF2658">
        <w:rPr>
          <w:szCs w:val="22"/>
        </w:rPr>
        <w:t xml:space="preserve"> Communications Act of 1934, as amended (</w:t>
      </w:r>
      <w:r w:rsidRPr="002007ED">
        <w:rPr>
          <w:szCs w:val="22"/>
        </w:rPr>
        <w:t>Act</w:t>
      </w:r>
      <w:r w:rsidR="00FF2658">
        <w:rPr>
          <w:szCs w:val="22"/>
        </w:rPr>
        <w:t>)</w:t>
      </w:r>
      <w:r w:rsidRPr="002007ED">
        <w:rPr>
          <w:szCs w:val="22"/>
        </w:rPr>
        <w:t>,</w:t>
      </w:r>
      <w:r>
        <w:rPr>
          <w:rStyle w:val="FootnoteReference"/>
          <w:sz w:val="22"/>
          <w:szCs w:val="22"/>
        </w:rPr>
        <w:footnoteReference w:id="10"/>
      </w:r>
      <w:r w:rsidRPr="002007ED">
        <w:rPr>
          <w:szCs w:val="22"/>
        </w:rPr>
        <w:t xml:space="preserve"> </w:t>
      </w:r>
      <w:r w:rsidR="003A22F6">
        <w:rPr>
          <w:szCs w:val="22"/>
        </w:rPr>
        <w:t>s</w:t>
      </w:r>
      <w:r w:rsidRPr="002007ED">
        <w:rPr>
          <w:szCs w:val="22"/>
        </w:rPr>
        <w:t>ection 1.80 of the Rules,</w:t>
      </w:r>
      <w:r>
        <w:rPr>
          <w:rStyle w:val="FootnoteReference"/>
          <w:sz w:val="22"/>
          <w:szCs w:val="22"/>
        </w:rPr>
        <w:footnoteReference w:id="11"/>
      </w:r>
      <w:r w:rsidRPr="002007ED">
        <w:rPr>
          <w:szCs w:val="22"/>
        </w:rPr>
        <w:t xml:space="preserve"> and the Forfeiture Policy Statement.</w:t>
      </w:r>
      <w:r>
        <w:rPr>
          <w:rStyle w:val="FootnoteReference"/>
          <w:sz w:val="22"/>
          <w:szCs w:val="22"/>
        </w:rPr>
        <w:footnoteReference w:id="12"/>
      </w:r>
      <w:r w:rsidRPr="002007ED">
        <w:rPr>
          <w:szCs w:val="22"/>
        </w:rPr>
        <w:t xml:space="preserve"> </w:t>
      </w:r>
      <w:r w:rsidRPr="002007ED" w:rsidR="00411444">
        <w:rPr>
          <w:szCs w:val="22"/>
        </w:rPr>
        <w:t xml:space="preserve"> </w:t>
      </w:r>
      <w:r w:rsidRPr="002007ED">
        <w:rPr>
          <w:szCs w:val="22"/>
        </w:rPr>
        <w:t>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Pr>
          <w:szCs w:val="22"/>
          <w:vertAlign w:val="superscript"/>
        </w:rPr>
        <w:footnoteReference w:id="13"/>
      </w:r>
      <w:r w:rsidRPr="002007ED" w:rsidR="007A74E7">
        <w:rPr>
          <w:szCs w:val="22"/>
        </w:rPr>
        <w:t xml:space="preserve">  </w:t>
      </w:r>
    </w:p>
    <w:p w:rsidR="00603EAF" w:rsidRPr="00D911F2" w:rsidP="00D911F2" w14:paraId="7DA07CCD" w14:textId="270B486E">
      <w:pPr>
        <w:pStyle w:val="ParaNum"/>
        <w:rPr>
          <w:szCs w:val="22"/>
        </w:rPr>
      </w:pPr>
      <w:r w:rsidRPr="002007ED">
        <w:rPr>
          <w:szCs w:val="22"/>
          <w:shd w:val="clear" w:color="auto" w:fill="FFFFFF"/>
        </w:rPr>
        <w:t>We have considered</w:t>
      </w:r>
      <w:r w:rsidR="00D911F2">
        <w:rPr>
          <w:szCs w:val="22"/>
          <w:shd w:val="clear" w:color="auto" w:fill="FFFFFF"/>
        </w:rPr>
        <w:t xml:space="preserve"> the Licensee’s r</w:t>
      </w:r>
      <w:r w:rsidRPr="002007ED">
        <w:rPr>
          <w:szCs w:val="22"/>
          <w:shd w:val="clear" w:color="auto" w:fill="FFFFFF"/>
        </w:rPr>
        <w:t xml:space="preserve">esponse </w:t>
      </w:r>
      <w:r w:rsidRPr="002007ED">
        <w:rPr>
          <w:szCs w:val="22"/>
          <w:shd w:val="clear" w:color="auto" w:fill="FFFFFF"/>
        </w:rPr>
        <w:t>in light of</w:t>
      </w:r>
      <w:r w:rsidRPr="002007ED">
        <w:rPr>
          <w:szCs w:val="22"/>
          <w:shd w:val="clear" w:color="auto" w:fill="FFFFFF"/>
        </w:rPr>
        <w:t xml:space="preserve"> these statutory factors</w:t>
      </w:r>
      <w:r w:rsidRPr="002007ED" w:rsidR="00802DDA">
        <w:rPr>
          <w:szCs w:val="22"/>
          <w:shd w:val="clear" w:color="auto" w:fill="FFFFFF"/>
        </w:rPr>
        <w:t xml:space="preserve">.  </w:t>
      </w:r>
      <w:r w:rsidRPr="00D911F2" w:rsidR="00701A29">
        <w:rPr>
          <w:szCs w:val="22"/>
          <w:shd w:val="clear" w:color="auto" w:fill="FFFFFF"/>
        </w:rPr>
        <w:t xml:space="preserve">We </w:t>
      </w:r>
      <w:r w:rsidRPr="00D911F2" w:rsidR="00802DDA">
        <w:rPr>
          <w:szCs w:val="22"/>
          <w:shd w:val="clear" w:color="auto" w:fill="FFFFFF"/>
        </w:rPr>
        <w:t xml:space="preserve">affirm our </w:t>
      </w:r>
      <w:r w:rsidRPr="00D911F2" w:rsidR="00C018C8">
        <w:rPr>
          <w:szCs w:val="22"/>
          <w:shd w:val="clear" w:color="auto" w:fill="FFFFFF"/>
        </w:rPr>
        <w:t>finding</w:t>
      </w:r>
      <w:r w:rsidRPr="00D911F2" w:rsidR="00802DDA">
        <w:rPr>
          <w:szCs w:val="22"/>
          <w:shd w:val="clear" w:color="auto" w:fill="FFFFFF"/>
        </w:rPr>
        <w:t xml:space="preserve"> that the Licensee willfully violated section 73.3539 of the Rules</w:t>
      </w:r>
      <w:r w:rsidRPr="00D911F2" w:rsidR="00701A29">
        <w:rPr>
          <w:szCs w:val="22"/>
          <w:shd w:val="clear" w:color="auto" w:fill="FFFFFF"/>
        </w:rPr>
        <w:t xml:space="preserve">.  </w:t>
      </w:r>
      <w:r w:rsidR="00C018C8">
        <w:rPr>
          <w:szCs w:val="22"/>
          <w:shd w:val="clear" w:color="auto" w:fill="FFFFFF"/>
        </w:rPr>
        <w:t>We</w:t>
      </w:r>
      <w:r w:rsidR="00D05025">
        <w:rPr>
          <w:szCs w:val="22"/>
          <w:shd w:val="clear" w:color="auto" w:fill="FFFFFF"/>
        </w:rPr>
        <w:t xml:space="preserve"> reject Licensee’s arguments the fact that the violation was </w:t>
      </w:r>
      <w:r w:rsidR="00C018C8">
        <w:rPr>
          <w:szCs w:val="22"/>
          <w:shd w:val="clear" w:color="auto" w:fill="FFFFFF"/>
        </w:rPr>
        <w:t xml:space="preserve">a “clerical error” </w:t>
      </w:r>
      <w:r w:rsidR="00D05025">
        <w:rPr>
          <w:szCs w:val="22"/>
          <w:shd w:val="clear" w:color="auto" w:fill="FFFFFF"/>
        </w:rPr>
        <w:t>should warrant a reduction in the proposed forfeiture.</w:t>
      </w:r>
      <w:r>
        <w:rPr>
          <w:rStyle w:val="FootnoteReference"/>
          <w:szCs w:val="22"/>
          <w:shd w:val="clear" w:color="auto" w:fill="FFFFFF"/>
        </w:rPr>
        <w:footnoteReference w:id="14"/>
      </w:r>
      <w:r w:rsidR="00C018C8">
        <w:rPr>
          <w:szCs w:val="22"/>
          <w:shd w:val="clear" w:color="auto" w:fill="FFFFFF"/>
        </w:rPr>
        <w:t xml:space="preserve">  </w:t>
      </w:r>
      <w:r w:rsidRPr="00272754" w:rsidR="00272754">
        <w:rPr>
          <w:szCs w:val="22"/>
          <w:shd w:val="clear" w:color="auto" w:fill="FFFFFF"/>
        </w:rPr>
        <w:t>The Commission has held that violations resulting from inadvertent error or failure to become familiar with the Commission’s requirements are willful violations.</w:t>
      </w:r>
      <w:bookmarkStart w:id="0" w:name="co_tablefootnote_10_1"/>
      <w:bookmarkEnd w:id="0"/>
      <w:r>
        <w:rPr>
          <w:szCs w:val="22"/>
          <w:shd w:val="clear" w:color="auto" w:fill="FFFFFF"/>
          <w:vertAlign w:val="superscript"/>
        </w:rPr>
        <w:footnoteReference w:id="15"/>
      </w:r>
      <w:r w:rsidRPr="00272754" w:rsidR="00272754">
        <w:rPr>
          <w:szCs w:val="22"/>
          <w:shd w:val="clear" w:color="auto" w:fill="FFFFFF"/>
        </w:rPr>
        <w:t xml:space="preserve">  Moreover, the Commission has long held that “licensees are responsible for the acts and omissions of their employees and independent contractors,”</w:t>
      </w:r>
      <w:bookmarkStart w:id="1" w:name="co_tablefootnote_12_1"/>
      <w:bookmarkEnd w:id="1"/>
      <w:r>
        <w:rPr>
          <w:szCs w:val="22"/>
          <w:shd w:val="clear" w:color="auto" w:fill="FFFFFF"/>
          <w:vertAlign w:val="superscript"/>
        </w:rPr>
        <w:footnoteReference w:id="16"/>
      </w:r>
      <w:r w:rsidRPr="00272754" w:rsidR="00272754">
        <w:rPr>
          <w:szCs w:val="22"/>
          <w:shd w:val="clear" w:color="auto" w:fill="FFFFFF"/>
        </w:rPr>
        <w:t xml:space="preserve"> and has consistently “refused to excuse licensees from forfeiture penalties where the actions of employees or independent contractors have resulted in violations.”</w:t>
      </w:r>
      <w:bookmarkStart w:id="2" w:name="co_tablefootnote_13_1"/>
      <w:bookmarkEnd w:id="2"/>
      <w:r>
        <w:rPr>
          <w:szCs w:val="22"/>
          <w:shd w:val="clear" w:color="auto" w:fill="FFFFFF"/>
          <w:vertAlign w:val="superscript"/>
        </w:rPr>
        <w:footnoteReference w:id="17"/>
      </w:r>
      <w:r w:rsidRPr="00272754" w:rsidR="00272754">
        <w:rPr>
          <w:szCs w:val="22"/>
          <w:shd w:val="clear" w:color="auto" w:fill="FFFFFF"/>
        </w:rPr>
        <w:t xml:space="preserve">  </w:t>
      </w:r>
      <w:r w:rsidR="00D05025">
        <w:rPr>
          <w:szCs w:val="22"/>
          <w:shd w:val="clear" w:color="auto" w:fill="FFFFFF"/>
        </w:rPr>
        <w:t xml:space="preserve"> However, because Licensee has a history of a compliance of with the Rules, we will reduce the proposed forfeiture to $1,</w:t>
      </w:r>
      <w:r w:rsidR="002A0F2F">
        <w:rPr>
          <w:szCs w:val="22"/>
          <w:shd w:val="clear" w:color="auto" w:fill="FFFFFF"/>
        </w:rPr>
        <w:t>125</w:t>
      </w:r>
      <w:r w:rsidR="00D05025">
        <w:rPr>
          <w:szCs w:val="22"/>
          <w:shd w:val="clear" w:color="auto" w:fill="FFFFFF"/>
        </w:rPr>
        <w:t>.</w:t>
      </w:r>
      <w:r>
        <w:rPr>
          <w:rStyle w:val="FootnoteReference"/>
          <w:szCs w:val="22"/>
          <w:shd w:val="clear" w:color="auto" w:fill="FFFFFF"/>
        </w:rPr>
        <w:footnoteReference w:id="18"/>
      </w:r>
    </w:p>
    <w:p w:rsidR="00912D6D" w:rsidRPr="002007ED" w:rsidP="006D5941" w14:paraId="10E0C5F4" w14:textId="77777777">
      <w:pPr>
        <w:pStyle w:val="Heading1"/>
        <w:rPr>
          <w:rFonts w:ascii="Times New Roman" w:hAnsi="Times New Roman"/>
          <w:szCs w:val="22"/>
        </w:rPr>
      </w:pPr>
      <w:r w:rsidRPr="002007ED">
        <w:rPr>
          <w:rFonts w:ascii="Times New Roman" w:hAnsi="Times New Roman"/>
          <w:szCs w:val="22"/>
        </w:rPr>
        <w:t>order</w:t>
      </w:r>
      <w:r w:rsidRPr="002007ED" w:rsidR="006D5941">
        <w:rPr>
          <w:rFonts w:ascii="Times New Roman" w:hAnsi="Times New Roman"/>
          <w:szCs w:val="22"/>
        </w:rPr>
        <w:t>ing</w:t>
      </w:r>
      <w:r w:rsidRPr="002007ED">
        <w:rPr>
          <w:rFonts w:ascii="Times New Roman" w:hAnsi="Times New Roman"/>
          <w:szCs w:val="22"/>
        </w:rPr>
        <w:t xml:space="preserve"> Clauses</w:t>
      </w:r>
    </w:p>
    <w:p w:rsidR="00300160" w:rsidRPr="000642CE" w:rsidP="002A0F2F" w14:paraId="1A16D053" w14:textId="0535A8FC">
      <w:pPr>
        <w:pStyle w:val="ParaNum"/>
        <w:widowControl/>
        <w:rPr>
          <w:szCs w:val="22"/>
        </w:rPr>
      </w:pPr>
      <w:r w:rsidRPr="002007ED">
        <w:rPr>
          <w:szCs w:val="22"/>
        </w:rPr>
        <w:t xml:space="preserve">Accordingly, </w:t>
      </w:r>
      <w:r w:rsidRPr="002007ED">
        <w:rPr>
          <w:b/>
          <w:szCs w:val="22"/>
        </w:rPr>
        <w:t>IT IS ORDERED</w:t>
      </w:r>
      <w:r w:rsidRPr="002007ED">
        <w:rPr>
          <w:szCs w:val="22"/>
        </w:rPr>
        <w:t xml:space="preserve"> that, </w:t>
      </w:r>
      <w:r w:rsidRPr="002007ED" w:rsidR="000F643B">
        <w:rPr>
          <w:szCs w:val="22"/>
        </w:rPr>
        <w:t>pursuant to</w:t>
      </w:r>
      <w:r w:rsidRPr="002007ED">
        <w:rPr>
          <w:szCs w:val="22"/>
        </w:rPr>
        <w:t xml:space="preserve"> </w:t>
      </w:r>
      <w:r w:rsidRPr="002007ED" w:rsidR="000F643B">
        <w:rPr>
          <w:szCs w:val="22"/>
        </w:rPr>
        <w:t>s</w:t>
      </w:r>
      <w:r w:rsidRPr="002007ED">
        <w:rPr>
          <w:szCs w:val="22"/>
        </w:rPr>
        <w:t>ections 0.61, 0.283, and 1.</w:t>
      </w:r>
      <w:r w:rsidRPr="002007ED" w:rsidR="001A13B4">
        <w:rPr>
          <w:szCs w:val="22"/>
        </w:rPr>
        <w:t>108</w:t>
      </w:r>
      <w:r w:rsidRPr="002007ED">
        <w:rPr>
          <w:szCs w:val="22"/>
        </w:rPr>
        <w:t xml:space="preserve"> of the Commission’s rules,</w:t>
      </w:r>
      <w:r>
        <w:rPr>
          <w:rStyle w:val="FootnoteReference"/>
          <w:sz w:val="22"/>
          <w:szCs w:val="22"/>
        </w:rPr>
        <w:footnoteReference w:id="19"/>
      </w:r>
      <w:r w:rsidRPr="002007ED">
        <w:rPr>
          <w:szCs w:val="22"/>
        </w:rPr>
        <w:t xml:space="preserve"> the </w:t>
      </w:r>
      <w:r w:rsidRPr="00151C89" w:rsidR="00151C89">
        <w:rPr>
          <w:szCs w:val="22"/>
        </w:rPr>
        <w:t>forfeiture</w:t>
      </w:r>
      <w:r w:rsidR="000642CE">
        <w:rPr>
          <w:szCs w:val="22"/>
        </w:rPr>
        <w:t xml:space="preserve"> issued </w:t>
      </w:r>
      <w:r w:rsidR="00151C89">
        <w:rPr>
          <w:szCs w:val="22"/>
        </w:rPr>
        <w:t xml:space="preserve">to </w:t>
      </w:r>
      <w:r w:rsidR="00C018C8">
        <w:rPr>
          <w:szCs w:val="22"/>
        </w:rPr>
        <w:t xml:space="preserve">Heritage Media of Kentucky, Inc., </w:t>
      </w:r>
      <w:r w:rsidR="000642CE">
        <w:rPr>
          <w:szCs w:val="22"/>
        </w:rPr>
        <w:t xml:space="preserve">on </w:t>
      </w:r>
      <w:r w:rsidR="0023747D">
        <w:rPr>
          <w:szCs w:val="22"/>
        </w:rPr>
        <w:t>February 5, 2021</w:t>
      </w:r>
      <w:r w:rsidRPr="002007ED" w:rsidR="001173C3">
        <w:rPr>
          <w:szCs w:val="22"/>
        </w:rPr>
        <w:t>,</w:t>
      </w:r>
      <w:r w:rsidRPr="002007ED">
        <w:rPr>
          <w:szCs w:val="22"/>
        </w:rPr>
        <w:t xml:space="preserve"> </w:t>
      </w:r>
      <w:r w:rsidRPr="002007ED">
        <w:rPr>
          <w:b/>
          <w:szCs w:val="22"/>
        </w:rPr>
        <w:t xml:space="preserve">IS </w:t>
      </w:r>
      <w:r w:rsidR="004D154C">
        <w:rPr>
          <w:b/>
          <w:szCs w:val="22"/>
        </w:rPr>
        <w:t xml:space="preserve">HEREBY </w:t>
      </w:r>
      <w:r w:rsidR="00264441">
        <w:rPr>
          <w:b/>
          <w:szCs w:val="22"/>
        </w:rPr>
        <w:t>REDUCED</w:t>
      </w:r>
      <w:r w:rsidR="000642CE">
        <w:rPr>
          <w:szCs w:val="22"/>
        </w:rPr>
        <w:t xml:space="preserve">, and that, </w:t>
      </w:r>
      <w:r w:rsidRPr="000642CE">
        <w:rPr>
          <w:szCs w:val="22"/>
        </w:rPr>
        <w:t xml:space="preserve">pursuant to section 503(b) of the Communications Act of 1934, as amended, and sections 0.283 and 1.80 of the Commission’s Rules, </w:t>
      </w:r>
      <w:r w:rsidR="00C018C8">
        <w:rPr>
          <w:szCs w:val="22"/>
        </w:rPr>
        <w:t>Heritage Media of Kentucky</w:t>
      </w:r>
      <w:r w:rsidRPr="000642CE">
        <w:rPr>
          <w:szCs w:val="22"/>
        </w:rPr>
        <w:t xml:space="preserve">, Inc., </w:t>
      </w:r>
      <w:r w:rsidRPr="000642CE">
        <w:rPr>
          <w:b/>
          <w:szCs w:val="22"/>
        </w:rPr>
        <w:t>IS LIABLE FOR A MONETARY FORFEITURE</w:t>
      </w:r>
      <w:r w:rsidRPr="000642CE">
        <w:rPr>
          <w:szCs w:val="22"/>
        </w:rPr>
        <w:t xml:space="preserve"> in the amount </w:t>
      </w:r>
      <w:r w:rsidRPr="00362DA9">
        <w:rPr>
          <w:szCs w:val="22"/>
        </w:rPr>
        <w:t>of $</w:t>
      </w:r>
      <w:r w:rsidR="00272754">
        <w:rPr>
          <w:szCs w:val="22"/>
        </w:rPr>
        <w:t>1,</w:t>
      </w:r>
      <w:r w:rsidR="00DF778B">
        <w:rPr>
          <w:szCs w:val="22"/>
        </w:rPr>
        <w:t>125</w:t>
      </w:r>
      <w:r w:rsidRPr="000642CE">
        <w:rPr>
          <w:szCs w:val="22"/>
        </w:rPr>
        <w:t xml:space="preserve"> for its willful violation of section 73.3539 of the Commission’s rules. </w:t>
      </w:r>
    </w:p>
    <w:p w:rsidR="00300160" w:rsidRPr="002007ED" w:rsidP="00362DA9" w14:paraId="7842B9D8" w14:textId="77777777">
      <w:pPr>
        <w:pStyle w:val="ParaNum"/>
        <w:widowControl/>
        <w:rPr>
          <w:szCs w:val="22"/>
        </w:rPr>
      </w:pPr>
      <w:r w:rsidRPr="002007ED">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20"/>
      </w:r>
      <w:r w:rsidRPr="002007ED">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1"/>
      </w:r>
      <w:r w:rsidRPr="002007ED">
        <w:rPr>
          <w:szCs w:val="22"/>
        </w:rPr>
        <w:t xml:space="preserve"> </w:t>
      </w:r>
    </w:p>
    <w:p w:rsidR="00300160" w:rsidRPr="002007ED" w:rsidP="0048488E" w14:paraId="32E08E6D" w14:textId="77777777">
      <w:pPr>
        <w:widowControl/>
        <w:numPr>
          <w:ilvl w:val="0"/>
          <w:numId w:val="10"/>
        </w:numPr>
        <w:spacing w:after="120"/>
        <w:rPr>
          <w:b/>
          <w:szCs w:val="22"/>
        </w:rPr>
      </w:pPr>
      <w:r w:rsidRPr="002007ED">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007ED">
          <w:rPr>
            <w:rStyle w:val="Hyperlink"/>
            <w:color w:val="auto"/>
            <w:szCs w:val="22"/>
          </w:rPr>
          <w:t>RROGWireFaxes@fcc.gov</w:t>
        </w:r>
      </w:hyperlink>
      <w:r w:rsidRPr="002007ED">
        <w:rPr>
          <w:szCs w:val="22"/>
        </w:rPr>
        <w:t xml:space="preserve"> on the same business day the wire transfer is initiated.  Failure to provide all required information in Form 159 may result in payment not being recognized as having been received.  When completing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2"/>
      </w:r>
      <w:r w:rsidRPr="002007ED">
        <w:rPr>
          <w:szCs w:val="22"/>
        </w:rPr>
        <w:t xml:space="preserve">  For additional detail and wire transfer instructions, go to </w:t>
      </w:r>
      <w:hyperlink r:id="rId6" w:history="1">
        <w:r w:rsidRPr="002007ED">
          <w:rPr>
            <w:rStyle w:val="Hyperlink"/>
            <w:color w:val="auto"/>
            <w:szCs w:val="22"/>
          </w:rPr>
          <w:t>https://www.fcc.gov/licensing-databases/fees/wire-transfer</w:t>
        </w:r>
      </w:hyperlink>
      <w:r w:rsidRPr="002007ED">
        <w:rPr>
          <w:szCs w:val="22"/>
        </w:rPr>
        <w:t>.</w:t>
      </w:r>
    </w:p>
    <w:p w:rsidR="00300160" w:rsidRPr="002007ED" w:rsidP="00300160" w14:paraId="6BC4C848" w14:textId="77777777">
      <w:pPr>
        <w:numPr>
          <w:ilvl w:val="0"/>
          <w:numId w:val="10"/>
        </w:numPr>
        <w:spacing w:after="120"/>
        <w:rPr>
          <w:b/>
          <w:szCs w:val="22"/>
        </w:rPr>
      </w:pPr>
      <w:r w:rsidRPr="002007ED">
        <w:rPr>
          <w:szCs w:val="22"/>
        </w:rPr>
        <w:t xml:space="preserve">Payment by credit card must be made by using the Commission’s Fee Filer website at </w:t>
      </w:r>
      <w:hyperlink r:id="rId7" w:history="1">
        <w:r w:rsidRPr="002007ED">
          <w:rPr>
            <w:rStyle w:val="Hyperlink"/>
            <w:color w:val="auto"/>
            <w:szCs w:val="22"/>
          </w:rPr>
          <w:t>https://apps.fcc.gov/FeeFiler/login.cfm</w:t>
        </w:r>
      </w:hyperlink>
      <w:r w:rsidRPr="002007ED">
        <w:rPr>
          <w:szCs w:val="22"/>
        </w:rPr>
        <w:t>.  To pay by credit card, log in using the FRN captioned above.  If payment must be split across FRNs, complete this process for each FRN.  Next, select “Pay bills” on the Fee Filer Menu, and select the bill number associated with the NAL Account—the bill number is the NAL Account number with the first two digits excluded—and then choose the “Pay by Credit Card” option.  Please note that there is a dollar limitation on credit card transactions, which cannot exceed $24,999.99.</w:t>
      </w:r>
    </w:p>
    <w:p w:rsidR="00300160" w:rsidRPr="002007ED" w:rsidP="00300160" w14:paraId="77446671" w14:textId="77777777">
      <w:pPr>
        <w:numPr>
          <w:ilvl w:val="0"/>
          <w:numId w:val="10"/>
        </w:numPr>
        <w:spacing w:after="120"/>
        <w:rPr>
          <w:spacing w:val="-2"/>
          <w:szCs w:val="22"/>
        </w:rPr>
      </w:pPr>
      <w:r w:rsidRPr="002007ED">
        <w:rPr>
          <w:szCs w:val="22"/>
        </w:rPr>
        <w:t xml:space="preserve">Payment by ACH must be made by using the Commission’s Fee Filer website at </w:t>
      </w:r>
      <w:hyperlink r:id="rId7" w:history="1">
        <w:r w:rsidRPr="002007ED">
          <w:rPr>
            <w:rStyle w:val="Hyperlink"/>
            <w:color w:val="auto"/>
            <w:szCs w:val="22"/>
          </w:rPr>
          <w:t>https://apps.fcc.gov/FeeFiler/login.cfm</w:t>
        </w:r>
      </w:hyperlink>
      <w:r w:rsidRPr="002007ED">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300160" w:rsidRPr="002007ED" w:rsidP="00196CAD" w14:paraId="161AF9A9" w14:textId="313830E4">
      <w:pPr>
        <w:pStyle w:val="ParaNum"/>
        <w:widowControl/>
        <w:rPr>
          <w:szCs w:val="22"/>
        </w:rPr>
      </w:pPr>
      <w:r w:rsidRPr="002007ED">
        <w:rPr>
          <w:szCs w:val="22"/>
        </w:rPr>
        <w:t xml:space="preserve">Any request for making full payment over time under an installment plan should be sent to:  </w:t>
      </w:r>
      <w:r w:rsidR="009A20B4">
        <w:rPr>
          <w:szCs w:val="22"/>
        </w:rPr>
        <w:t>Associate Managing Director</w:t>
      </w:r>
      <w:r w:rsidRPr="002007ED">
        <w:rPr>
          <w:szCs w:val="22"/>
        </w:rPr>
        <w:t xml:space="preserve">—Financial Operations, Federal Communications Commission, 45 L Street NE, Washington, DC 20554.  Questions regarding payment procedures should be directed to the </w:t>
      </w:r>
      <w:r w:rsidRPr="002007ED">
        <w:rPr>
          <w:szCs w:val="22"/>
        </w:rPr>
        <w:t>Financial Operations Group Help Desk by phone, 1-877-480-3201</w:t>
      </w:r>
      <w:r w:rsidR="009A20B4">
        <w:rPr>
          <w:szCs w:val="22"/>
        </w:rPr>
        <w:t xml:space="preserve"> </w:t>
      </w:r>
      <w:r w:rsidR="009A20B4">
        <w:t>(option #6)</w:t>
      </w:r>
      <w:r w:rsidRPr="002007ED">
        <w:rPr>
          <w:szCs w:val="22"/>
        </w:rPr>
        <w:t>, or by e-mail,</w:t>
      </w:r>
      <w:r w:rsidR="001B4EDB">
        <w:rPr>
          <w:szCs w:val="22"/>
        </w:rPr>
        <w:t xml:space="preserve"> </w:t>
      </w:r>
      <w:hyperlink r:id="rId8" w:history="1">
        <w:r w:rsidRPr="009122FE" w:rsidR="001B4EDB">
          <w:rPr>
            <w:rStyle w:val="Hyperlink"/>
            <w:szCs w:val="22"/>
          </w:rPr>
          <w:t>ARINQUIRIES@fcc.gov</w:t>
        </w:r>
      </w:hyperlink>
      <w:r w:rsidRPr="002007ED">
        <w:rPr>
          <w:szCs w:val="22"/>
        </w:rPr>
        <w:t>.</w:t>
      </w:r>
    </w:p>
    <w:p w:rsidR="002F075D" w:rsidP="00301105" w14:paraId="2A5C2465" w14:textId="497E70BE">
      <w:pPr>
        <w:pStyle w:val="ParaNum"/>
        <w:keepNext/>
        <w:keepLines/>
        <w:rPr>
          <w:szCs w:val="22"/>
        </w:rPr>
      </w:pPr>
      <w:r w:rsidRPr="002007ED">
        <w:rPr>
          <w:b/>
          <w:szCs w:val="22"/>
        </w:rPr>
        <w:t>IT IS FURTHER ORDERED</w:t>
      </w:r>
      <w:r w:rsidRPr="002007ED">
        <w:rPr>
          <w:szCs w:val="22"/>
        </w:rPr>
        <w:t xml:space="preserve"> that a copy of this </w:t>
      </w:r>
      <w:r w:rsidR="003A22F6">
        <w:rPr>
          <w:i/>
          <w:iCs/>
          <w:szCs w:val="22"/>
        </w:rPr>
        <w:t xml:space="preserve">Forfeiture </w:t>
      </w:r>
      <w:r w:rsidRPr="002007ED">
        <w:rPr>
          <w:i/>
          <w:szCs w:val="22"/>
        </w:rPr>
        <w:t>Order</w:t>
      </w:r>
      <w:r w:rsidRPr="002007ED">
        <w:rPr>
          <w:szCs w:val="22"/>
        </w:rPr>
        <w:t xml:space="preserve"> shall be sent by First Class and Certified Mail, Return Receipt Requested, to </w:t>
      </w:r>
      <w:r w:rsidRPr="00272754" w:rsidR="00272754">
        <w:t>Mark D. Buckles, Heritage Media of Kentucky, Inc., 2160 Brandenburg Rd, Leitchfield, KY 42754, and its counsel, Dawn M. Sciarrino, Esq., Sciarrino &amp; Schubert, PLLC, 330 Franklin Rd., Suite 135A-133, Brentwood, TN 37027.</w:t>
      </w:r>
    </w:p>
    <w:p w:rsidR="004862E0" w:rsidP="00301105" w14:paraId="22337043" w14:textId="77777777">
      <w:pPr>
        <w:keepNext/>
        <w:keepLines/>
      </w:pPr>
      <w:r>
        <w:tab/>
      </w:r>
      <w:r>
        <w:tab/>
      </w:r>
      <w:r>
        <w:tab/>
      </w:r>
      <w:r>
        <w:tab/>
      </w:r>
      <w:r>
        <w:tab/>
      </w:r>
      <w:r>
        <w:tab/>
        <w:t>FEDERAL COMMUNICATIONS COMMISSION</w:t>
      </w:r>
    </w:p>
    <w:p w:rsidR="004862E0" w:rsidP="00301105" w14:paraId="2A66814C" w14:textId="77777777">
      <w:pPr>
        <w:keepNext/>
        <w:keepLines/>
      </w:pPr>
    </w:p>
    <w:p w:rsidR="004862E0" w:rsidP="00301105" w14:paraId="397B1AF9" w14:textId="77777777">
      <w:pPr>
        <w:keepNext/>
        <w:keepLines/>
      </w:pPr>
    </w:p>
    <w:p w:rsidR="004862E0" w:rsidP="00301105" w14:paraId="42C69E8B" w14:textId="77777777">
      <w:pPr>
        <w:keepNext/>
        <w:keepLines/>
      </w:pPr>
    </w:p>
    <w:p w:rsidR="004862E0" w:rsidP="00301105" w14:paraId="58BD1D66" w14:textId="77777777">
      <w:pPr>
        <w:keepNext/>
        <w:keepLines/>
      </w:pPr>
    </w:p>
    <w:p w:rsidR="004862E0" w:rsidRPr="002007ED" w:rsidP="00301105" w14:paraId="0DA64E90" w14:textId="77777777">
      <w:pPr>
        <w:keepNext/>
        <w:keepLines/>
        <w:rPr>
          <w:szCs w:val="22"/>
        </w:rPr>
      </w:pPr>
      <w:r>
        <w:tab/>
      </w:r>
      <w:r>
        <w:tab/>
      </w:r>
      <w:r>
        <w:tab/>
      </w:r>
      <w:r>
        <w:tab/>
      </w:r>
      <w:r>
        <w:tab/>
      </w:r>
      <w:r>
        <w:tab/>
      </w:r>
      <w:r w:rsidRPr="002007ED">
        <w:rPr>
          <w:szCs w:val="22"/>
        </w:rPr>
        <w:t>Albert Shuldiner</w:t>
      </w:r>
    </w:p>
    <w:p w:rsidR="004862E0" w:rsidRPr="002007ED" w:rsidP="00301105" w14:paraId="4020904D" w14:textId="77777777">
      <w:pPr>
        <w:keepNext/>
        <w:keepLines/>
        <w:rPr>
          <w:szCs w:val="22"/>
        </w:rPr>
      </w:pPr>
      <w:r w:rsidRPr="002007ED">
        <w:rPr>
          <w:szCs w:val="22"/>
        </w:rPr>
        <w:tab/>
      </w:r>
      <w:r w:rsidRPr="002007ED">
        <w:rPr>
          <w:szCs w:val="22"/>
        </w:rPr>
        <w:tab/>
      </w:r>
      <w:r w:rsidRPr="002007ED">
        <w:rPr>
          <w:szCs w:val="22"/>
        </w:rPr>
        <w:tab/>
      </w:r>
      <w:r w:rsidRPr="002007ED">
        <w:rPr>
          <w:szCs w:val="22"/>
        </w:rPr>
        <w:tab/>
      </w:r>
      <w:r w:rsidRPr="002007ED">
        <w:rPr>
          <w:szCs w:val="22"/>
        </w:rPr>
        <w:tab/>
      </w:r>
      <w:r w:rsidRPr="002007ED">
        <w:rPr>
          <w:szCs w:val="22"/>
        </w:rPr>
        <w:tab/>
        <w:t>Chief, Audio Division</w:t>
      </w:r>
    </w:p>
    <w:p w:rsidR="004862E0" w:rsidRPr="002007ED" w:rsidP="00301105" w14:paraId="0C08A005" w14:textId="45EBBC0C">
      <w:pPr>
        <w:keepNext/>
        <w:keepLines/>
        <w:rPr>
          <w:szCs w:val="22"/>
        </w:rPr>
      </w:pPr>
      <w:r w:rsidRPr="002007ED">
        <w:rPr>
          <w:szCs w:val="22"/>
        </w:rPr>
        <w:tab/>
      </w:r>
      <w:r w:rsidRPr="002007ED">
        <w:rPr>
          <w:szCs w:val="22"/>
        </w:rPr>
        <w:tab/>
      </w:r>
      <w:r w:rsidRPr="002007ED">
        <w:rPr>
          <w:szCs w:val="22"/>
        </w:rPr>
        <w:tab/>
      </w:r>
      <w:r w:rsidRPr="002007ED">
        <w:rPr>
          <w:szCs w:val="22"/>
        </w:rPr>
        <w:tab/>
      </w:r>
      <w:r w:rsidRPr="002007ED">
        <w:rPr>
          <w:szCs w:val="22"/>
        </w:rPr>
        <w:tab/>
      </w:r>
      <w:r w:rsidRPr="002007ED">
        <w:rPr>
          <w:szCs w:val="22"/>
        </w:rPr>
        <w:tab/>
        <w:t>Media Bureau</w:t>
      </w:r>
    </w:p>
    <w:sectPr>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48C07B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1B4B008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0279B2A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11C81B32"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130981F2"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41FF" w14:paraId="15D3126C" w14:textId="77777777">
      <w:r>
        <w:separator/>
      </w:r>
    </w:p>
  </w:footnote>
  <w:footnote w:type="continuationSeparator" w:id="1">
    <w:p w:rsidR="00DB41FF" w14:paraId="25C7962D" w14:textId="77777777">
      <w:r>
        <w:continuationSeparator/>
      </w:r>
    </w:p>
  </w:footnote>
  <w:footnote w:id="2">
    <w:p w:rsidR="003A22F6" w:rsidP="003A22F6" w14:paraId="47940797" w14:textId="77777777">
      <w:pPr>
        <w:pStyle w:val="FootnoteText"/>
      </w:pPr>
      <w:r>
        <w:rPr>
          <w:rStyle w:val="FootnoteReference"/>
        </w:rPr>
        <w:footnoteRef/>
      </w:r>
      <w:r>
        <w:t xml:space="preserve"> </w:t>
      </w:r>
      <w:r>
        <w:rPr>
          <w:i/>
        </w:rPr>
        <w:t xml:space="preserve">See </w:t>
      </w:r>
      <w:r>
        <w:t>47 CFR § 73.3539.</w:t>
      </w:r>
    </w:p>
  </w:footnote>
  <w:footnote w:id="3">
    <w:p w:rsidR="008426F1" w:rsidRPr="00E1189A" w:rsidP="008426F1" w14:paraId="74209E5E" w14:textId="77777777">
      <w:pPr>
        <w:pStyle w:val="FootnoteText"/>
      </w:pPr>
      <w:r w:rsidRPr="000725CB">
        <w:rPr>
          <w:rStyle w:val="FootnoteReference"/>
        </w:rPr>
        <w:footnoteRef/>
      </w:r>
      <w:r w:rsidRPr="000725CB">
        <w:t xml:space="preserve"> </w:t>
      </w:r>
      <w:r w:rsidRPr="00C9230A">
        <w:rPr>
          <w:i/>
          <w:iCs/>
        </w:rPr>
        <w:t>Id</w:t>
      </w:r>
      <w:r>
        <w:t>.</w:t>
      </w:r>
      <w:r w:rsidRPr="000725CB">
        <w:t xml:space="preserve"> § 73.3539(a).</w:t>
      </w:r>
      <w:r>
        <w:t xml:space="preserve">  </w:t>
      </w:r>
    </w:p>
  </w:footnote>
  <w:footnote w:id="4">
    <w:p w:rsidR="008426F1" w:rsidRPr="00555D44" w:rsidP="008426F1" w14:paraId="226873F6" w14:textId="77777777">
      <w:pPr>
        <w:pStyle w:val="FootnoteText"/>
        <w:rPr>
          <w:i/>
        </w:rPr>
      </w:pPr>
      <w:r w:rsidRPr="000725CB">
        <w:rPr>
          <w:rStyle w:val="FootnoteReference"/>
        </w:rPr>
        <w:footnoteRef/>
      </w:r>
      <w:r w:rsidRPr="000725CB">
        <w:t xml:space="preserve"> </w:t>
      </w:r>
      <w:r>
        <w:rPr>
          <w:i/>
        </w:rPr>
        <w:t>Id.</w:t>
      </w:r>
      <w:r w:rsidRPr="002546D1">
        <w:rPr>
          <w:i/>
        </w:rPr>
        <w:t xml:space="preserve"> </w:t>
      </w:r>
      <w:r w:rsidRPr="002546D1">
        <w:t>§§ 73.1020, 73</w:t>
      </w:r>
      <w:r w:rsidRPr="000725CB">
        <w:t>.3539(a).</w:t>
      </w:r>
      <w:r>
        <w:t xml:space="preserve"> </w:t>
      </w:r>
    </w:p>
  </w:footnote>
  <w:footnote w:id="5">
    <w:p w:rsidR="003A22F6" w14:paraId="368F5942" w14:textId="6B08D1B5">
      <w:pPr>
        <w:pStyle w:val="FootnoteText"/>
      </w:pPr>
      <w:r>
        <w:rPr>
          <w:rStyle w:val="FootnoteReference"/>
        </w:rPr>
        <w:footnoteRef/>
      </w:r>
      <w:r>
        <w:t xml:space="preserve"> </w:t>
      </w:r>
      <w:r w:rsidR="00DF778B">
        <w:rPr>
          <w:i/>
          <w:iCs/>
        </w:rPr>
        <w:t>Heritage Media of Kentucky, Inc.</w:t>
      </w:r>
      <w:r w:rsidR="00DF778B">
        <w:t>,</w:t>
      </w:r>
      <w:r>
        <w:t xml:space="preserve"> </w:t>
      </w:r>
      <w:r>
        <w:rPr>
          <w:snapToGrid w:val="0"/>
        </w:rPr>
        <w:t>Memorandum Opinion and Order and Notice of Apparent Liability for Forfeiture, DA 21-11</w:t>
      </w:r>
      <w:r w:rsidR="00DF778B">
        <w:rPr>
          <w:snapToGrid w:val="0"/>
        </w:rPr>
        <w:t xml:space="preserve">2 </w:t>
      </w:r>
      <w:r>
        <w:rPr>
          <w:snapToGrid w:val="0"/>
        </w:rPr>
        <w:t xml:space="preserve">(MB Feb. </w:t>
      </w:r>
      <w:r w:rsidR="00DF778B">
        <w:rPr>
          <w:snapToGrid w:val="0"/>
        </w:rPr>
        <w:t>4</w:t>
      </w:r>
      <w:r>
        <w:rPr>
          <w:snapToGrid w:val="0"/>
        </w:rPr>
        <w:t>, 2021) (</w:t>
      </w:r>
      <w:r>
        <w:rPr>
          <w:i/>
          <w:iCs/>
          <w:snapToGrid w:val="0"/>
        </w:rPr>
        <w:t>NAL</w:t>
      </w:r>
      <w:r>
        <w:rPr>
          <w:snapToGrid w:val="0"/>
        </w:rPr>
        <w:t>).</w:t>
      </w:r>
    </w:p>
  </w:footnote>
  <w:footnote w:id="6">
    <w:p w:rsidR="008426F1" w:rsidP="008426F1" w14:paraId="1C3568EE" w14:textId="261A7990">
      <w:pPr>
        <w:pStyle w:val="FootnoteText"/>
      </w:pPr>
      <w:r>
        <w:rPr>
          <w:rStyle w:val="FootnoteReference"/>
        </w:rPr>
        <w:footnoteRef/>
      </w:r>
      <w:r>
        <w:t xml:space="preserve"> </w:t>
      </w:r>
      <w:r w:rsidR="003A22F6">
        <w:rPr>
          <w:i/>
          <w:iCs/>
        </w:rPr>
        <w:t>Id.</w:t>
      </w:r>
      <w:r w:rsidR="003A22F6">
        <w:t xml:space="preserve"> at</w:t>
      </w:r>
      <w:r w:rsidR="00DF778B">
        <w:t xml:space="preserve"> 3,</w:t>
      </w:r>
      <w:r>
        <w:t xml:space="preserve"> para. </w:t>
      </w:r>
      <w:r w:rsidR="003A22F6">
        <w:t>1</w:t>
      </w:r>
      <w:r w:rsidR="0072332E">
        <w:t>0</w:t>
      </w:r>
      <w:r>
        <w:t>.</w:t>
      </w:r>
    </w:p>
  </w:footnote>
  <w:footnote w:id="7">
    <w:p w:rsidR="00DD3C28" w:rsidP="00DD3C28" w14:paraId="028F4501" w14:textId="77777777">
      <w:pPr>
        <w:pStyle w:val="FootnoteText"/>
      </w:pPr>
      <w:r>
        <w:rPr>
          <w:rStyle w:val="FootnoteReference"/>
        </w:rPr>
        <w:footnoteRef/>
      </w:r>
      <w:r>
        <w:t xml:space="preserve"> </w:t>
      </w:r>
      <w:r w:rsidRPr="00DF778B">
        <w:t xml:space="preserve">Response to Notice of Apparent Liability for Forfeiture of </w:t>
      </w:r>
      <w:r>
        <w:t>Heritage Media of Kentucky</w:t>
      </w:r>
      <w:r w:rsidRPr="00DF778B">
        <w:t xml:space="preserve">, Inc. (dated Feb. </w:t>
      </w:r>
      <w:r>
        <w:t>8</w:t>
      </w:r>
      <w:r w:rsidRPr="00DF778B">
        <w:t>, 2021).</w:t>
      </w:r>
    </w:p>
  </w:footnote>
  <w:footnote w:id="8">
    <w:p w:rsidR="007F2A69" w14:paraId="0FADA69F" w14:textId="5FD4EF29">
      <w:pPr>
        <w:pStyle w:val="FootnoteText"/>
      </w:pPr>
      <w:r>
        <w:rPr>
          <w:rStyle w:val="FootnoteReference"/>
        </w:rPr>
        <w:footnoteRef/>
      </w:r>
      <w:r>
        <w:t xml:space="preserve"> </w:t>
      </w:r>
      <w:r w:rsidR="002A0F2F">
        <w:rPr>
          <w:i/>
          <w:iCs/>
        </w:rPr>
        <w:t>Id.</w:t>
      </w:r>
      <w:r>
        <w:t xml:space="preserve"> at 2.</w:t>
      </w:r>
    </w:p>
  </w:footnote>
  <w:footnote w:id="9">
    <w:p w:rsidR="00D05025" w:rsidRPr="00D05025" w14:paraId="404700A0" w14:textId="4CCFEF76">
      <w:pPr>
        <w:pStyle w:val="FootnoteText"/>
      </w:pPr>
      <w:r>
        <w:rPr>
          <w:rStyle w:val="FootnoteReference"/>
        </w:rPr>
        <w:footnoteRef/>
      </w:r>
      <w:r>
        <w:t xml:space="preserve"> </w:t>
      </w:r>
      <w:r>
        <w:rPr>
          <w:i/>
          <w:iCs/>
        </w:rPr>
        <w:t>Id</w:t>
      </w:r>
      <w:r>
        <w:t>.</w:t>
      </w:r>
    </w:p>
  </w:footnote>
  <w:footnote w:id="10">
    <w:p w:rsidR="00E3636F" w:rsidRPr="0072332E" w14:paraId="566F4C8A" w14:textId="77777777">
      <w:pPr>
        <w:pStyle w:val="FootnoteText"/>
      </w:pPr>
      <w:r w:rsidRPr="0072332E">
        <w:rPr>
          <w:rStyle w:val="FootnoteReference"/>
        </w:rPr>
        <w:footnoteRef/>
      </w:r>
      <w:r w:rsidRPr="0072332E">
        <w:t xml:space="preserve"> 47 U.S.C. § 503(b).</w:t>
      </w:r>
    </w:p>
  </w:footnote>
  <w:footnote w:id="11">
    <w:p w:rsidR="00E3636F" w14:paraId="06D8210E" w14:textId="77777777">
      <w:pPr>
        <w:pStyle w:val="FootnoteText"/>
      </w:pPr>
      <w:r>
        <w:rPr>
          <w:rStyle w:val="FootnoteReference"/>
        </w:rPr>
        <w:footnoteRef/>
      </w:r>
      <w:r>
        <w:t xml:space="preserve"> </w:t>
      </w:r>
      <w:r w:rsidRPr="00A403D9" w:rsidR="00411444">
        <w:t>47 CFR § 1.80.</w:t>
      </w:r>
    </w:p>
  </w:footnote>
  <w:footnote w:id="12">
    <w:p w:rsidR="00411444" w14:paraId="2C78BE2D" w14:textId="5F0B3215">
      <w:pPr>
        <w:pStyle w:val="FootnoteText"/>
      </w:pPr>
      <w:r>
        <w:rPr>
          <w:rStyle w:val="FootnoteReference"/>
        </w:rPr>
        <w:footnoteRef/>
      </w:r>
      <w:r>
        <w:t xml:space="preserve"> </w:t>
      </w:r>
      <w:r w:rsidRPr="00A403D9" w:rsidR="00D560EA">
        <w:rPr>
          <w:i/>
        </w:rPr>
        <w:t>Forfeiture Policy Statement and Amendment of Section 1.80 of the Rules to Incorporate the Forfeiture Guidelines</w:t>
      </w:r>
      <w:r w:rsidRPr="00A403D9" w:rsidR="00D560EA">
        <w:t xml:space="preserve">, Report and Order, 12 FCC Rcd 17087 (1997), </w:t>
      </w:r>
      <w:r w:rsidRPr="00A403D9" w:rsidR="00D560EA">
        <w:rPr>
          <w:i/>
        </w:rPr>
        <w:t>recon. denied</w:t>
      </w:r>
      <w:r w:rsidRPr="00A403D9" w:rsidR="00D560EA">
        <w:t xml:space="preserve">, </w:t>
      </w:r>
      <w:r w:rsidR="00CC03DE">
        <w:t xml:space="preserve">Memorandum Opinion and Order, </w:t>
      </w:r>
      <w:r w:rsidRPr="00A403D9" w:rsidR="00D560EA">
        <w:t>15 FCC Rcd 303 (1999).</w:t>
      </w:r>
    </w:p>
  </w:footnote>
  <w:footnote w:id="13">
    <w:p w:rsidR="00F741AA" w:rsidRPr="00A403D9" w:rsidP="00F741AA" w14:paraId="2F247EA5" w14:textId="77777777">
      <w:pPr>
        <w:pStyle w:val="FootnoteText"/>
      </w:pPr>
      <w:r w:rsidRPr="00A403D9">
        <w:rPr>
          <w:rStyle w:val="FootnoteReference"/>
        </w:rPr>
        <w:footnoteRef/>
      </w:r>
      <w:r w:rsidRPr="00A403D9">
        <w:t xml:space="preserve"> 47 U.S.C. § 503(b)(2)(E).</w:t>
      </w:r>
    </w:p>
  </w:footnote>
  <w:footnote w:id="14">
    <w:p w:rsidR="00DD3C28" w14:paraId="76E66E23" w14:textId="4E7E32F9">
      <w:pPr>
        <w:pStyle w:val="FootnoteText"/>
      </w:pPr>
      <w:r>
        <w:rPr>
          <w:rStyle w:val="FootnoteReference"/>
        </w:rPr>
        <w:footnoteRef/>
      </w:r>
      <w:r>
        <w:t xml:space="preserve"> Although Licensee</w:t>
      </w:r>
      <w:r w:rsidR="008E2C77">
        <w:t xml:space="preserve"> notes that the filing deadline, April 1, 2020, correlated to the early days of the COVID-19 pandemic, it </w:t>
      </w:r>
      <w:r w:rsidR="00FF2658">
        <w:t xml:space="preserve">does </w:t>
      </w:r>
      <w:r>
        <w:t>not directly attribute its error to th</w:t>
      </w:r>
      <w:r w:rsidR="008E2C77">
        <w:t xml:space="preserve">e pandemic or otherwise explain </w:t>
      </w:r>
      <w:r w:rsidR="00FF2658">
        <w:t xml:space="preserve">how the pandemic was responsible for its failure to timely file the renewal application.  </w:t>
      </w:r>
      <w:r w:rsidR="008E2C77">
        <w:t xml:space="preserve">Moreover, we note that </w:t>
      </w:r>
      <w:r w:rsidR="00FF2658">
        <w:t>over a thousand</w:t>
      </w:r>
      <w:r w:rsidR="00196CAD">
        <w:t xml:space="preserve"> timely license</w:t>
      </w:r>
      <w:r w:rsidR="00FF2658">
        <w:t xml:space="preserve"> </w:t>
      </w:r>
      <w:r w:rsidR="00196CAD">
        <w:t>renewal application were filed by licensees in Tennessee,</w:t>
      </w:r>
      <w:r w:rsidR="008E2C77">
        <w:t xml:space="preserve"> </w:t>
      </w:r>
      <w:r w:rsidR="008E2C77">
        <w:t>Kentucky</w:t>
      </w:r>
      <w:r w:rsidR="008E2C77">
        <w:t xml:space="preserve"> and Indiana, which also had a filing date of April 1, 2020</w:t>
      </w:r>
      <w:r w:rsidR="00FF2658">
        <w:t>.  We thus reject this argument as a basis to reduce the proposed forfeiture.  Likewise, although Licensee notes that the Station was only licensed for a few weeks prior to the April 1, 2020 filing deadline, it cites to no authority that this would excuse its failure to timely file the renewal application.</w:t>
      </w:r>
    </w:p>
  </w:footnote>
  <w:footnote w:id="15">
    <w:p w:rsidR="00272754" w:rsidRPr="00D27175" w:rsidP="00272754" w14:paraId="65DED464" w14:textId="77777777">
      <w:pPr>
        <w:pStyle w:val="FootnoteText"/>
      </w:pPr>
      <w:r w:rsidRPr="00D27175">
        <w:rPr>
          <w:rStyle w:val="FootnoteReference"/>
        </w:rPr>
        <w:footnoteRef/>
      </w:r>
      <w:r w:rsidRPr="00D27175">
        <w:t xml:space="preserve"> </w:t>
      </w:r>
      <w:r w:rsidRPr="00D27175">
        <w:rPr>
          <w:rStyle w:val="Emphasis"/>
          <w:bdr w:val="none" w:sz="0" w:space="0" w:color="auto" w:frame="1"/>
          <w:shd w:val="clear" w:color="auto" w:fill="FFFFFF"/>
        </w:rPr>
        <w:t>Whidbey Island Center for the Arts</w:t>
      </w:r>
      <w:r w:rsidRPr="00272754">
        <w:rPr>
          <w:rStyle w:val="Emphasis"/>
          <w:i w:val="0"/>
          <w:iCs w:val="0"/>
          <w:bdr w:val="none" w:sz="0" w:space="0" w:color="auto" w:frame="1"/>
          <w:shd w:val="clear" w:color="auto" w:fill="FFFFFF"/>
        </w:rPr>
        <w:t>, Forfeiture Order, 25 FCC Rcd 8204 (MB 2010)</w:t>
      </w:r>
      <w:r w:rsidRPr="00D27175">
        <w:rPr>
          <w:rStyle w:val="Emphasis"/>
          <w:bdr w:val="none" w:sz="0" w:space="0" w:color="auto" w:frame="1"/>
          <w:shd w:val="clear" w:color="auto" w:fill="FFFFFF"/>
        </w:rPr>
        <w:t xml:space="preserve"> (Whidbey Island Forfeiture Order) </w:t>
      </w:r>
      <w:r w:rsidRPr="00272754">
        <w:rPr>
          <w:rStyle w:val="Emphasis"/>
          <w:i w:val="0"/>
          <w:iCs w:val="0"/>
          <w:bdr w:val="none" w:sz="0" w:space="0" w:color="auto" w:frame="1"/>
          <w:shd w:val="clear" w:color="auto" w:fill="FFFFFF"/>
        </w:rPr>
        <w:t>(citing</w:t>
      </w:r>
      <w:r w:rsidRPr="00D27175">
        <w:rPr>
          <w:rStyle w:val="Emphasis"/>
          <w:bdr w:val="none" w:sz="0" w:space="0" w:color="auto" w:frame="1"/>
          <w:shd w:val="clear" w:color="auto" w:fill="FFFFFF"/>
        </w:rPr>
        <w:t xml:space="preserve"> PJB Communications of Virginia, Inc.</w:t>
      </w:r>
      <w:r w:rsidRPr="00D27175">
        <w:rPr>
          <w:shd w:val="clear" w:color="auto" w:fill="FFFFFF"/>
        </w:rPr>
        <w:t>, Memorandum Opinion and Order, </w:t>
      </w:r>
      <w:r w:rsidRPr="00D27175">
        <w:rPr>
          <w:bdr w:val="none" w:sz="0" w:space="0" w:color="auto" w:frame="1"/>
          <w:shd w:val="clear" w:color="auto" w:fill="FFFFFF"/>
        </w:rPr>
        <w:t>7 FCC Rcd 2088 (1992)</w:t>
      </w:r>
      <w:r w:rsidRPr="00D27175">
        <w:rPr>
          <w:shd w:val="clear" w:color="auto" w:fill="FFFFFF"/>
        </w:rPr>
        <w:t>; </w:t>
      </w:r>
      <w:r w:rsidRPr="00D27175">
        <w:rPr>
          <w:rStyle w:val="Emphasis"/>
          <w:bdr w:val="none" w:sz="0" w:space="0" w:color="auto" w:frame="1"/>
          <w:shd w:val="clear" w:color="auto" w:fill="FFFFFF"/>
        </w:rPr>
        <w:t>Southern California Broadcasting Co.,</w:t>
      </w:r>
      <w:r w:rsidRPr="00D27175">
        <w:rPr>
          <w:shd w:val="clear" w:color="auto" w:fill="FFFFFF"/>
        </w:rPr>
        <w:t> Memorandum Opinion and Order, </w:t>
      </w:r>
      <w:r w:rsidRPr="00D27175">
        <w:rPr>
          <w:bdr w:val="none" w:sz="0" w:space="0" w:color="auto" w:frame="1"/>
          <w:shd w:val="clear" w:color="auto" w:fill="FFFFFF"/>
        </w:rPr>
        <w:t>6 FCC Rcd 4387, 4387 (1991)</w:t>
      </w:r>
      <w:r w:rsidRPr="00D27175">
        <w:rPr>
          <w:shd w:val="clear" w:color="auto" w:fill="FFFFFF"/>
        </w:rPr>
        <w:t>, </w:t>
      </w:r>
      <w:r w:rsidRPr="00D27175">
        <w:rPr>
          <w:rStyle w:val="Emphasis"/>
          <w:bdr w:val="none" w:sz="0" w:space="0" w:color="auto" w:frame="1"/>
          <w:shd w:val="clear" w:color="auto" w:fill="FFFFFF"/>
        </w:rPr>
        <w:t>recon. denied,</w:t>
      </w:r>
      <w:r w:rsidRPr="00D27175">
        <w:rPr>
          <w:shd w:val="clear" w:color="auto" w:fill="FFFFFF"/>
        </w:rPr>
        <w:t> </w:t>
      </w:r>
      <w:r w:rsidRPr="00D27175">
        <w:rPr>
          <w:bdr w:val="none" w:sz="0" w:space="0" w:color="auto" w:frame="1"/>
          <w:shd w:val="clear" w:color="auto" w:fill="FFFFFF"/>
        </w:rPr>
        <w:t>7 FCC Rcd 3454 (1992)</w:t>
      </w:r>
      <w:r w:rsidRPr="00D27175">
        <w:rPr>
          <w:shd w:val="clear" w:color="auto" w:fill="FFFFFF"/>
        </w:rPr>
        <w:t> (stating that “inadvertence ... is at best, ignorance of the law, which the Commission does not consider a mitigating circumstance”); </w:t>
      </w:r>
      <w:r w:rsidRPr="00D27175">
        <w:rPr>
          <w:rStyle w:val="Emphasis"/>
          <w:bdr w:val="none" w:sz="0" w:space="0" w:color="auto" w:frame="1"/>
          <w:shd w:val="clear" w:color="auto" w:fill="FFFFFF"/>
        </w:rPr>
        <w:t xml:space="preserve">Standard Communications Corp., </w:t>
      </w:r>
      <w:r w:rsidRPr="00D27175">
        <w:rPr>
          <w:shd w:val="clear" w:color="auto" w:fill="FFFFFF"/>
        </w:rPr>
        <w:t>Memorandum Opinion and Order, </w:t>
      </w:r>
      <w:r w:rsidRPr="00D27175">
        <w:rPr>
          <w:bdr w:val="none" w:sz="0" w:space="0" w:color="auto" w:frame="1"/>
          <w:shd w:val="clear" w:color="auto" w:fill="FFFFFF"/>
        </w:rPr>
        <w:t xml:space="preserve">1 FCC Rcd 358 (1986) </w:t>
      </w:r>
      <w:r w:rsidRPr="00D27175">
        <w:rPr>
          <w:shd w:val="clear" w:color="auto" w:fill="FFFFFF"/>
        </w:rPr>
        <w:t xml:space="preserve">(stating that “employee acts or omissions, such as clerical errors in failing to file required forms, do not excuse violations”)). </w:t>
      </w:r>
    </w:p>
  </w:footnote>
  <w:footnote w:id="16">
    <w:p w:rsidR="00272754" w:rsidRPr="00D27175" w:rsidP="00272754" w14:paraId="3087003B" w14:textId="4C1AFB57">
      <w:pPr>
        <w:pStyle w:val="FootnoteText"/>
      </w:pPr>
      <w:r w:rsidRPr="00D27175">
        <w:rPr>
          <w:rStyle w:val="FootnoteReference"/>
        </w:rPr>
        <w:footnoteRef/>
      </w:r>
      <w:r w:rsidRPr="00D27175">
        <w:t xml:space="preserve"> </w:t>
      </w:r>
      <w:r w:rsidRPr="00D27175">
        <w:rPr>
          <w:rStyle w:val="Emphasis"/>
          <w:bdr w:val="none" w:sz="0" w:space="0" w:color="auto" w:frame="1"/>
          <w:shd w:val="clear" w:color="auto" w:fill="FFFFFF"/>
        </w:rPr>
        <w:t xml:space="preserve">Whidbey Island Forfeiture Order, </w:t>
      </w:r>
      <w:r w:rsidRPr="00272754">
        <w:rPr>
          <w:rStyle w:val="Emphasis"/>
          <w:i w:val="0"/>
          <w:iCs w:val="0"/>
          <w:bdr w:val="none" w:sz="0" w:space="0" w:color="auto" w:frame="1"/>
          <w:shd w:val="clear" w:color="auto" w:fill="FFFFFF"/>
        </w:rPr>
        <w:t>25 FCC Rcd at 8205, para 6.</w:t>
      </w:r>
    </w:p>
  </w:footnote>
  <w:footnote w:id="17">
    <w:p w:rsidR="00272754" w:rsidRPr="00D27175" w:rsidP="00272754" w14:paraId="4620B398" w14:textId="77777777">
      <w:pPr>
        <w:pStyle w:val="FootnoteText"/>
      </w:pPr>
      <w:r w:rsidRPr="00D27175">
        <w:rPr>
          <w:rStyle w:val="FootnoteReference"/>
        </w:rPr>
        <w:footnoteRef/>
      </w:r>
      <w:r w:rsidRPr="00D27175">
        <w:t xml:space="preserve"> </w:t>
      </w:r>
      <w:r w:rsidRPr="00D27175">
        <w:rPr>
          <w:i/>
          <w:iCs/>
        </w:rPr>
        <w:t>I</w:t>
      </w:r>
      <w:r w:rsidRPr="00D27175">
        <w:rPr>
          <w:rStyle w:val="Emphasis"/>
          <w:bdr w:val="none" w:sz="0" w:space="0" w:color="auto" w:frame="1"/>
          <w:shd w:val="clear" w:color="auto" w:fill="FFFFFF"/>
        </w:rPr>
        <w:t xml:space="preserve">d. </w:t>
      </w:r>
    </w:p>
  </w:footnote>
  <w:footnote w:id="18">
    <w:p w:rsidR="00C018C8" w14:paraId="0E95B5A0" w14:textId="0D342CBE">
      <w:pPr>
        <w:pStyle w:val="FootnoteText"/>
      </w:pPr>
      <w:r>
        <w:rPr>
          <w:rStyle w:val="FootnoteReference"/>
        </w:rPr>
        <w:footnoteRef/>
      </w:r>
      <w:r>
        <w:t xml:space="preserve"> </w:t>
      </w:r>
      <w:r w:rsidRPr="00C018C8">
        <w:rPr>
          <w:i/>
          <w:iCs/>
        </w:rPr>
        <w:t xml:space="preserve">Zuma Beach FM Emergency and </w:t>
      </w:r>
      <w:r w:rsidRPr="00C018C8">
        <w:rPr>
          <w:i/>
          <w:iCs/>
        </w:rPr>
        <w:t>Cmty</w:t>
      </w:r>
      <w:r w:rsidRPr="00C018C8">
        <w:rPr>
          <w:i/>
          <w:iCs/>
        </w:rPr>
        <w:t>. Broad., Inc.</w:t>
      </w:r>
      <w:r w:rsidRPr="00C018C8">
        <w:t xml:space="preserve">, </w:t>
      </w:r>
      <w:r w:rsidR="00DF778B">
        <w:t>Memorandum Opinion and Order and Notice of Apparent Liability for Forfeiture</w:t>
      </w:r>
      <w:r w:rsidRPr="00C018C8">
        <w:t>, 33 FCC Rcd 8222</w:t>
      </w:r>
      <w:r w:rsidR="00DF778B">
        <w:t>, 8228</w:t>
      </w:r>
      <w:r w:rsidR="00673990">
        <w:t>,</w:t>
      </w:r>
      <w:r w:rsidR="00DF778B">
        <w:t xml:space="preserve"> para. 15</w:t>
      </w:r>
      <w:r w:rsidRPr="00C018C8">
        <w:t xml:space="preserve"> (MB 2018)</w:t>
      </w:r>
      <w:r>
        <w:t xml:space="preserve"> (reducing proposed forfeiture by 25% based on history of compliance with the Rules).</w:t>
      </w:r>
    </w:p>
  </w:footnote>
  <w:footnote w:id="19">
    <w:p w:rsidR="00A0783B" w:rsidP="00A0783B" w14:paraId="7E620C97" w14:textId="77777777">
      <w:pPr>
        <w:pStyle w:val="FootnoteText"/>
      </w:pPr>
      <w:r>
        <w:rPr>
          <w:rStyle w:val="FootnoteReference"/>
        </w:rPr>
        <w:footnoteRef/>
      </w:r>
      <w:r>
        <w:t xml:space="preserve"> </w:t>
      </w:r>
      <w:r>
        <w:rPr>
          <w:rFonts w:ascii="TimesNewRomanPSMT" w:hAnsi="TimesNewRomanPSMT" w:cs="TimesNewRomanPSMT"/>
        </w:rPr>
        <w:t>47 CFR §§ 0.61, 0.283, 1</w:t>
      </w:r>
      <w:r w:rsidR="000F643B">
        <w:rPr>
          <w:rFonts w:ascii="TimesNewRomanPSMT" w:hAnsi="TimesNewRomanPSMT" w:cs="TimesNewRomanPSMT"/>
        </w:rPr>
        <w:t>.108</w:t>
      </w:r>
      <w:r>
        <w:rPr>
          <w:rFonts w:ascii="TimesNewRomanPSMT" w:hAnsi="TimesNewRomanPSMT" w:cs="TimesNewRomanPSMT"/>
        </w:rPr>
        <w:t>.</w:t>
      </w:r>
    </w:p>
  </w:footnote>
  <w:footnote w:id="20">
    <w:p w:rsidR="00300160" w:rsidRPr="00132193" w:rsidP="00300160" w14:paraId="1289ED2D"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1">
    <w:p w:rsidR="00300160" w:rsidRPr="00132193" w:rsidP="00300160" w14:paraId="505C959D"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300160" w:rsidRPr="004B33E9" w:rsidP="00300160" w14:paraId="0AE47FB4" w14:textId="77777777">
      <w:pPr>
        <w:pStyle w:val="FootnoteText"/>
      </w:pPr>
      <w:r w:rsidRPr="00132193">
        <w:rPr>
          <w:rStyle w:val="FootnoteReference"/>
        </w:rPr>
        <w:footnoteRef/>
      </w:r>
      <w:r w:rsidRPr="00132193">
        <w:t xml:space="preserve"> Instructions for completing the form may be obtained at </w:t>
      </w:r>
      <w:hyperlink r:id="rId2" w:history="1">
        <w:r w:rsidRPr="006C71D1">
          <w:rPr>
            <w:rStyle w:val="Hyperlink"/>
          </w:rPr>
          <w:t>https://transition.fcc.gov/Forms/Form159/159.pdf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rsidP="00915413" w14:paraId="4E9C4930" w14:textId="15FB20B3">
    <w:pPr>
      <w:pStyle w:val="Header"/>
    </w:pPr>
    <w:r>
      <w:tab/>
    </w:r>
    <w:r w:rsidRPr="00947B4D">
      <w:t>Federal Communications Commission</w:t>
    </w:r>
    <w:r w:rsidRPr="00947B4D">
      <w:tab/>
      <w:t xml:space="preserve">   </w:t>
    </w:r>
    <w:r>
      <w:t xml:space="preserve">                       DA </w:t>
    </w:r>
    <w:r w:rsidR="00C44E2F">
      <w:t>2</w:t>
    </w:r>
    <w:r w:rsidR="00B177BC">
      <w:t>1</w:t>
    </w:r>
    <w:r>
      <w:t>-</w:t>
    </w:r>
    <w:r w:rsidR="007D3800">
      <w:t>242</w:t>
    </w:r>
  </w:p>
  <w:p w:rsidR="00124FB3" w:rsidRPr="00947B4D" w:rsidP="00915413" w14:paraId="5CB0A45B" w14:textId="77777777">
    <w:pPr>
      <w:pStyle w:val="Header"/>
    </w:pPr>
    <w:r w:rsidRPr="00947B4D">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rsidP="00915413" w14:paraId="7F9E22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15413" w:rsidP="00915413" w14:paraId="4AE118D1" w14:textId="6E343A6E">
    <w:pPr>
      <w:pStyle w:val="Header"/>
    </w:pPr>
    <w:r w:rsidRPr="00915413">
      <w:tab/>
      <w:t>Federal Communications Commission</w:t>
    </w:r>
    <w:r w:rsidRPr="00915413">
      <w:tab/>
      <w:t xml:space="preserve">DA </w:t>
    </w:r>
    <w:r w:rsidR="00915413">
      <w:t>2</w:t>
    </w:r>
    <w:r w:rsidR="005D2851">
      <w:t>1</w:t>
    </w:r>
    <w:r w:rsidRPr="00915413">
      <w:t>-</w:t>
    </w:r>
    <w:r w:rsidR="007D3800">
      <w:t>242</w:t>
    </w:r>
  </w:p>
  <w:p w:rsidR="00124FB3" w:rsidRPr="00947B4D" w:rsidP="00915413" w14:paraId="3881EFFB" w14:textId="77777777">
    <w:pPr>
      <w:pStyle w:val="Header"/>
    </w:pPr>
    <w:r w:rsidRPr="00947B4D">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0"/>
  </w:num>
  <w:num w:numId="4">
    <w:abstractNumId w:val="2"/>
  </w:num>
  <w:num w:numId="5">
    <w:abstractNumId w:val="10"/>
  </w:num>
  <w:num w:numId="6">
    <w:abstractNumId w:val="7"/>
  </w:num>
  <w:num w:numId="7">
    <w:abstractNumId w:val="7"/>
  </w:num>
  <w:num w:numId="8">
    <w:abstractNumId w:val="7"/>
  </w:num>
  <w:num w:numId="9">
    <w:abstractNumId w:val="7"/>
  </w:num>
  <w:num w:numId="10">
    <w:abstractNumId w:val="5"/>
  </w:num>
  <w:num w:numId="11">
    <w:abstractNumId w:val="7"/>
  </w:num>
  <w:num w:numId="12">
    <w:abstractNumId w:val="7"/>
  </w:num>
  <w:num w:numId="13">
    <w:abstractNumId w:val="9"/>
  </w:num>
  <w:num w:numId="14">
    <w:abstractNumId w:val="6"/>
  </w:num>
  <w:num w:numId="15">
    <w:abstractNumId w:val="8"/>
  </w:num>
  <w:num w:numId="16">
    <w:abstractNumId w:val="4"/>
  </w:num>
  <w:num w:numId="17">
    <w:abstractNumId w:val="1"/>
  </w:num>
  <w:num w:numId="18">
    <w:abstractNumId w:val="10"/>
  </w:num>
  <w:num w:numId="19">
    <w:abstractNumId w:val="10"/>
    <w:lvlOverride w:ilvl="0">
      <w:startOverride w:val="1"/>
    </w:lvlOverride>
  </w:num>
  <w:num w:numId="2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0F18"/>
    <w:rsid w:val="000027A9"/>
    <w:rsid w:val="00003076"/>
    <w:rsid w:val="00016B78"/>
    <w:rsid w:val="00033EEF"/>
    <w:rsid w:val="000374FA"/>
    <w:rsid w:val="00061845"/>
    <w:rsid w:val="00063599"/>
    <w:rsid w:val="000642CE"/>
    <w:rsid w:val="000717E9"/>
    <w:rsid w:val="000725CB"/>
    <w:rsid w:val="0009697D"/>
    <w:rsid w:val="000A45C8"/>
    <w:rsid w:val="000C1190"/>
    <w:rsid w:val="000C2EFA"/>
    <w:rsid w:val="000F3534"/>
    <w:rsid w:val="000F643B"/>
    <w:rsid w:val="00100A37"/>
    <w:rsid w:val="00102A40"/>
    <w:rsid w:val="0010399E"/>
    <w:rsid w:val="00115EFF"/>
    <w:rsid w:val="001173C3"/>
    <w:rsid w:val="0012244A"/>
    <w:rsid w:val="00124FB3"/>
    <w:rsid w:val="00132193"/>
    <w:rsid w:val="00146D8A"/>
    <w:rsid w:val="00151C89"/>
    <w:rsid w:val="00170AEF"/>
    <w:rsid w:val="0017245E"/>
    <w:rsid w:val="00174F11"/>
    <w:rsid w:val="001751AB"/>
    <w:rsid w:val="00182875"/>
    <w:rsid w:val="00196CAD"/>
    <w:rsid w:val="001A13B4"/>
    <w:rsid w:val="001B4EDB"/>
    <w:rsid w:val="001D1D96"/>
    <w:rsid w:val="001F407C"/>
    <w:rsid w:val="002007ED"/>
    <w:rsid w:val="0021210B"/>
    <w:rsid w:val="00213FBD"/>
    <w:rsid w:val="00224394"/>
    <w:rsid w:val="0023747D"/>
    <w:rsid w:val="00250FC7"/>
    <w:rsid w:val="00252D07"/>
    <w:rsid w:val="002546D1"/>
    <w:rsid w:val="00254E9C"/>
    <w:rsid w:val="00264220"/>
    <w:rsid w:val="00264441"/>
    <w:rsid w:val="00272754"/>
    <w:rsid w:val="00272E14"/>
    <w:rsid w:val="002816C4"/>
    <w:rsid w:val="0028325E"/>
    <w:rsid w:val="0029085A"/>
    <w:rsid w:val="002933B5"/>
    <w:rsid w:val="002A0F2F"/>
    <w:rsid w:val="002B55EA"/>
    <w:rsid w:val="002C18A9"/>
    <w:rsid w:val="002C2CE8"/>
    <w:rsid w:val="002D6CCE"/>
    <w:rsid w:val="002F075D"/>
    <w:rsid w:val="00300160"/>
    <w:rsid w:val="00301105"/>
    <w:rsid w:val="00302772"/>
    <w:rsid w:val="00305A4D"/>
    <w:rsid w:val="00312380"/>
    <w:rsid w:val="00324113"/>
    <w:rsid w:val="003476C5"/>
    <w:rsid w:val="00362DA9"/>
    <w:rsid w:val="00364397"/>
    <w:rsid w:val="00377AB9"/>
    <w:rsid w:val="0039004B"/>
    <w:rsid w:val="003A22F6"/>
    <w:rsid w:val="003A2719"/>
    <w:rsid w:val="003A7B6A"/>
    <w:rsid w:val="003B22E6"/>
    <w:rsid w:val="003D1495"/>
    <w:rsid w:val="003E2108"/>
    <w:rsid w:val="003E758D"/>
    <w:rsid w:val="00400538"/>
    <w:rsid w:val="00406E2A"/>
    <w:rsid w:val="00411444"/>
    <w:rsid w:val="004152D3"/>
    <w:rsid w:val="00442F37"/>
    <w:rsid w:val="004450EA"/>
    <w:rsid w:val="0045362C"/>
    <w:rsid w:val="004552E7"/>
    <w:rsid w:val="00460E33"/>
    <w:rsid w:val="004649E6"/>
    <w:rsid w:val="00464A4C"/>
    <w:rsid w:val="00466062"/>
    <w:rsid w:val="004756DA"/>
    <w:rsid w:val="00475AB4"/>
    <w:rsid w:val="0048488E"/>
    <w:rsid w:val="004862E0"/>
    <w:rsid w:val="004B33E9"/>
    <w:rsid w:val="004D020E"/>
    <w:rsid w:val="004D154C"/>
    <w:rsid w:val="004D5F4D"/>
    <w:rsid w:val="004D7205"/>
    <w:rsid w:val="00513042"/>
    <w:rsid w:val="00522939"/>
    <w:rsid w:val="00522F40"/>
    <w:rsid w:val="0053631C"/>
    <w:rsid w:val="0054227E"/>
    <w:rsid w:val="00542911"/>
    <w:rsid w:val="0054658F"/>
    <w:rsid w:val="00555D44"/>
    <w:rsid w:val="00556F2A"/>
    <w:rsid w:val="005643D0"/>
    <w:rsid w:val="0058204C"/>
    <w:rsid w:val="005A2ED5"/>
    <w:rsid w:val="005A3C5A"/>
    <w:rsid w:val="005A40EE"/>
    <w:rsid w:val="005A6179"/>
    <w:rsid w:val="005D2851"/>
    <w:rsid w:val="005F3236"/>
    <w:rsid w:val="005F5ACF"/>
    <w:rsid w:val="00600AB4"/>
    <w:rsid w:val="00601A10"/>
    <w:rsid w:val="00603EAF"/>
    <w:rsid w:val="00612A61"/>
    <w:rsid w:val="00642433"/>
    <w:rsid w:val="00642AED"/>
    <w:rsid w:val="00654F6D"/>
    <w:rsid w:val="00671BD5"/>
    <w:rsid w:val="00673990"/>
    <w:rsid w:val="00674B53"/>
    <w:rsid w:val="00675642"/>
    <w:rsid w:val="00680877"/>
    <w:rsid w:val="00694701"/>
    <w:rsid w:val="006977E1"/>
    <w:rsid w:val="006A729F"/>
    <w:rsid w:val="006B5182"/>
    <w:rsid w:val="006C055B"/>
    <w:rsid w:val="006C71D1"/>
    <w:rsid w:val="006C745F"/>
    <w:rsid w:val="006D41BB"/>
    <w:rsid w:val="006D5941"/>
    <w:rsid w:val="006E5075"/>
    <w:rsid w:val="006F5EF8"/>
    <w:rsid w:val="006F7F5E"/>
    <w:rsid w:val="00701A29"/>
    <w:rsid w:val="0070285B"/>
    <w:rsid w:val="0070595C"/>
    <w:rsid w:val="007116D3"/>
    <w:rsid w:val="00715797"/>
    <w:rsid w:val="00720723"/>
    <w:rsid w:val="0072332E"/>
    <w:rsid w:val="00726097"/>
    <w:rsid w:val="0073764D"/>
    <w:rsid w:val="007415F1"/>
    <w:rsid w:val="00742FE1"/>
    <w:rsid w:val="00753410"/>
    <w:rsid w:val="00766006"/>
    <w:rsid w:val="0076731C"/>
    <w:rsid w:val="0077649F"/>
    <w:rsid w:val="0077691C"/>
    <w:rsid w:val="007817D0"/>
    <w:rsid w:val="007977E9"/>
    <w:rsid w:val="007A2495"/>
    <w:rsid w:val="007A74E7"/>
    <w:rsid w:val="007A77DC"/>
    <w:rsid w:val="007B4BFD"/>
    <w:rsid w:val="007B6927"/>
    <w:rsid w:val="007C196E"/>
    <w:rsid w:val="007C2913"/>
    <w:rsid w:val="007D1C6E"/>
    <w:rsid w:val="007D338C"/>
    <w:rsid w:val="007D3800"/>
    <w:rsid w:val="007D6335"/>
    <w:rsid w:val="007E3D01"/>
    <w:rsid w:val="007F2A69"/>
    <w:rsid w:val="00802DDA"/>
    <w:rsid w:val="00805CE8"/>
    <w:rsid w:val="00815E82"/>
    <w:rsid w:val="00816AAA"/>
    <w:rsid w:val="00826124"/>
    <w:rsid w:val="008330FE"/>
    <w:rsid w:val="008367AF"/>
    <w:rsid w:val="008426F1"/>
    <w:rsid w:val="0085482E"/>
    <w:rsid w:val="00862E93"/>
    <w:rsid w:val="00864191"/>
    <w:rsid w:val="0086538D"/>
    <w:rsid w:val="00866C07"/>
    <w:rsid w:val="00874E66"/>
    <w:rsid w:val="00875E61"/>
    <w:rsid w:val="0087704F"/>
    <w:rsid w:val="00887E0C"/>
    <w:rsid w:val="008920C4"/>
    <w:rsid w:val="008A4A76"/>
    <w:rsid w:val="008C199A"/>
    <w:rsid w:val="008C24C1"/>
    <w:rsid w:val="008C2F1D"/>
    <w:rsid w:val="008C4F3D"/>
    <w:rsid w:val="008D4F70"/>
    <w:rsid w:val="008E0FEF"/>
    <w:rsid w:val="008E17CE"/>
    <w:rsid w:val="008E2C77"/>
    <w:rsid w:val="008E36C1"/>
    <w:rsid w:val="008E3E6A"/>
    <w:rsid w:val="009106EA"/>
    <w:rsid w:val="00911CC4"/>
    <w:rsid w:val="009122FE"/>
    <w:rsid w:val="00912D6D"/>
    <w:rsid w:val="00913B96"/>
    <w:rsid w:val="00913CD0"/>
    <w:rsid w:val="00915413"/>
    <w:rsid w:val="00916096"/>
    <w:rsid w:val="00920082"/>
    <w:rsid w:val="009270AC"/>
    <w:rsid w:val="00943FF9"/>
    <w:rsid w:val="00945045"/>
    <w:rsid w:val="00947B4D"/>
    <w:rsid w:val="00955990"/>
    <w:rsid w:val="009612A4"/>
    <w:rsid w:val="00962EB2"/>
    <w:rsid w:val="00982705"/>
    <w:rsid w:val="009834E0"/>
    <w:rsid w:val="0099319C"/>
    <w:rsid w:val="009A20B4"/>
    <w:rsid w:val="009A2763"/>
    <w:rsid w:val="009C0115"/>
    <w:rsid w:val="009C3818"/>
    <w:rsid w:val="009C702E"/>
    <w:rsid w:val="009C7DB0"/>
    <w:rsid w:val="009D053D"/>
    <w:rsid w:val="009D4824"/>
    <w:rsid w:val="009E3478"/>
    <w:rsid w:val="009F4C33"/>
    <w:rsid w:val="00A0783B"/>
    <w:rsid w:val="00A0783D"/>
    <w:rsid w:val="00A10393"/>
    <w:rsid w:val="00A10F13"/>
    <w:rsid w:val="00A15369"/>
    <w:rsid w:val="00A17744"/>
    <w:rsid w:val="00A17B8E"/>
    <w:rsid w:val="00A205B5"/>
    <w:rsid w:val="00A23B7C"/>
    <w:rsid w:val="00A313F2"/>
    <w:rsid w:val="00A32431"/>
    <w:rsid w:val="00A34D6B"/>
    <w:rsid w:val="00A3545B"/>
    <w:rsid w:val="00A35A4F"/>
    <w:rsid w:val="00A403D9"/>
    <w:rsid w:val="00A43408"/>
    <w:rsid w:val="00A60A9F"/>
    <w:rsid w:val="00A6332C"/>
    <w:rsid w:val="00A77066"/>
    <w:rsid w:val="00A81713"/>
    <w:rsid w:val="00A83E4D"/>
    <w:rsid w:val="00A86AF6"/>
    <w:rsid w:val="00A9500C"/>
    <w:rsid w:val="00AA120E"/>
    <w:rsid w:val="00AC315A"/>
    <w:rsid w:val="00AD519C"/>
    <w:rsid w:val="00AE6923"/>
    <w:rsid w:val="00AF2D1B"/>
    <w:rsid w:val="00B030FD"/>
    <w:rsid w:val="00B04AB3"/>
    <w:rsid w:val="00B11767"/>
    <w:rsid w:val="00B17777"/>
    <w:rsid w:val="00B177BC"/>
    <w:rsid w:val="00B205BF"/>
    <w:rsid w:val="00B21D6D"/>
    <w:rsid w:val="00B30481"/>
    <w:rsid w:val="00B457F4"/>
    <w:rsid w:val="00B502DE"/>
    <w:rsid w:val="00B50D51"/>
    <w:rsid w:val="00B5661C"/>
    <w:rsid w:val="00B61E3D"/>
    <w:rsid w:val="00B631A8"/>
    <w:rsid w:val="00B7104D"/>
    <w:rsid w:val="00B72EE2"/>
    <w:rsid w:val="00B87D47"/>
    <w:rsid w:val="00B9072C"/>
    <w:rsid w:val="00BA545E"/>
    <w:rsid w:val="00BB4DB8"/>
    <w:rsid w:val="00BD6B16"/>
    <w:rsid w:val="00BD6D51"/>
    <w:rsid w:val="00BE63FE"/>
    <w:rsid w:val="00BF70C1"/>
    <w:rsid w:val="00C018C8"/>
    <w:rsid w:val="00C03EDF"/>
    <w:rsid w:val="00C064CA"/>
    <w:rsid w:val="00C44E2F"/>
    <w:rsid w:val="00C56DA8"/>
    <w:rsid w:val="00C84165"/>
    <w:rsid w:val="00C90D49"/>
    <w:rsid w:val="00C9230A"/>
    <w:rsid w:val="00CA7DD3"/>
    <w:rsid w:val="00CC03DE"/>
    <w:rsid w:val="00CE6A7B"/>
    <w:rsid w:val="00CE7156"/>
    <w:rsid w:val="00CE7221"/>
    <w:rsid w:val="00CF4343"/>
    <w:rsid w:val="00D000B4"/>
    <w:rsid w:val="00D05025"/>
    <w:rsid w:val="00D0760B"/>
    <w:rsid w:val="00D11850"/>
    <w:rsid w:val="00D12811"/>
    <w:rsid w:val="00D158FA"/>
    <w:rsid w:val="00D172A1"/>
    <w:rsid w:val="00D23EB0"/>
    <w:rsid w:val="00D24915"/>
    <w:rsid w:val="00D27175"/>
    <w:rsid w:val="00D33CCE"/>
    <w:rsid w:val="00D423B0"/>
    <w:rsid w:val="00D54303"/>
    <w:rsid w:val="00D560EA"/>
    <w:rsid w:val="00D64E57"/>
    <w:rsid w:val="00D76268"/>
    <w:rsid w:val="00D76BBD"/>
    <w:rsid w:val="00D815E4"/>
    <w:rsid w:val="00D82AA4"/>
    <w:rsid w:val="00D86085"/>
    <w:rsid w:val="00D8749A"/>
    <w:rsid w:val="00D911F2"/>
    <w:rsid w:val="00D93F71"/>
    <w:rsid w:val="00DB41FF"/>
    <w:rsid w:val="00DC63A9"/>
    <w:rsid w:val="00DD3C28"/>
    <w:rsid w:val="00DE33DA"/>
    <w:rsid w:val="00DE6ABD"/>
    <w:rsid w:val="00DF778B"/>
    <w:rsid w:val="00E1189A"/>
    <w:rsid w:val="00E306A6"/>
    <w:rsid w:val="00E3636F"/>
    <w:rsid w:val="00E4519B"/>
    <w:rsid w:val="00E60BCF"/>
    <w:rsid w:val="00E648EB"/>
    <w:rsid w:val="00E65CED"/>
    <w:rsid w:val="00E75C56"/>
    <w:rsid w:val="00E80C9E"/>
    <w:rsid w:val="00E8263C"/>
    <w:rsid w:val="00E91705"/>
    <w:rsid w:val="00EA24F5"/>
    <w:rsid w:val="00EA4AB4"/>
    <w:rsid w:val="00EB05E5"/>
    <w:rsid w:val="00EB4AF2"/>
    <w:rsid w:val="00EB54E2"/>
    <w:rsid w:val="00EB5951"/>
    <w:rsid w:val="00EC1019"/>
    <w:rsid w:val="00EE2FCA"/>
    <w:rsid w:val="00EE4177"/>
    <w:rsid w:val="00EF7621"/>
    <w:rsid w:val="00EF7C70"/>
    <w:rsid w:val="00F02952"/>
    <w:rsid w:val="00F27407"/>
    <w:rsid w:val="00F34389"/>
    <w:rsid w:val="00F368F8"/>
    <w:rsid w:val="00F741AA"/>
    <w:rsid w:val="00F767B1"/>
    <w:rsid w:val="00FA1F76"/>
    <w:rsid w:val="00FA4F84"/>
    <w:rsid w:val="00FB6195"/>
    <w:rsid w:val="00FC5E78"/>
    <w:rsid w:val="00FC7146"/>
    <w:rsid w:val="00FE3B1E"/>
    <w:rsid w:val="00FE545B"/>
    <w:rsid w:val="00FF26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800"/>
    <w:pPr>
      <w:widowControl w:val="0"/>
    </w:pPr>
    <w:rPr>
      <w:snapToGrid w:val="0"/>
      <w:kern w:val="28"/>
      <w:sz w:val="22"/>
    </w:rPr>
  </w:style>
  <w:style w:type="paragraph" w:styleId="Heading1">
    <w:name w:val="heading 1"/>
    <w:basedOn w:val="Normal"/>
    <w:next w:val="ParaNum"/>
    <w:link w:val="Heading1Char"/>
    <w:qFormat/>
    <w:rsid w:val="007D3800"/>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D3800"/>
    <w:pPr>
      <w:keepNext/>
      <w:numPr>
        <w:ilvl w:val="1"/>
        <w:numId w:val="14"/>
      </w:numPr>
      <w:spacing w:after="120"/>
      <w:outlineLvl w:val="1"/>
    </w:pPr>
    <w:rPr>
      <w:b/>
    </w:rPr>
  </w:style>
  <w:style w:type="paragraph" w:styleId="Heading3">
    <w:name w:val="heading 3"/>
    <w:basedOn w:val="Normal"/>
    <w:next w:val="ParaNum"/>
    <w:link w:val="Heading3Char"/>
    <w:qFormat/>
    <w:rsid w:val="007D3800"/>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7D3800"/>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7D3800"/>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7D3800"/>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7D3800"/>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7D3800"/>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D3800"/>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D38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3800"/>
  </w:style>
  <w:style w:type="paragraph" w:customStyle="1" w:styleId="ParaNum">
    <w:name w:val="ParaNum"/>
    <w:basedOn w:val="Normal"/>
    <w:link w:val="ParaNumChar"/>
    <w:rsid w:val="007D3800"/>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7D380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D3800"/>
    <w:rPr>
      <w:rFonts w:ascii="Times New Roman" w:hAnsi="Times New Roman"/>
      <w:dstrike w:val="0"/>
      <w:color w:val="auto"/>
      <w:sz w:val="20"/>
      <w:vertAlign w:val="superscript"/>
    </w:rPr>
  </w:style>
  <w:style w:type="paragraph" w:styleId="Header">
    <w:name w:val="header"/>
    <w:basedOn w:val="Normal"/>
    <w:autoRedefine/>
    <w:rsid w:val="007D3800"/>
    <w:pPr>
      <w:tabs>
        <w:tab w:val="center" w:pos="4680"/>
        <w:tab w:val="right" w:pos="9360"/>
      </w:tabs>
    </w:pPr>
    <w:rPr>
      <w:b/>
    </w:rPr>
  </w:style>
  <w:style w:type="paragraph" w:styleId="Footer">
    <w:name w:val="footer"/>
    <w:basedOn w:val="Normal"/>
    <w:link w:val="FooterChar"/>
    <w:uiPriority w:val="99"/>
    <w:rsid w:val="007D3800"/>
    <w:pPr>
      <w:tabs>
        <w:tab w:val="center" w:pos="4320"/>
        <w:tab w:val="right" w:pos="8640"/>
      </w:tabs>
    </w:pPr>
  </w:style>
  <w:style w:type="character" w:styleId="PageNumber">
    <w:name w:val="page number"/>
    <w:basedOn w:val="DefaultParagraphFont"/>
    <w:rsid w:val="007D3800"/>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7D3800"/>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7D3800"/>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7D3800"/>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7D3800"/>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7D3800"/>
    <w:rPr>
      <w:vertAlign w:val="superscript"/>
    </w:rPr>
  </w:style>
  <w:style w:type="paragraph" w:styleId="TOC1">
    <w:name w:val="toc 1"/>
    <w:basedOn w:val="Normal"/>
    <w:next w:val="Normal"/>
    <w:rsid w:val="007D3800"/>
    <w:pPr>
      <w:tabs>
        <w:tab w:val="left" w:pos="360"/>
        <w:tab w:val="right" w:leader="dot" w:pos="9360"/>
      </w:tabs>
      <w:suppressAutoHyphens/>
      <w:ind w:left="360" w:right="720" w:hanging="360"/>
    </w:pPr>
    <w:rPr>
      <w:caps/>
      <w:noProof/>
    </w:rPr>
  </w:style>
  <w:style w:type="paragraph" w:styleId="TOC2">
    <w:name w:val="toc 2"/>
    <w:basedOn w:val="Normal"/>
    <w:next w:val="Normal"/>
    <w:rsid w:val="007D3800"/>
    <w:pPr>
      <w:tabs>
        <w:tab w:val="left" w:pos="720"/>
        <w:tab w:val="right" w:leader="dot" w:pos="9360"/>
      </w:tabs>
      <w:suppressAutoHyphens/>
      <w:ind w:left="720" w:right="720" w:hanging="360"/>
    </w:pPr>
    <w:rPr>
      <w:noProof/>
    </w:rPr>
  </w:style>
  <w:style w:type="paragraph" w:styleId="TOC3">
    <w:name w:val="toc 3"/>
    <w:basedOn w:val="Normal"/>
    <w:next w:val="Normal"/>
    <w:rsid w:val="007D380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D3800"/>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D3800"/>
    <w:pPr>
      <w:tabs>
        <w:tab w:val="left" w:pos="1800"/>
        <w:tab w:val="right" w:leader="dot" w:pos="9360"/>
      </w:tabs>
      <w:suppressAutoHyphens/>
      <w:ind w:left="1800" w:right="720" w:hanging="360"/>
    </w:pPr>
    <w:rPr>
      <w:noProof/>
    </w:rPr>
  </w:style>
  <w:style w:type="paragraph" w:styleId="TOC6">
    <w:name w:val="toc 6"/>
    <w:basedOn w:val="Normal"/>
    <w:next w:val="Normal"/>
    <w:autoRedefine/>
    <w:rsid w:val="007D3800"/>
    <w:pPr>
      <w:tabs>
        <w:tab w:val="left" w:pos="2160"/>
        <w:tab w:val="right" w:leader="dot" w:pos="9360"/>
      </w:tabs>
      <w:suppressAutoHyphens/>
      <w:ind w:left="2160" w:hanging="360"/>
    </w:pPr>
    <w:rPr>
      <w:noProof/>
    </w:rPr>
  </w:style>
  <w:style w:type="paragraph" w:styleId="TOC7">
    <w:name w:val="toc 7"/>
    <w:basedOn w:val="Normal"/>
    <w:next w:val="Normal"/>
    <w:autoRedefine/>
    <w:rsid w:val="007D3800"/>
    <w:pPr>
      <w:tabs>
        <w:tab w:val="left" w:pos="2520"/>
        <w:tab w:val="right" w:leader="dot" w:pos="9360"/>
      </w:tabs>
      <w:suppressAutoHyphens/>
      <w:ind w:left="2520" w:hanging="360"/>
    </w:pPr>
    <w:rPr>
      <w:noProof/>
    </w:rPr>
  </w:style>
  <w:style w:type="paragraph" w:styleId="TOC8">
    <w:name w:val="toc 8"/>
    <w:basedOn w:val="Normal"/>
    <w:next w:val="Normal"/>
    <w:autoRedefine/>
    <w:rsid w:val="007D3800"/>
    <w:pPr>
      <w:tabs>
        <w:tab w:val="left" w:pos="2880"/>
        <w:tab w:val="right" w:leader="dot" w:pos="9360"/>
      </w:tabs>
      <w:suppressAutoHyphens/>
      <w:ind w:left="2880" w:hanging="360"/>
    </w:pPr>
    <w:rPr>
      <w:noProof/>
    </w:rPr>
  </w:style>
  <w:style w:type="paragraph" w:styleId="TOC9">
    <w:name w:val="toc 9"/>
    <w:basedOn w:val="Normal"/>
    <w:next w:val="Normal"/>
    <w:autoRedefine/>
    <w:rsid w:val="007D3800"/>
    <w:pPr>
      <w:tabs>
        <w:tab w:val="left" w:pos="3240"/>
        <w:tab w:val="right" w:leader="dot" w:pos="9360"/>
      </w:tabs>
      <w:suppressAutoHyphens/>
      <w:ind w:left="3240" w:hanging="360"/>
    </w:pPr>
    <w:rPr>
      <w:noProof/>
    </w:rPr>
  </w:style>
  <w:style w:type="paragraph" w:styleId="TOAHeading">
    <w:name w:val="toa heading"/>
    <w:basedOn w:val="Normal"/>
    <w:next w:val="Normal"/>
    <w:rsid w:val="007D3800"/>
    <w:pPr>
      <w:tabs>
        <w:tab w:val="right" w:pos="9360"/>
      </w:tabs>
      <w:suppressAutoHyphens/>
    </w:pPr>
  </w:style>
  <w:style w:type="character" w:customStyle="1" w:styleId="EquationCaption">
    <w:name w:val="_Equation Caption"/>
    <w:rsid w:val="007D3800"/>
  </w:style>
  <w:style w:type="paragraph" w:styleId="BlockText">
    <w:name w:val="Block Text"/>
    <w:basedOn w:val="Normal"/>
    <w:rsid w:val="007D3800"/>
    <w:pPr>
      <w:spacing w:after="240"/>
      <w:ind w:left="1440" w:right="1440"/>
    </w:pPr>
  </w:style>
  <w:style w:type="paragraph" w:customStyle="1" w:styleId="Paratitle">
    <w:name w:val="Para title"/>
    <w:basedOn w:val="Normal"/>
    <w:rsid w:val="007D3800"/>
    <w:pPr>
      <w:tabs>
        <w:tab w:val="center" w:pos="9270"/>
      </w:tabs>
      <w:spacing w:after="240"/>
    </w:pPr>
    <w:rPr>
      <w:spacing w:val="-2"/>
    </w:rPr>
  </w:style>
  <w:style w:type="paragraph" w:customStyle="1" w:styleId="TableFormat">
    <w:name w:val="TableFormat"/>
    <w:basedOn w:val="Bullet"/>
    <w:rsid w:val="007D3800"/>
    <w:pPr>
      <w:tabs>
        <w:tab w:val="clear" w:pos="2160"/>
        <w:tab w:val="left" w:pos="5040"/>
      </w:tabs>
      <w:ind w:left="5040" w:hanging="3600"/>
    </w:pPr>
  </w:style>
  <w:style w:type="paragraph" w:customStyle="1" w:styleId="TOCTitle">
    <w:name w:val="TOC Title"/>
    <w:basedOn w:val="Normal"/>
    <w:rsid w:val="007D380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3800"/>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ssit">
    <w:name w:val="ss_it"/>
    <w:basedOn w:val="DefaultParagraphFont"/>
    <w:rsid w:val="00BE63FE"/>
  </w:style>
  <w:style w:type="character" w:customStyle="1" w:styleId="sssh">
    <w:name w:val="ss_sh"/>
    <w:basedOn w:val="DefaultParagraphFont"/>
    <w:rsid w:val="00BE63FE"/>
  </w:style>
  <w:style w:type="character" w:customStyle="1" w:styleId="UnresolvedMention2">
    <w:name w:val="Unresolved Mention2"/>
    <w:basedOn w:val="DefaultParagraphFont"/>
    <w:rsid w:val="001B4EDB"/>
    <w:rPr>
      <w:color w:val="605E5C"/>
      <w:shd w:val="clear" w:color="auto" w:fill="E1DFDD"/>
    </w:rPr>
  </w:style>
  <w:style w:type="character" w:customStyle="1" w:styleId="FootnoteTextChar1CharChar">
    <w:name w:val="Footnote Text Char1 Char Char"/>
    <w:aliases w:val="Footnote Text Char1 Char Char Char Char,Footnote Text Char2 Char,Footnote Text Char2 Char Char Char,Footnote Text Char3 Char Char,Footnote Text Char4 Char1 Char Char Char Char Char1"/>
    <w:semiHidden/>
    <w:locked/>
    <w:rsid w:val="003A22F6"/>
  </w:style>
  <w:style w:type="character" w:styleId="Emphasis">
    <w:name w:val="Emphasis"/>
    <w:basedOn w:val="DefaultParagraphFont"/>
    <w:uiPriority w:val="20"/>
    <w:qFormat/>
    <w:rsid w:val="00D050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transition.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