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140750" w:rsidRPr="000F3DE4" w:rsidP="00140750" w14:paraId="2310D2D0" w14:textId="185BBF92">
            <w:pPr>
              <w:tabs>
                <w:tab w:val="center" w:pos="4680"/>
              </w:tabs>
              <w:suppressAutoHyphens/>
              <w:rPr>
                <w:b/>
                <w:bCs/>
                <w:spacing w:val="-2"/>
              </w:rPr>
            </w:pPr>
            <w:r>
              <w:rPr>
                <w:b/>
                <w:bCs/>
                <w:spacing w:val="-2"/>
              </w:rPr>
              <w:t>Coushatta Tribe of Louisiana</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13963D07">
            <w:pPr>
              <w:tabs>
                <w:tab w:val="center" w:pos="4680"/>
              </w:tabs>
              <w:suppressAutoHyphens/>
              <w:rPr>
                <w:spacing w:val="-2"/>
              </w:rPr>
            </w:pPr>
            <w:r w:rsidRPr="00140750">
              <w:rPr>
                <w:spacing w:val="-2"/>
              </w:rPr>
              <w:t xml:space="preserve">Station </w:t>
            </w:r>
            <w:r w:rsidR="00CC6B68">
              <w:rPr>
                <w:spacing w:val="-2"/>
              </w:rPr>
              <w:t>KWRJ</w:t>
            </w:r>
            <w:r w:rsidR="00C92A9A">
              <w:rPr>
                <w:spacing w:val="-2"/>
              </w:rPr>
              <w:t>-LP</w:t>
            </w:r>
          </w:p>
          <w:p w:rsidR="004C2EE3" w:rsidRPr="007115F7" w:rsidP="00140750" w14:paraId="310B4D25" w14:textId="3274EF70">
            <w:pPr>
              <w:tabs>
                <w:tab w:val="center" w:pos="4680"/>
              </w:tabs>
              <w:suppressAutoHyphens/>
              <w:rPr>
                <w:spacing w:val="-2"/>
              </w:rPr>
            </w:pPr>
            <w:r>
              <w:rPr>
                <w:spacing w:val="-2"/>
              </w:rPr>
              <w:t>Elton, Louisiana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0D3E4B1B">
            <w:pPr>
              <w:pStyle w:val="TOAHeading"/>
              <w:tabs>
                <w:tab w:val="center" w:pos="4680"/>
              </w:tabs>
              <w:rPr>
                <w:spacing w:val="-2"/>
              </w:rPr>
            </w:pPr>
            <w:r w:rsidRPr="00140750">
              <w:rPr>
                <w:spacing w:val="-2"/>
              </w:rPr>
              <w:t xml:space="preserve">Facility ID No. </w:t>
            </w:r>
            <w:r w:rsidR="00CC6B68">
              <w:rPr>
                <w:spacing w:val="-2"/>
              </w:rPr>
              <w:t>193372</w:t>
            </w:r>
          </w:p>
          <w:p w:rsidR="00140750" w:rsidRPr="00140750" w:rsidP="00140750" w14:paraId="31F6B7E1" w14:textId="235F055E">
            <w:pPr>
              <w:pStyle w:val="TOAHeading"/>
              <w:tabs>
                <w:tab w:val="center" w:pos="4680"/>
              </w:tabs>
              <w:rPr>
                <w:spacing w:val="-2"/>
              </w:rPr>
            </w:pPr>
            <w:r w:rsidRPr="00140750">
              <w:rPr>
                <w:spacing w:val="-2"/>
              </w:rPr>
              <w:t xml:space="preserve">NAL/Acct. No. </w:t>
            </w:r>
            <w:bookmarkStart w:id="0" w:name="_Hlk65476952"/>
            <w:r w:rsidRPr="00140750">
              <w:rPr>
                <w:spacing w:val="-2"/>
              </w:rPr>
              <w:t>MB-202</w:t>
            </w:r>
            <w:r w:rsidR="00D8006B">
              <w:rPr>
                <w:spacing w:val="-2"/>
              </w:rPr>
              <w:t>1</w:t>
            </w:r>
            <w:r w:rsidRPr="00140750">
              <w:rPr>
                <w:spacing w:val="-2"/>
              </w:rPr>
              <w:t>414100</w:t>
            </w:r>
            <w:r w:rsidR="00CC6B68">
              <w:rPr>
                <w:spacing w:val="-2"/>
              </w:rPr>
              <w:t>17</w:t>
            </w:r>
            <w:bookmarkEnd w:id="0"/>
          </w:p>
          <w:p w:rsidR="00140750" w:rsidRPr="00140750" w:rsidP="00140750" w14:paraId="60F8F9FE" w14:textId="780E0B24">
            <w:pPr>
              <w:pStyle w:val="TOAHeading"/>
              <w:tabs>
                <w:tab w:val="center" w:pos="4680"/>
              </w:tabs>
              <w:rPr>
                <w:spacing w:val="-2"/>
              </w:rPr>
            </w:pPr>
            <w:r w:rsidRPr="00140750">
              <w:rPr>
                <w:spacing w:val="-2"/>
              </w:rPr>
              <w:t>FRN:  00</w:t>
            </w:r>
            <w:r w:rsidR="00543FBB">
              <w:rPr>
                <w:spacing w:val="-2"/>
              </w:rPr>
              <w:t>29708492</w:t>
            </w:r>
          </w:p>
          <w:p w:rsidR="004C2EE3" w:rsidP="00140750" w14:paraId="0C593CF4" w14:textId="49858F93">
            <w:pPr>
              <w:tabs>
                <w:tab w:val="center" w:pos="4680"/>
              </w:tabs>
              <w:suppressAutoHyphens/>
              <w:rPr>
                <w:spacing w:val="-2"/>
              </w:rPr>
            </w:pPr>
            <w:r w:rsidRPr="00140750">
              <w:rPr>
                <w:spacing w:val="-2"/>
              </w:rPr>
              <w:t>File No. 000</w:t>
            </w:r>
            <w:r w:rsidR="0000318B">
              <w:rPr>
                <w:spacing w:val="-2"/>
              </w:rPr>
              <w:t>0</w:t>
            </w:r>
            <w:r w:rsidR="00C92A9A">
              <w:rPr>
                <w:spacing w:val="-2"/>
              </w:rPr>
              <w:t>11</w:t>
            </w:r>
            <w:r w:rsidR="00CC6B68">
              <w:rPr>
                <w:spacing w:val="-2"/>
              </w:rPr>
              <w:t>4817</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16D52C89">
      <w:pPr>
        <w:tabs>
          <w:tab w:val="left" w:pos="720"/>
          <w:tab w:val="right" w:pos="9360"/>
        </w:tabs>
        <w:suppressAutoHyphens/>
        <w:spacing w:line="227" w:lineRule="auto"/>
        <w:rPr>
          <w:spacing w:val="-2"/>
        </w:rPr>
      </w:pPr>
      <w:r w:rsidRPr="003F17E2">
        <w:rPr>
          <w:b/>
          <w:spacing w:val="-2"/>
        </w:rPr>
        <w:t xml:space="preserve">Adopted:  </w:t>
      </w:r>
      <w:r w:rsidR="00D0210D">
        <w:rPr>
          <w:b/>
          <w:spacing w:val="-2"/>
        </w:rPr>
        <w:t>March 2,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D0210D">
        <w:rPr>
          <w:b/>
          <w:spacing w:val="-2"/>
        </w:rPr>
        <w:t>March 2,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5165B990">
      <w:pPr>
        <w:pStyle w:val="ParaNum"/>
        <w:rPr>
          <w:szCs w:val="22"/>
        </w:rPr>
      </w:pPr>
      <w:r>
        <w:t>The Media Bureau (Bureau) has before it the application (Application)</w:t>
      </w:r>
      <w:r>
        <w:rPr>
          <w:rStyle w:val="FootnoteReference"/>
        </w:rPr>
        <w:footnoteReference w:id="3"/>
      </w:r>
      <w:r>
        <w:t xml:space="preserve"> of </w:t>
      </w:r>
      <w:r w:rsidR="00CC6B68">
        <w:t>Coushatta Tribe of Louisiana</w:t>
      </w:r>
      <w:r>
        <w:t xml:space="preserve"> (Licensee) for renewal of license for </w:t>
      </w:r>
      <w:r w:rsidR="00D0210D">
        <w:t xml:space="preserve">low-power FM (LPFM) </w:t>
      </w:r>
      <w:r w:rsidR="00C70CA0">
        <w:t xml:space="preserve">Station </w:t>
      </w:r>
      <w:r w:rsidR="00CC6B68">
        <w:t>KWRJ</w:t>
      </w:r>
      <w:r w:rsidR="00C70CA0">
        <w:t xml:space="preserve">-LP, </w:t>
      </w:r>
      <w:r w:rsidR="00CC6B68">
        <w:t>Elton, Louisiana</w:t>
      </w:r>
      <w:r w:rsidR="0000318B">
        <w:t xml:space="preserve">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7D3D715D">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CC6B68" w:rsidR="00CC6B68">
        <w:t>An application for renewal of the Station’s license should have been filed by February 3, 2020, the first business day of the fourth full calendar month prior to the Station’s June 1, 2020 license expiration date.</w:t>
      </w:r>
      <w:r>
        <w:rPr>
          <w:vertAlign w:val="superscript"/>
        </w:rPr>
        <w:footnoteReference w:id="7"/>
      </w:r>
      <w:r w:rsidRPr="00CC6B68" w:rsidR="00CC6B68">
        <w:t xml:space="preserve">  </w:t>
      </w:r>
      <w:r>
        <w:t xml:space="preserve">The Application was not filed until </w:t>
      </w:r>
      <w:r w:rsidR="00CC6B68">
        <w:t>May 29</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67F5F94F">
      <w:pPr>
        <w:pStyle w:val="ParaNum"/>
        <w:widowControl/>
      </w:pPr>
      <w:r>
        <w:rPr>
          <w:i/>
          <w:color w:val="000000"/>
        </w:rPr>
        <w:t>Proposed Forfeiture</w:t>
      </w:r>
      <w:r>
        <w:rPr>
          <w:color w:val="000000"/>
        </w:rPr>
        <w:t xml:space="preserve">.  </w:t>
      </w:r>
      <w:r>
        <w:t xml:space="preserve">In this case, the Licensee failed to file the Application on or before </w:t>
      </w:r>
      <w:r w:rsidR="00CC6B68">
        <w:t>February 3</w:t>
      </w:r>
      <w:r>
        <w:t xml:space="preserve">, 2020, as required by section 73.3539(a) of the Rules.  The Application was not received until </w:t>
      </w:r>
      <w:r w:rsidR="00CC6B68">
        <w:t>May 29</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4E9920A1">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5B1997" w:rsidP="005B1997" w14:paraId="33D22F9A" w14:textId="01739000">
      <w:pPr>
        <w:pStyle w:val="ParaNum"/>
        <w:rPr>
          <w:snapToGrid/>
          <w:kern w:val="0"/>
          <w:sz w:val="24"/>
          <w:szCs w:val="24"/>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4"/>
      </w:r>
      <w:r w:rsidR="00D8006B">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402B23" w14:paraId="36D2D6B7" w14:textId="77777777">
      <w:pPr>
        <w:pStyle w:val="ParaNum"/>
        <w:widowControl/>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329E3FB8">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19"/>
      </w:r>
      <w:r w:rsidRPr="005B1997">
        <w:t xml:space="preserve"> that </w:t>
      </w:r>
      <w:r w:rsidR="00D12DAC">
        <w:t>Coushatta Tribe of Louisiana</w:t>
      </w:r>
      <w:r w:rsidR="00E20626">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4A7DE754">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D12DAC">
        <w:t>Coushatta Tribe of Louisiana</w:t>
      </w:r>
      <w:r w:rsidR="00E20626">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0"/>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1"/>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2"/>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xml:space="preserve">.  To pay by credit card, log in using the FRN captioned above.  If payment must be split across FRNs, complete this process for each FRN.  </w:t>
      </w:r>
      <w:r w:rsidRPr="005B1997">
        <w:t>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3"/>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4"/>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5"/>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5B1997" w14:paraId="6B32640F" w14:textId="2357DA20">
      <w:pPr>
        <w:pStyle w:val="ParaNum"/>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w:t>
      </w:r>
      <w:r w:rsidRPr="005B1997">
        <w:t>Communications Act of 1934, as amended, support that result.</w:t>
      </w:r>
      <w:r>
        <w:rPr>
          <w:vertAlign w:val="superscript"/>
        </w:rPr>
        <w:footnoteReference w:id="26"/>
      </w:r>
      <w:r w:rsidRPr="005B1997">
        <w:t xml:space="preserve">  </w:t>
      </w:r>
    </w:p>
    <w:p w:rsidR="005B1997" w:rsidRPr="005B1997" w:rsidP="009B7CBA" w14:paraId="2A15A5F5" w14:textId="6A85A782">
      <w:pPr>
        <w:pStyle w:val="ParaNum"/>
        <w:widowControl/>
      </w:pPr>
      <w:r w:rsidRPr="005B1997">
        <w:rPr>
          <w:b/>
        </w:rPr>
        <w:t>IT IS FURTHER ORDERED</w:t>
      </w:r>
      <w:r w:rsidRPr="005B1997">
        <w:t xml:space="preserve">, that copies of this </w:t>
      </w:r>
      <w:r w:rsidRPr="005B1997">
        <w:rPr>
          <w:i/>
        </w:rPr>
        <w:t>NAL</w:t>
      </w:r>
      <w:r w:rsidRPr="005B1997">
        <w:t xml:space="preserve"> shall be sent by First Class and Certified Mail, Return Receipt Requested, to </w:t>
      </w:r>
      <w:r w:rsidR="00CF2B26">
        <w:t xml:space="preserve">Wayne Wilson, </w:t>
      </w:r>
      <w:r w:rsidR="00D12DAC">
        <w:t xml:space="preserve">Coushatta Tribe of Louisiana, </w:t>
      </w:r>
      <w:r w:rsidR="00CF2B26">
        <w:t xml:space="preserve">PO Box 818, Elton, LA 70532, and to its counsel, </w:t>
      </w:r>
      <w:r w:rsidR="00D12DAC">
        <w:t>Christopher Sylvia, Esq., PO Box 186, Many, LA 71449.</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74ABA77D">
      <w:pPr>
        <w:pStyle w:val="FootnoteText"/>
        <w:widowControl w:val="0"/>
      </w:pPr>
      <w:r w:rsidRPr="000725CB">
        <w:rPr>
          <w:rStyle w:val="FootnoteReference"/>
        </w:rPr>
        <w:footnoteRef/>
      </w:r>
      <w:r w:rsidRPr="000725CB">
        <w:t xml:space="preserve"> File No.</w:t>
      </w:r>
      <w:r>
        <w:t xml:space="preserve"> </w:t>
      </w:r>
      <w:r>
        <w:rPr>
          <w:szCs w:val="22"/>
        </w:rPr>
        <w:t>0000</w:t>
      </w:r>
      <w:r w:rsidR="0000318B">
        <w:rPr>
          <w:szCs w:val="22"/>
        </w:rPr>
        <w:t>1</w:t>
      </w:r>
      <w:r w:rsidR="00C92A9A">
        <w:rPr>
          <w:szCs w:val="22"/>
        </w:rPr>
        <w:t>1</w:t>
      </w:r>
      <w:r w:rsidR="00CC6B68">
        <w:rPr>
          <w:szCs w:val="22"/>
        </w:rPr>
        <w:t>4817</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CC6B68" w:rsidRPr="00FF7A3C" w:rsidP="00CC6B68" w14:paraId="1732BCBD"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February 1, 2020, was a Saturday, and February 2, 2020, was a Sunday—holiday as defined by the Rules—the filing deadline was February 3, 2020, the first business day after February 1, 2020.  </w:t>
      </w:r>
      <w:r w:rsidRPr="00FF7A3C">
        <w:rPr>
          <w:i/>
          <w:iCs/>
        </w:rPr>
        <w:t>See</w:t>
      </w:r>
      <w:r>
        <w:t xml:space="preserve"> 47 CFR §§ 1.4(e), (j).</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1FEB5C09">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9C37C6">
        <w:rPr>
          <w:sz w:val="20"/>
        </w:rPr>
        <w:t>9</w:t>
      </w:r>
      <w:r>
        <w:rPr>
          <w:sz w:val="20"/>
        </w:rPr>
        <w:t>), note to paragraph (b)(</w:t>
      </w:r>
      <w:r w:rsidR="009C37C6">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5B1997" w:rsidP="005B1997" w14:paraId="1B8C6273" w14:textId="77777777">
      <w:pPr>
        <w:pStyle w:val="FootnoteText"/>
      </w:pPr>
      <w:r>
        <w:rPr>
          <w:rStyle w:val="FootnoteReference"/>
        </w:rPr>
        <w:footnoteRef/>
      </w:r>
      <w:r>
        <w:t xml:space="preserve"> </w:t>
      </w:r>
      <w:bookmarkStart w:id="1" w:name="_Hlk63415835"/>
      <w:r w:rsidRPr="005F7F74">
        <w:t>47 U.S.C. § 503(b)</w:t>
      </w:r>
      <w:r>
        <w:t>; 4</w:t>
      </w:r>
      <w:r w:rsidRPr="005F7F74">
        <w:t>7 CFR § 1.80.</w:t>
      </w:r>
      <w:bookmarkEnd w:id="1"/>
    </w:p>
  </w:footnote>
  <w:footnote w:id="20">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5B1997" w:rsidP="005B1997" w14:paraId="03C81BF6" w14:textId="77777777">
      <w:pPr>
        <w:pStyle w:val="FootnoteText"/>
        <w:widowControl w:val="0"/>
      </w:pPr>
      <w:r>
        <w:rPr>
          <w:rStyle w:val="FootnoteReference"/>
        </w:rPr>
        <w:footnoteRef/>
      </w:r>
      <w:r>
        <w:t xml:space="preserve"> 47 CFR §§ 1.16 and 1.80(f)(3).</w:t>
      </w:r>
    </w:p>
  </w:footnote>
  <w:footnote w:id="25">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31F6336F">
    <w:pPr>
      <w:pStyle w:val="Header"/>
      <w:rPr>
        <w:b w:val="0"/>
      </w:rPr>
    </w:pPr>
    <w:r>
      <w:tab/>
      <w:t>Federal Communications Commission</w:t>
    </w:r>
    <w:r>
      <w:tab/>
    </w:r>
    <w:r w:rsidR="00140750">
      <w:t>DA 2</w:t>
    </w:r>
    <w:r w:rsidR="00F02727">
      <w:t>1</w:t>
    </w:r>
    <w:r w:rsidR="00140750">
      <w:t>-</w:t>
    </w:r>
    <w:r w:rsidR="00D0210D">
      <w:t>245</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4DC8C4A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D0210D">
      <w:rPr>
        <w:spacing w:val="-2"/>
      </w:rPr>
      <w:t>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2F1762"/>
    <w:rsid w:val="00343749"/>
    <w:rsid w:val="003660ED"/>
    <w:rsid w:val="003B0550"/>
    <w:rsid w:val="003B694F"/>
    <w:rsid w:val="003F171C"/>
    <w:rsid w:val="003F17E2"/>
    <w:rsid w:val="003F5CCD"/>
    <w:rsid w:val="00402B23"/>
    <w:rsid w:val="00412FC5"/>
    <w:rsid w:val="00413716"/>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25F98"/>
    <w:rsid w:val="0053491E"/>
    <w:rsid w:val="00543FBB"/>
    <w:rsid w:val="00555D44"/>
    <w:rsid w:val="0055614C"/>
    <w:rsid w:val="00566D06"/>
    <w:rsid w:val="005B199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5F7"/>
    <w:rsid w:val="00753410"/>
    <w:rsid w:val="007853B8"/>
    <w:rsid w:val="00785689"/>
    <w:rsid w:val="0079754B"/>
    <w:rsid w:val="007A1E6D"/>
    <w:rsid w:val="007A2495"/>
    <w:rsid w:val="007A502A"/>
    <w:rsid w:val="007B0EB2"/>
    <w:rsid w:val="007B767F"/>
    <w:rsid w:val="00804002"/>
    <w:rsid w:val="00810B6F"/>
    <w:rsid w:val="00815718"/>
    <w:rsid w:val="00822CE0"/>
    <w:rsid w:val="00841AB1"/>
    <w:rsid w:val="00874E66"/>
    <w:rsid w:val="00886311"/>
    <w:rsid w:val="008C68F1"/>
    <w:rsid w:val="008D4F70"/>
    <w:rsid w:val="00921803"/>
    <w:rsid w:val="00926503"/>
    <w:rsid w:val="009377D8"/>
    <w:rsid w:val="00947B4D"/>
    <w:rsid w:val="009726D8"/>
    <w:rsid w:val="00982BF9"/>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97556"/>
    <w:rsid w:val="00BA5DC6"/>
    <w:rsid w:val="00BA6196"/>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6B68"/>
    <w:rsid w:val="00CC72B6"/>
    <w:rsid w:val="00CF2B26"/>
    <w:rsid w:val="00D0210D"/>
    <w:rsid w:val="00D0218D"/>
    <w:rsid w:val="00D12DAC"/>
    <w:rsid w:val="00D16857"/>
    <w:rsid w:val="00D25FB5"/>
    <w:rsid w:val="00D423B0"/>
    <w:rsid w:val="00D44223"/>
    <w:rsid w:val="00D64E57"/>
    <w:rsid w:val="00D8006B"/>
    <w:rsid w:val="00D975B7"/>
    <w:rsid w:val="00DA2529"/>
    <w:rsid w:val="00DB130A"/>
    <w:rsid w:val="00DB2EBB"/>
    <w:rsid w:val="00DC10A1"/>
    <w:rsid w:val="00DC655F"/>
    <w:rsid w:val="00DD0B5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CD"/>
    <w:pPr>
      <w:widowControl w:val="0"/>
    </w:pPr>
    <w:rPr>
      <w:snapToGrid w:val="0"/>
      <w:kern w:val="28"/>
      <w:sz w:val="22"/>
    </w:rPr>
  </w:style>
  <w:style w:type="paragraph" w:styleId="Heading1">
    <w:name w:val="heading 1"/>
    <w:basedOn w:val="Normal"/>
    <w:next w:val="ParaNum"/>
    <w:link w:val="Heading1Char"/>
    <w:qFormat/>
    <w:rsid w:val="003F5C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5CCD"/>
    <w:pPr>
      <w:keepNext/>
      <w:numPr>
        <w:ilvl w:val="1"/>
        <w:numId w:val="3"/>
      </w:numPr>
      <w:spacing w:after="120"/>
      <w:outlineLvl w:val="1"/>
    </w:pPr>
    <w:rPr>
      <w:b/>
    </w:rPr>
  </w:style>
  <w:style w:type="paragraph" w:styleId="Heading3">
    <w:name w:val="heading 3"/>
    <w:basedOn w:val="Normal"/>
    <w:next w:val="ParaNum"/>
    <w:qFormat/>
    <w:rsid w:val="003F5CCD"/>
    <w:pPr>
      <w:keepNext/>
      <w:numPr>
        <w:ilvl w:val="2"/>
        <w:numId w:val="3"/>
      </w:numPr>
      <w:tabs>
        <w:tab w:val="left" w:pos="2160"/>
      </w:tabs>
      <w:spacing w:after="120"/>
      <w:outlineLvl w:val="2"/>
    </w:pPr>
    <w:rPr>
      <w:b/>
    </w:rPr>
  </w:style>
  <w:style w:type="paragraph" w:styleId="Heading4">
    <w:name w:val="heading 4"/>
    <w:basedOn w:val="Normal"/>
    <w:next w:val="ParaNum"/>
    <w:qFormat/>
    <w:rsid w:val="003F5CCD"/>
    <w:pPr>
      <w:keepNext/>
      <w:numPr>
        <w:ilvl w:val="3"/>
        <w:numId w:val="3"/>
      </w:numPr>
      <w:tabs>
        <w:tab w:val="left" w:pos="2880"/>
      </w:tabs>
      <w:spacing w:after="120"/>
      <w:outlineLvl w:val="3"/>
    </w:pPr>
    <w:rPr>
      <w:b/>
    </w:rPr>
  </w:style>
  <w:style w:type="paragraph" w:styleId="Heading5">
    <w:name w:val="heading 5"/>
    <w:basedOn w:val="Normal"/>
    <w:next w:val="ParaNum"/>
    <w:qFormat/>
    <w:rsid w:val="003F5CC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5CCD"/>
    <w:pPr>
      <w:numPr>
        <w:ilvl w:val="5"/>
        <w:numId w:val="3"/>
      </w:numPr>
      <w:tabs>
        <w:tab w:val="left" w:pos="4320"/>
      </w:tabs>
      <w:spacing w:after="120"/>
      <w:outlineLvl w:val="5"/>
    </w:pPr>
    <w:rPr>
      <w:b/>
    </w:rPr>
  </w:style>
  <w:style w:type="paragraph" w:styleId="Heading7">
    <w:name w:val="heading 7"/>
    <w:basedOn w:val="Normal"/>
    <w:next w:val="ParaNum"/>
    <w:qFormat/>
    <w:rsid w:val="003F5C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5C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5C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5C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CCD"/>
  </w:style>
  <w:style w:type="paragraph" w:customStyle="1" w:styleId="ParaNum">
    <w:name w:val="ParaNum"/>
    <w:basedOn w:val="Normal"/>
    <w:link w:val="ParaNumChar"/>
    <w:rsid w:val="003F5CCD"/>
    <w:pPr>
      <w:numPr>
        <w:numId w:val="2"/>
      </w:numPr>
      <w:tabs>
        <w:tab w:val="clear" w:pos="1080"/>
        <w:tab w:val="num" w:pos="1440"/>
      </w:tabs>
      <w:spacing w:after="120"/>
    </w:pPr>
  </w:style>
  <w:style w:type="paragraph" w:styleId="EndnoteText">
    <w:name w:val="endnote text"/>
    <w:basedOn w:val="Normal"/>
    <w:semiHidden/>
    <w:rsid w:val="003F5CCD"/>
    <w:rPr>
      <w:sz w:val="20"/>
    </w:rPr>
  </w:style>
  <w:style w:type="character" w:styleId="EndnoteReference">
    <w:name w:val="endnote reference"/>
    <w:semiHidden/>
    <w:rsid w:val="003F5CC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F5CC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F5CCD"/>
    <w:rPr>
      <w:rFonts w:ascii="Times New Roman" w:hAnsi="Times New Roman"/>
      <w:dstrike w:val="0"/>
      <w:color w:val="auto"/>
      <w:sz w:val="20"/>
      <w:vertAlign w:val="superscript"/>
    </w:rPr>
  </w:style>
  <w:style w:type="paragraph" w:styleId="TOC1">
    <w:name w:val="toc 1"/>
    <w:basedOn w:val="Normal"/>
    <w:next w:val="Normal"/>
    <w:semiHidden/>
    <w:rsid w:val="003F5C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5CCD"/>
    <w:pPr>
      <w:tabs>
        <w:tab w:val="left" w:pos="720"/>
        <w:tab w:val="right" w:leader="dot" w:pos="9360"/>
      </w:tabs>
      <w:suppressAutoHyphens/>
      <w:ind w:left="720" w:right="720" w:hanging="360"/>
    </w:pPr>
    <w:rPr>
      <w:noProof/>
    </w:rPr>
  </w:style>
  <w:style w:type="paragraph" w:styleId="TOC3">
    <w:name w:val="toc 3"/>
    <w:basedOn w:val="Normal"/>
    <w:next w:val="Normal"/>
    <w:semiHidden/>
    <w:rsid w:val="003F5C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5C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5C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5C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5C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5C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5C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5CCD"/>
    <w:pPr>
      <w:tabs>
        <w:tab w:val="right" w:pos="9360"/>
      </w:tabs>
      <w:suppressAutoHyphens/>
    </w:pPr>
  </w:style>
  <w:style w:type="character" w:customStyle="1" w:styleId="EquationCaption">
    <w:name w:val="_Equation Caption"/>
    <w:rsid w:val="003F5CCD"/>
  </w:style>
  <w:style w:type="paragraph" w:styleId="Header">
    <w:name w:val="header"/>
    <w:basedOn w:val="Normal"/>
    <w:autoRedefine/>
    <w:rsid w:val="003F5CCD"/>
    <w:pPr>
      <w:tabs>
        <w:tab w:val="center" w:pos="4680"/>
        <w:tab w:val="right" w:pos="9360"/>
      </w:tabs>
    </w:pPr>
    <w:rPr>
      <w:b/>
    </w:rPr>
  </w:style>
  <w:style w:type="paragraph" w:styleId="Footer">
    <w:name w:val="footer"/>
    <w:basedOn w:val="Normal"/>
    <w:link w:val="FooterChar"/>
    <w:uiPriority w:val="99"/>
    <w:rsid w:val="003F5CCD"/>
    <w:pPr>
      <w:tabs>
        <w:tab w:val="center" w:pos="4320"/>
        <w:tab w:val="right" w:pos="8640"/>
      </w:tabs>
    </w:pPr>
  </w:style>
  <w:style w:type="character" w:styleId="PageNumber">
    <w:name w:val="page number"/>
    <w:basedOn w:val="DefaultParagraphFont"/>
    <w:rsid w:val="003F5CCD"/>
  </w:style>
  <w:style w:type="paragraph" w:styleId="BlockText">
    <w:name w:val="Block Text"/>
    <w:basedOn w:val="Normal"/>
    <w:rsid w:val="003F5CCD"/>
    <w:pPr>
      <w:spacing w:after="240"/>
      <w:ind w:left="1440" w:right="1440"/>
    </w:pPr>
  </w:style>
  <w:style w:type="paragraph" w:customStyle="1" w:styleId="Paratitle">
    <w:name w:val="Para title"/>
    <w:basedOn w:val="Normal"/>
    <w:rsid w:val="003F5CCD"/>
    <w:pPr>
      <w:tabs>
        <w:tab w:val="center" w:pos="9270"/>
      </w:tabs>
      <w:spacing w:after="240"/>
    </w:pPr>
    <w:rPr>
      <w:spacing w:val="-2"/>
    </w:rPr>
  </w:style>
  <w:style w:type="paragraph" w:customStyle="1" w:styleId="Bullet">
    <w:name w:val="Bullet"/>
    <w:basedOn w:val="Normal"/>
    <w:rsid w:val="003F5CCD"/>
    <w:pPr>
      <w:tabs>
        <w:tab w:val="left" w:pos="2160"/>
      </w:tabs>
      <w:spacing w:after="220"/>
      <w:ind w:left="2160" w:hanging="720"/>
    </w:pPr>
  </w:style>
  <w:style w:type="paragraph" w:customStyle="1" w:styleId="TableFormat">
    <w:name w:val="TableFormat"/>
    <w:basedOn w:val="Bullet"/>
    <w:rsid w:val="003F5CCD"/>
    <w:pPr>
      <w:tabs>
        <w:tab w:val="clear" w:pos="2160"/>
        <w:tab w:val="left" w:pos="5040"/>
      </w:tabs>
      <w:ind w:left="5040" w:hanging="3600"/>
    </w:pPr>
  </w:style>
  <w:style w:type="paragraph" w:customStyle="1" w:styleId="TOCTitle">
    <w:name w:val="TOC Title"/>
    <w:basedOn w:val="Normal"/>
    <w:rsid w:val="003F5C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5CCD"/>
    <w:pPr>
      <w:jc w:val="center"/>
    </w:pPr>
    <w:rPr>
      <w:rFonts w:ascii="Times New Roman Bold" w:hAnsi="Times New Roman Bold"/>
      <w:b/>
      <w:bCs/>
      <w:caps/>
      <w:szCs w:val="22"/>
    </w:rPr>
  </w:style>
  <w:style w:type="character" w:styleId="Hyperlink">
    <w:name w:val="Hyperlink"/>
    <w:rsid w:val="003F5CCD"/>
    <w:rPr>
      <w:color w:val="0000FF"/>
      <w:u w:val="single"/>
    </w:rPr>
  </w:style>
  <w:style w:type="character" w:customStyle="1" w:styleId="FooterChar">
    <w:name w:val="Footer Char"/>
    <w:link w:val="Footer"/>
    <w:uiPriority w:val="99"/>
    <w:rsid w:val="003F5CCD"/>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