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66BA3" w:rsidRPr="00225B62" w:rsidP="00705DD6" w14:paraId="6D3F6A2B" w14:textId="77777777">
      <w:pPr>
        <w:rPr>
          <w:b/>
          <w:szCs w:val="22"/>
        </w:rPr>
      </w:pPr>
      <w:r>
        <w:rPr>
          <w:b/>
          <w:color w:val="000000" w:themeColor="text1"/>
          <w:szCs w:val="22"/>
        </w:rPr>
        <w:t xml:space="preserve"> </w:t>
      </w:r>
    </w:p>
    <w:p w:rsidR="00466BA3" w:rsidRPr="00D16D9F" w:rsidP="00A2625C" w14:paraId="34D8E969" w14:textId="1608DAE3">
      <w:pPr>
        <w:ind w:left="5040"/>
        <w:jc w:val="center"/>
        <w:rPr>
          <w:b/>
          <w:szCs w:val="22"/>
        </w:rPr>
      </w:pPr>
      <w:r>
        <w:rPr>
          <w:b/>
          <w:szCs w:val="22"/>
        </w:rPr>
        <w:t xml:space="preserve">          </w:t>
      </w:r>
      <w:bookmarkStart w:id="0" w:name="_GoBack"/>
      <w:bookmarkEnd w:id="0"/>
      <w:r w:rsidRPr="00D16D9F">
        <w:rPr>
          <w:b/>
          <w:szCs w:val="22"/>
        </w:rPr>
        <w:t>DA 2</w:t>
      </w:r>
      <w:r w:rsidRPr="00D16D9F" w:rsidR="004A20FD">
        <w:rPr>
          <w:b/>
          <w:szCs w:val="22"/>
        </w:rPr>
        <w:t>1</w:t>
      </w:r>
      <w:r w:rsidRPr="00D16D9F">
        <w:rPr>
          <w:b/>
          <w:szCs w:val="22"/>
        </w:rPr>
        <w:t>-</w:t>
      </w:r>
      <w:r w:rsidR="00B21603">
        <w:rPr>
          <w:b/>
          <w:szCs w:val="22"/>
        </w:rPr>
        <w:t>260</w:t>
      </w:r>
    </w:p>
    <w:p w:rsidR="00FC5C42" w:rsidP="00FC5C42" w14:paraId="7CC64311" w14:textId="56275921">
      <w:pPr>
        <w:ind w:left="6480"/>
        <w:rPr>
          <w:b/>
          <w:szCs w:val="22"/>
        </w:rPr>
      </w:pPr>
      <w:r w:rsidRPr="00D16D9F">
        <w:rPr>
          <w:b/>
          <w:szCs w:val="22"/>
        </w:rPr>
        <w:t xml:space="preserve">         Released:</w:t>
      </w:r>
      <w:r w:rsidRPr="00D16D9F" w:rsidR="00115F37">
        <w:rPr>
          <w:b/>
          <w:szCs w:val="22"/>
        </w:rPr>
        <w:t xml:space="preserve"> March </w:t>
      </w:r>
      <w:r w:rsidR="00EE5EC2">
        <w:rPr>
          <w:b/>
          <w:szCs w:val="22"/>
        </w:rPr>
        <w:t>4</w:t>
      </w:r>
      <w:r w:rsidRPr="00D16D9F">
        <w:rPr>
          <w:b/>
          <w:szCs w:val="22"/>
        </w:rPr>
        <w:t>, 202</w:t>
      </w:r>
      <w:r w:rsidRPr="00D16D9F" w:rsidR="00115F37">
        <w:rPr>
          <w:b/>
          <w:szCs w:val="22"/>
        </w:rPr>
        <w:t>1</w:t>
      </w:r>
    </w:p>
    <w:p w:rsidR="00FC5C42" w:rsidRPr="00FC5C42" w:rsidP="00FC5C42" w14:paraId="6B586EAD" w14:textId="77777777">
      <w:pPr>
        <w:ind w:left="6480"/>
        <w:rPr>
          <w:b/>
          <w:szCs w:val="22"/>
        </w:rPr>
      </w:pPr>
    </w:p>
    <w:p w:rsidR="007B58F7" w:rsidP="007B58F7" w14:paraId="27977FDF" w14:textId="36E142C8">
      <w:pPr>
        <w:jc w:val="center"/>
        <w:rPr>
          <w:b/>
          <w:caps/>
          <w:szCs w:val="22"/>
        </w:rPr>
      </w:pPr>
      <w:r>
        <w:rPr>
          <w:b/>
          <w:caps/>
          <w:szCs w:val="22"/>
        </w:rPr>
        <w:t>MEDIA BUREAU REMINDS</w:t>
      </w:r>
      <w:r w:rsidRPr="00225B62">
        <w:rPr>
          <w:b/>
          <w:caps/>
          <w:szCs w:val="22"/>
        </w:rPr>
        <w:t xml:space="preserve"> LOW POWER TELEVISION</w:t>
      </w:r>
      <w:r>
        <w:rPr>
          <w:b/>
          <w:caps/>
          <w:szCs w:val="22"/>
        </w:rPr>
        <w:t xml:space="preserve"> AND</w:t>
      </w:r>
      <w:r w:rsidRPr="00225B62">
        <w:rPr>
          <w:b/>
          <w:caps/>
          <w:szCs w:val="22"/>
        </w:rPr>
        <w:t xml:space="preserve"> </w:t>
      </w:r>
      <w:r>
        <w:rPr>
          <w:b/>
          <w:caps/>
          <w:szCs w:val="22"/>
        </w:rPr>
        <w:t xml:space="preserve"> </w:t>
      </w:r>
    </w:p>
    <w:p w:rsidR="00466BA3" w:rsidP="007B58F7" w14:paraId="1BE18B8A" w14:textId="5466D38A">
      <w:pPr>
        <w:jc w:val="center"/>
        <w:rPr>
          <w:b/>
          <w:caps/>
          <w:szCs w:val="22"/>
        </w:rPr>
      </w:pPr>
      <w:r w:rsidRPr="00225B62">
        <w:rPr>
          <w:b/>
          <w:caps/>
          <w:szCs w:val="22"/>
        </w:rPr>
        <w:t xml:space="preserve">TELEVISION TRANSLATOR </w:t>
      </w:r>
      <w:r>
        <w:rPr>
          <w:b/>
          <w:caps/>
          <w:szCs w:val="22"/>
        </w:rPr>
        <w:t>STATIONS</w:t>
      </w:r>
      <w:r w:rsidR="007B58F7">
        <w:rPr>
          <w:b/>
          <w:caps/>
          <w:szCs w:val="22"/>
        </w:rPr>
        <w:t xml:space="preserve"> </w:t>
      </w:r>
      <w:r>
        <w:rPr>
          <w:b/>
          <w:caps/>
          <w:szCs w:val="22"/>
        </w:rPr>
        <w:t>OF JUly 13, 202</w:t>
      </w:r>
      <w:r w:rsidR="007B58F7">
        <w:rPr>
          <w:b/>
          <w:caps/>
          <w:szCs w:val="22"/>
        </w:rPr>
        <w:t>1</w:t>
      </w:r>
      <w:r w:rsidR="0096126D">
        <w:rPr>
          <w:b/>
          <w:caps/>
          <w:szCs w:val="22"/>
        </w:rPr>
        <w:t>,</w:t>
      </w:r>
      <w:r>
        <w:rPr>
          <w:b/>
          <w:caps/>
          <w:szCs w:val="22"/>
        </w:rPr>
        <w:t xml:space="preserve"> </w:t>
      </w:r>
      <w:r w:rsidR="007B58F7">
        <w:rPr>
          <w:b/>
          <w:caps/>
          <w:szCs w:val="22"/>
        </w:rPr>
        <w:t>DIGITAL TRANSITION DATE</w:t>
      </w:r>
    </w:p>
    <w:p w:rsidR="00466BA3" w:rsidRPr="00225B62" w:rsidP="00466BA3" w14:paraId="36B2E089" w14:textId="77777777">
      <w:pPr>
        <w:pStyle w:val="Heading1"/>
        <w:numPr>
          <w:ilvl w:val="0"/>
          <w:numId w:val="0"/>
        </w:numPr>
        <w:rPr>
          <w:rFonts w:ascii="Times New Roman" w:hAnsi="Times New Roman"/>
          <w:szCs w:val="22"/>
        </w:rPr>
      </w:pPr>
    </w:p>
    <w:p w:rsidR="007B58F7" w:rsidP="007B58F7" w14:paraId="6EB1D2FA" w14:textId="45AEA315">
      <w:pPr>
        <w:pStyle w:val="ParaNum0"/>
        <w:numPr>
          <w:ilvl w:val="0"/>
          <w:numId w:val="0"/>
        </w:numPr>
        <w:ind w:firstLine="720"/>
        <w:rPr>
          <w:szCs w:val="22"/>
        </w:rPr>
      </w:pPr>
      <w:r>
        <w:rPr>
          <w:szCs w:val="22"/>
        </w:rPr>
        <w:t>The Media Bureau (Bureau), by this Public Notice, reminds a</w:t>
      </w:r>
      <w:r w:rsidRPr="00225B62">
        <w:rPr>
          <w:szCs w:val="22"/>
        </w:rPr>
        <w:t>ll</w:t>
      </w:r>
      <w:r>
        <w:rPr>
          <w:szCs w:val="22"/>
        </w:rPr>
        <w:t xml:space="preserve"> low power television and television translator stations (</w:t>
      </w:r>
      <w:r w:rsidRPr="00225B62">
        <w:rPr>
          <w:szCs w:val="22"/>
        </w:rPr>
        <w:t>LPTV</w:t>
      </w:r>
      <w:r>
        <w:rPr>
          <w:szCs w:val="22"/>
        </w:rPr>
        <w:t>/</w:t>
      </w:r>
      <w:r w:rsidRPr="00225B62">
        <w:rPr>
          <w:szCs w:val="22"/>
        </w:rPr>
        <w:t>translator stations</w:t>
      </w:r>
      <w:r>
        <w:rPr>
          <w:szCs w:val="22"/>
        </w:rPr>
        <w:t>)</w:t>
      </w:r>
      <w:r w:rsidRPr="00225B62">
        <w:rPr>
          <w:szCs w:val="22"/>
        </w:rPr>
        <w:t xml:space="preserve"> </w:t>
      </w:r>
      <w:r>
        <w:rPr>
          <w:szCs w:val="22"/>
        </w:rPr>
        <w:t xml:space="preserve">that </w:t>
      </w:r>
      <w:r w:rsidR="00115F37">
        <w:rPr>
          <w:szCs w:val="22"/>
        </w:rPr>
        <w:t>t</w:t>
      </w:r>
      <w:r>
        <w:rPr>
          <w:szCs w:val="22"/>
        </w:rPr>
        <w:t xml:space="preserve">he </w:t>
      </w:r>
      <w:r w:rsidRPr="00C359CE">
        <w:rPr>
          <w:b/>
          <w:bCs/>
          <w:szCs w:val="22"/>
        </w:rPr>
        <w:t>July 13, 2021</w:t>
      </w:r>
      <w:r w:rsidR="0096126D">
        <w:rPr>
          <w:szCs w:val="22"/>
        </w:rPr>
        <w:t>,</w:t>
      </w:r>
      <w:r>
        <w:rPr>
          <w:szCs w:val="22"/>
        </w:rPr>
        <w:t xml:space="preserve"> digital transition date </w:t>
      </w:r>
      <w:r w:rsidR="00115F37">
        <w:rPr>
          <w:szCs w:val="22"/>
        </w:rPr>
        <w:t xml:space="preserve">- </w:t>
      </w:r>
      <w:r>
        <w:rPr>
          <w:szCs w:val="22"/>
        </w:rPr>
        <w:t xml:space="preserve">when stations </w:t>
      </w:r>
      <w:r w:rsidRPr="00225B62">
        <w:rPr>
          <w:szCs w:val="22"/>
        </w:rPr>
        <w:t xml:space="preserve">must terminate all analog </w:t>
      </w:r>
      <w:r w:rsidR="00BC398D">
        <w:rPr>
          <w:szCs w:val="22"/>
        </w:rPr>
        <w:t xml:space="preserve">television </w:t>
      </w:r>
      <w:r w:rsidRPr="00225B62">
        <w:rPr>
          <w:szCs w:val="22"/>
        </w:rPr>
        <w:t>operations</w:t>
      </w:r>
      <w:r w:rsidR="00115F37">
        <w:rPr>
          <w:szCs w:val="22"/>
        </w:rPr>
        <w:t xml:space="preserve"> – is fast approaching</w:t>
      </w:r>
      <w:r>
        <w:rPr>
          <w:szCs w:val="22"/>
        </w:rPr>
        <w:t>.  The Bureau also provides information concerning the procedures that LPTV/translator stations must follow to complete their digital transition, if they have not already done so.</w:t>
      </w:r>
    </w:p>
    <w:p w:rsidR="007B58F7" w:rsidP="007B58F7" w14:paraId="77C4F7D8" w14:textId="2B34C383">
      <w:pPr>
        <w:pStyle w:val="ParaNum0"/>
        <w:numPr>
          <w:ilvl w:val="0"/>
          <w:numId w:val="0"/>
        </w:numPr>
        <w:rPr>
          <w:b/>
          <w:bCs/>
          <w:szCs w:val="22"/>
          <w:u w:val="single"/>
        </w:rPr>
      </w:pPr>
      <w:r>
        <w:rPr>
          <w:b/>
          <w:bCs/>
          <w:szCs w:val="22"/>
          <w:u w:val="single"/>
        </w:rPr>
        <w:t>Digital Transition Date</w:t>
      </w:r>
      <w:r w:rsidR="00FC5C42">
        <w:rPr>
          <w:b/>
          <w:bCs/>
          <w:szCs w:val="22"/>
          <w:u w:val="single"/>
        </w:rPr>
        <w:t>:  July 13, 2021</w:t>
      </w:r>
    </w:p>
    <w:p w:rsidR="00115F37" w:rsidP="00B3158C" w14:paraId="2A5FA57E" w14:textId="27C9AF13">
      <w:pPr>
        <w:pStyle w:val="ParaNum0"/>
        <w:numPr>
          <w:ilvl w:val="0"/>
          <w:numId w:val="0"/>
        </w:numPr>
        <w:ind w:firstLine="720"/>
        <w:rPr>
          <w:szCs w:val="22"/>
        </w:rPr>
      </w:pPr>
      <w:r>
        <w:rPr>
          <w:szCs w:val="22"/>
        </w:rPr>
        <w:t>B</w:t>
      </w:r>
      <w:r w:rsidRPr="00225B62">
        <w:rPr>
          <w:szCs w:val="22"/>
        </w:rPr>
        <w:t xml:space="preserve">y </w:t>
      </w:r>
      <w:r w:rsidRPr="00C359CE">
        <w:rPr>
          <w:b/>
          <w:bCs/>
          <w:szCs w:val="22"/>
        </w:rPr>
        <w:t>11:59 p.m. local time on</w:t>
      </w:r>
      <w:r>
        <w:rPr>
          <w:szCs w:val="22"/>
        </w:rPr>
        <w:t xml:space="preserve"> </w:t>
      </w:r>
      <w:r w:rsidRPr="00C359CE">
        <w:rPr>
          <w:b/>
          <w:bCs/>
          <w:szCs w:val="22"/>
        </w:rPr>
        <w:t>July 13, 2021</w:t>
      </w:r>
      <w:r>
        <w:rPr>
          <w:szCs w:val="22"/>
        </w:rPr>
        <w:t xml:space="preserve">, all LPTV/translator stations must terminate all analog </w:t>
      </w:r>
      <w:r w:rsidR="009648D1">
        <w:rPr>
          <w:szCs w:val="22"/>
        </w:rPr>
        <w:t xml:space="preserve">television </w:t>
      </w:r>
      <w:r>
        <w:rPr>
          <w:szCs w:val="22"/>
        </w:rPr>
        <w:t>operations r</w:t>
      </w:r>
      <w:r w:rsidRPr="00225B62">
        <w:rPr>
          <w:szCs w:val="22"/>
        </w:rPr>
        <w:t>egardless of whether their digital facilities are operational.</w:t>
      </w:r>
      <w:r>
        <w:rPr>
          <w:rStyle w:val="FootnoteReference"/>
          <w:szCs w:val="22"/>
        </w:rPr>
        <w:footnoteReference w:id="3"/>
      </w:r>
      <w:r>
        <w:rPr>
          <w:szCs w:val="22"/>
        </w:rPr>
        <w:t xml:space="preserve">  </w:t>
      </w:r>
      <w:r w:rsidR="00F84F13">
        <w:rPr>
          <w:iCs/>
          <w:szCs w:val="22"/>
        </w:rPr>
        <w:t xml:space="preserve">Stations that have not yet constructed a digital facility must cease analog </w:t>
      </w:r>
      <w:r w:rsidR="00191365">
        <w:rPr>
          <w:iCs/>
          <w:szCs w:val="22"/>
        </w:rPr>
        <w:t xml:space="preserve">television </w:t>
      </w:r>
      <w:r w:rsidR="00F84F13">
        <w:rPr>
          <w:iCs/>
          <w:szCs w:val="22"/>
        </w:rPr>
        <w:t xml:space="preserve">operations no later than </w:t>
      </w:r>
      <w:r w:rsidRPr="0045542E" w:rsidR="00F84F13">
        <w:rPr>
          <w:b/>
          <w:bCs/>
          <w:iCs/>
          <w:szCs w:val="22"/>
        </w:rPr>
        <w:t>July 13, 202</w:t>
      </w:r>
      <w:r w:rsidR="00F84F13">
        <w:rPr>
          <w:b/>
          <w:bCs/>
          <w:iCs/>
          <w:szCs w:val="22"/>
        </w:rPr>
        <w:t>1</w:t>
      </w:r>
      <w:r w:rsidR="00634AA1">
        <w:rPr>
          <w:b/>
          <w:bCs/>
          <w:iCs/>
          <w:szCs w:val="22"/>
        </w:rPr>
        <w:t>,</w:t>
      </w:r>
      <w:r w:rsidR="00C359CE">
        <w:rPr>
          <w:iCs/>
          <w:szCs w:val="22"/>
        </w:rPr>
        <w:t xml:space="preserve"> </w:t>
      </w:r>
      <w:r w:rsidR="00F84F13">
        <w:rPr>
          <w:iCs/>
          <w:szCs w:val="22"/>
        </w:rPr>
        <w:t xml:space="preserve">and remain silent until construction is completed.  </w:t>
      </w:r>
      <w:r w:rsidRPr="00225B62" w:rsidR="00F84F13">
        <w:rPr>
          <w:szCs w:val="22"/>
        </w:rPr>
        <w:t xml:space="preserve">If a station </w:t>
      </w:r>
      <w:r w:rsidR="00F84F13">
        <w:rPr>
          <w:szCs w:val="22"/>
        </w:rPr>
        <w:t xml:space="preserve">goes silent </w:t>
      </w:r>
      <w:r w:rsidRPr="00225B62" w:rsidR="00F84F13">
        <w:rPr>
          <w:szCs w:val="22"/>
        </w:rPr>
        <w:t>prior to</w:t>
      </w:r>
      <w:r w:rsidR="00F84F13">
        <w:rPr>
          <w:szCs w:val="22"/>
        </w:rPr>
        <w:t xml:space="preserve"> </w:t>
      </w:r>
      <w:r w:rsidRPr="00225B62" w:rsidR="00F84F13">
        <w:rPr>
          <w:szCs w:val="22"/>
        </w:rPr>
        <w:t>completing construction o</w:t>
      </w:r>
      <w:r w:rsidR="00F84F13">
        <w:rPr>
          <w:szCs w:val="22"/>
        </w:rPr>
        <w:t>f</w:t>
      </w:r>
      <w:r w:rsidRPr="00225B62" w:rsidR="00F84F13">
        <w:rPr>
          <w:szCs w:val="22"/>
        </w:rPr>
        <w:t xml:space="preserve"> its </w:t>
      </w:r>
      <w:r w:rsidR="00F84F13">
        <w:rPr>
          <w:szCs w:val="22"/>
        </w:rPr>
        <w:t>digital facility,</w:t>
      </w:r>
      <w:r w:rsidRPr="00225B62" w:rsidR="00F84F13">
        <w:rPr>
          <w:szCs w:val="22"/>
        </w:rPr>
        <w:t xml:space="preserve"> it may file a request for silent authority.</w:t>
      </w:r>
    </w:p>
    <w:p w:rsidR="00F84F13" w:rsidRPr="00F84F13" w:rsidP="00F84F13" w14:paraId="199DEC86" w14:textId="03B54D02">
      <w:pPr>
        <w:pStyle w:val="ParaNum0"/>
        <w:numPr>
          <w:ilvl w:val="0"/>
          <w:numId w:val="0"/>
        </w:numPr>
        <w:rPr>
          <w:b/>
          <w:bCs/>
          <w:szCs w:val="22"/>
          <w:u w:val="single"/>
        </w:rPr>
      </w:pPr>
      <w:r w:rsidRPr="00F84F13">
        <w:rPr>
          <w:b/>
          <w:bCs/>
          <w:szCs w:val="22"/>
          <w:u w:val="single"/>
        </w:rPr>
        <w:t xml:space="preserve">Final Digital Extensions Due </w:t>
      </w:r>
      <w:r w:rsidR="00CF3F16">
        <w:rPr>
          <w:b/>
          <w:bCs/>
          <w:szCs w:val="22"/>
          <w:u w:val="single"/>
        </w:rPr>
        <w:t xml:space="preserve">No Later Than </w:t>
      </w:r>
      <w:r w:rsidRPr="00F84F13">
        <w:rPr>
          <w:b/>
          <w:bCs/>
          <w:szCs w:val="22"/>
          <w:u w:val="single"/>
        </w:rPr>
        <w:t>Ma</w:t>
      </w:r>
      <w:r>
        <w:rPr>
          <w:b/>
          <w:bCs/>
          <w:szCs w:val="22"/>
          <w:u w:val="single"/>
        </w:rPr>
        <w:t>rch</w:t>
      </w:r>
      <w:r w:rsidRPr="00F84F13">
        <w:rPr>
          <w:b/>
          <w:bCs/>
          <w:szCs w:val="22"/>
          <w:u w:val="single"/>
        </w:rPr>
        <w:t xml:space="preserve"> 1</w:t>
      </w:r>
      <w:r w:rsidR="00CE7D82">
        <w:rPr>
          <w:b/>
          <w:bCs/>
          <w:szCs w:val="22"/>
          <w:u w:val="single"/>
        </w:rPr>
        <w:t>5</w:t>
      </w:r>
      <w:r w:rsidRPr="00F84F13">
        <w:rPr>
          <w:b/>
          <w:bCs/>
          <w:szCs w:val="22"/>
          <w:u w:val="single"/>
        </w:rPr>
        <w:t>, 2021</w:t>
      </w:r>
    </w:p>
    <w:p w:rsidR="007D7A2A" w:rsidP="007D7A2A" w14:paraId="52A6B59E" w14:textId="3D6AEAF2">
      <w:pPr>
        <w:spacing w:after="120"/>
        <w:ind w:firstLine="720"/>
        <w:rPr>
          <w:szCs w:val="22"/>
        </w:rPr>
      </w:pPr>
      <w:r>
        <w:rPr>
          <w:szCs w:val="22"/>
        </w:rPr>
        <w:t>In addition to ceasing analog operations by the digital transition date, t</w:t>
      </w:r>
      <w:r w:rsidRPr="00225B62" w:rsidR="00F84F13">
        <w:rPr>
          <w:szCs w:val="22"/>
        </w:rPr>
        <w:t>ransitioning LPTV</w:t>
      </w:r>
      <w:r w:rsidR="00CF3F16">
        <w:rPr>
          <w:szCs w:val="22"/>
        </w:rPr>
        <w:t>/</w:t>
      </w:r>
      <w:r w:rsidRPr="00225B62" w:rsidR="00F84F13">
        <w:rPr>
          <w:szCs w:val="22"/>
        </w:rPr>
        <w:t>translator stations that experience delays in completing their digital facilities may seek one last extension of time</w:t>
      </w:r>
      <w:r w:rsidR="00E06A81">
        <w:rPr>
          <w:szCs w:val="22"/>
        </w:rPr>
        <w:t xml:space="preserve"> of their digital construction permits</w:t>
      </w:r>
      <w:r w:rsidRPr="00225B62" w:rsidR="00F84F13">
        <w:rPr>
          <w:szCs w:val="22"/>
        </w:rPr>
        <w:t xml:space="preserve">, of not more than </w:t>
      </w:r>
      <w:r w:rsidR="00B07503">
        <w:rPr>
          <w:szCs w:val="22"/>
        </w:rPr>
        <w:t>180 days</w:t>
      </w:r>
      <w:r w:rsidRPr="00225B62" w:rsidR="00F84F13">
        <w:rPr>
          <w:szCs w:val="22"/>
        </w:rPr>
        <w:t xml:space="preserve">, to be filed no later than </w:t>
      </w:r>
      <w:r w:rsidRPr="00C359CE" w:rsidR="00F84F13">
        <w:rPr>
          <w:b/>
          <w:bCs/>
          <w:szCs w:val="22"/>
        </w:rPr>
        <w:t>March 1</w:t>
      </w:r>
      <w:r w:rsidR="00CE7D82">
        <w:rPr>
          <w:b/>
          <w:bCs/>
          <w:szCs w:val="22"/>
        </w:rPr>
        <w:t>5</w:t>
      </w:r>
      <w:r w:rsidRPr="00C359CE" w:rsidR="00F84F13">
        <w:rPr>
          <w:b/>
          <w:bCs/>
          <w:szCs w:val="22"/>
        </w:rPr>
        <w:t>, 2021</w:t>
      </w:r>
      <w:r w:rsidRPr="00225B62" w:rsidR="00F84F13">
        <w:rPr>
          <w:szCs w:val="22"/>
        </w:rPr>
        <w:t>,</w:t>
      </w:r>
      <w:r>
        <w:rPr>
          <w:rStyle w:val="FootnoteReference"/>
          <w:szCs w:val="22"/>
        </w:rPr>
        <w:footnoteReference w:id="4"/>
      </w:r>
      <w:r w:rsidRPr="00225B62" w:rsidR="00F84F13">
        <w:rPr>
          <w:szCs w:val="22"/>
        </w:rPr>
        <w:t xml:space="preserve"> which is four months prior to </w:t>
      </w:r>
      <w:r w:rsidR="00CF3F16">
        <w:rPr>
          <w:szCs w:val="22"/>
        </w:rPr>
        <w:t>the</w:t>
      </w:r>
      <w:r w:rsidRPr="00225B62" w:rsidR="00F84F13">
        <w:rPr>
          <w:szCs w:val="22"/>
        </w:rPr>
        <w:t xml:space="preserve"> </w:t>
      </w:r>
      <w:r w:rsidRPr="00C359CE" w:rsidR="00F84F13">
        <w:rPr>
          <w:b/>
          <w:bCs/>
          <w:szCs w:val="22"/>
        </w:rPr>
        <w:t>July 13, 2021</w:t>
      </w:r>
      <w:r w:rsidR="0096126D">
        <w:rPr>
          <w:szCs w:val="22"/>
        </w:rPr>
        <w:t>,</w:t>
      </w:r>
      <w:r w:rsidR="00CF3F16">
        <w:rPr>
          <w:b/>
          <w:bCs/>
          <w:szCs w:val="22"/>
        </w:rPr>
        <w:t xml:space="preserve"> </w:t>
      </w:r>
      <w:r w:rsidRPr="00CF3F16" w:rsidR="00CF3F16">
        <w:rPr>
          <w:szCs w:val="22"/>
        </w:rPr>
        <w:t>transition date</w:t>
      </w:r>
      <w:r w:rsidRPr="00225B62" w:rsidR="00F84F13">
        <w:rPr>
          <w:szCs w:val="22"/>
        </w:rPr>
        <w:t>.</w:t>
      </w:r>
      <w:r>
        <w:rPr>
          <w:rStyle w:val="FootnoteReference"/>
          <w:szCs w:val="22"/>
        </w:rPr>
        <w:footnoteReference w:id="5"/>
      </w:r>
      <w:r w:rsidRPr="00225B62" w:rsidR="00F84F13">
        <w:rPr>
          <w:szCs w:val="22"/>
        </w:rPr>
        <w:t xml:space="preserve"> </w:t>
      </w:r>
      <w:r w:rsidR="009F0F33">
        <w:rPr>
          <w:szCs w:val="22"/>
        </w:rPr>
        <w:t xml:space="preserve"> </w:t>
      </w:r>
      <w:r w:rsidRPr="00225B62" w:rsidR="00B07503">
        <w:rPr>
          <w:szCs w:val="22"/>
        </w:rPr>
        <w:t xml:space="preserve">An application for extension of time to construct must include an exhibit demonstrating that failure to meet the construction deadline is due to circumstances that are either unforeseeable or beyond the licensee’s control and that the </w:t>
      </w:r>
      <w:r w:rsidRPr="00225B62" w:rsidR="00B07503">
        <w:rPr>
          <w:szCs w:val="22"/>
        </w:rPr>
        <w:t>licensee has taken all reasonable steps to resolve the problem expeditiously.</w:t>
      </w:r>
      <w:r>
        <w:rPr>
          <w:szCs w:val="22"/>
          <w:vertAlign w:val="superscript"/>
        </w:rPr>
        <w:footnoteReference w:id="6"/>
      </w:r>
      <w:r w:rsidRPr="00225B62" w:rsidR="00B07503">
        <w:rPr>
          <w:szCs w:val="22"/>
        </w:rPr>
        <w:t xml:space="preserve">  Such circumstances include, but are not limited to: (1) delays in obtaining zoning or other approvals, or similar constraints; (2) inability to obtain equipment; or (3) financial hardship.</w:t>
      </w:r>
      <w:r>
        <w:rPr>
          <w:rStyle w:val="FootnoteReference"/>
          <w:szCs w:val="22"/>
        </w:rPr>
        <w:footnoteReference w:id="7"/>
      </w:r>
      <w:r w:rsidRPr="00225B62" w:rsidR="00B07503">
        <w:rPr>
          <w:szCs w:val="22"/>
        </w:rPr>
        <w:t xml:space="preserve">  </w:t>
      </w:r>
      <w:r w:rsidR="00115F37">
        <w:rPr>
          <w:szCs w:val="22"/>
        </w:rPr>
        <w:t>Extension applications must include</w:t>
      </w:r>
      <w:r>
        <w:rPr>
          <w:szCs w:val="22"/>
        </w:rPr>
        <w:t>: (a)</w:t>
      </w:r>
      <w:r w:rsidR="00115F37">
        <w:rPr>
          <w:szCs w:val="22"/>
        </w:rPr>
        <w:t xml:space="preserve"> a</w:t>
      </w:r>
      <w:r w:rsidRPr="00115F37" w:rsidR="00115F37">
        <w:rPr>
          <w:szCs w:val="22"/>
        </w:rPr>
        <w:t xml:space="preserve"> detailed accounting of</w:t>
      </w:r>
      <w:r w:rsidR="00115F37">
        <w:rPr>
          <w:szCs w:val="22"/>
        </w:rPr>
        <w:t xml:space="preserve"> </w:t>
      </w:r>
      <w:r w:rsidRPr="00115F37" w:rsidR="00115F37">
        <w:rPr>
          <w:szCs w:val="22"/>
        </w:rPr>
        <w:t xml:space="preserve">all steps taken by </w:t>
      </w:r>
      <w:r>
        <w:rPr>
          <w:szCs w:val="22"/>
        </w:rPr>
        <w:t xml:space="preserve">the </w:t>
      </w:r>
      <w:r w:rsidRPr="00115F37" w:rsidR="00115F37">
        <w:rPr>
          <w:szCs w:val="22"/>
        </w:rPr>
        <w:t xml:space="preserve">station to complete construction of the </w:t>
      </w:r>
      <w:r>
        <w:rPr>
          <w:szCs w:val="22"/>
        </w:rPr>
        <w:t>proposed facilities</w:t>
      </w:r>
      <w:r w:rsidRPr="00115F37" w:rsidR="00115F37">
        <w:rPr>
          <w:szCs w:val="22"/>
        </w:rPr>
        <w:t xml:space="preserve"> including dates for each action</w:t>
      </w:r>
      <w:r w:rsidR="00115F37">
        <w:rPr>
          <w:szCs w:val="22"/>
        </w:rPr>
        <w:t xml:space="preserve">; </w:t>
      </w:r>
      <w:r>
        <w:rPr>
          <w:szCs w:val="22"/>
        </w:rPr>
        <w:t xml:space="preserve">(b) a detailed accounting of </w:t>
      </w:r>
      <w:r w:rsidRPr="00115F37" w:rsidR="00115F37">
        <w:rPr>
          <w:szCs w:val="22"/>
        </w:rPr>
        <w:t xml:space="preserve">any and all circumstances outside of the station’s control that prevented </w:t>
      </w:r>
      <w:r>
        <w:rPr>
          <w:szCs w:val="22"/>
        </w:rPr>
        <w:t>the</w:t>
      </w:r>
      <w:r w:rsidRPr="00115F37" w:rsidR="00115F37">
        <w:rPr>
          <w:szCs w:val="22"/>
        </w:rPr>
        <w:t xml:space="preserve"> station from completing construction including dates of each circumstance</w:t>
      </w:r>
      <w:r>
        <w:rPr>
          <w:szCs w:val="22"/>
        </w:rPr>
        <w:t xml:space="preserve">; and (c) </w:t>
      </w:r>
      <w:r w:rsidR="00115F37">
        <w:rPr>
          <w:szCs w:val="22"/>
        </w:rPr>
        <w:t xml:space="preserve">a </w:t>
      </w:r>
      <w:r w:rsidRPr="00115F37" w:rsidR="00115F37">
        <w:rPr>
          <w:szCs w:val="22"/>
        </w:rPr>
        <w:t xml:space="preserve">timeline plan of how and when </w:t>
      </w:r>
      <w:r>
        <w:rPr>
          <w:szCs w:val="22"/>
        </w:rPr>
        <w:t xml:space="preserve">the </w:t>
      </w:r>
      <w:r w:rsidRPr="00115F37" w:rsidR="00115F37">
        <w:rPr>
          <w:szCs w:val="22"/>
        </w:rPr>
        <w:t>station expects to complete construction and begin operations.</w:t>
      </w:r>
      <w:r>
        <w:rPr>
          <w:szCs w:val="22"/>
        </w:rPr>
        <w:t xml:space="preserve">  Extension applications claiming </w:t>
      </w:r>
      <w:r w:rsidRPr="007D7A2A">
        <w:rPr>
          <w:szCs w:val="22"/>
        </w:rPr>
        <w:t>financial hardship</w:t>
      </w:r>
      <w:r>
        <w:rPr>
          <w:szCs w:val="22"/>
        </w:rPr>
        <w:t xml:space="preserve"> </w:t>
      </w:r>
      <w:r w:rsidRPr="007D7A2A">
        <w:rPr>
          <w:szCs w:val="22"/>
        </w:rPr>
        <w:t>must</w:t>
      </w:r>
      <w:r>
        <w:rPr>
          <w:szCs w:val="22"/>
        </w:rPr>
        <w:t xml:space="preserve"> </w:t>
      </w:r>
      <w:r w:rsidRPr="007D7A2A">
        <w:rPr>
          <w:szCs w:val="22"/>
        </w:rPr>
        <w:t xml:space="preserve">include:  (a) an itemized estimate of the cost of meeting the build-out requirements; (b) a detailed statement explaining why its financial condition precludes such an expenditure; (c) a detailed accounting of the applicant’s good faith efforts to meet the deadline, including its good faith efforts to obtain the requisite financing and an explanation why those efforts were unsuccessful; and (d) an indication when the applicant reasonably expects to complete construction.  </w:t>
      </w:r>
    </w:p>
    <w:p w:rsidR="001E2505" w:rsidP="00115F37" w14:paraId="4A586184" w14:textId="14D08CEE">
      <w:pPr>
        <w:spacing w:after="120"/>
        <w:ind w:firstLine="720"/>
        <w:rPr>
          <w:szCs w:val="22"/>
        </w:rPr>
      </w:pPr>
      <w:r w:rsidRPr="00225B62">
        <w:rPr>
          <w:szCs w:val="22"/>
        </w:rPr>
        <w:t xml:space="preserve">The grant of an extension of time to complete </w:t>
      </w:r>
      <w:r>
        <w:rPr>
          <w:szCs w:val="22"/>
        </w:rPr>
        <w:t xml:space="preserve">digital </w:t>
      </w:r>
      <w:r w:rsidRPr="00225B62">
        <w:rPr>
          <w:szCs w:val="22"/>
        </w:rPr>
        <w:t xml:space="preserve">construction will in no way extend the </w:t>
      </w:r>
      <w:r w:rsidRPr="00B07503">
        <w:rPr>
          <w:b/>
          <w:bCs/>
          <w:szCs w:val="22"/>
        </w:rPr>
        <w:t>July 13, 2021</w:t>
      </w:r>
      <w:r w:rsidR="0096126D">
        <w:rPr>
          <w:szCs w:val="22"/>
        </w:rPr>
        <w:t>,</w:t>
      </w:r>
      <w:r>
        <w:rPr>
          <w:szCs w:val="22"/>
        </w:rPr>
        <w:t xml:space="preserve"> </w:t>
      </w:r>
      <w:r w:rsidRPr="00225B62">
        <w:rPr>
          <w:szCs w:val="22"/>
        </w:rPr>
        <w:t xml:space="preserve">deadline by which a station must terminate </w:t>
      </w:r>
      <w:r>
        <w:rPr>
          <w:szCs w:val="22"/>
        </w:rPr>
        <w:t xml:space="preserve">analog </w:t>
      </w:r>
      <w:r w:rsidR="00304503">
        <w:rPr>
          <w:szCs w:val="22"/>
        </w:rPr>
        <w:t xml:space="preserve">television </w:t>
      </w:r>
      <w:r w:rsidRPr="00225B62">
        <w:rPr>
          <w:szCs w:val="22"/>
        </w:rPr>
        <w:t>operations</w:t>
      </w:r>
      <w:r>
        <w:rPr>
          <w:szCs w:val="22"/>
        </w:rPr>
        <w:t>.</w:t>
      </w:r>
      <w:r>
        <w:rPr>
          <w:szCs w:val="22"/>
        </w:rPr>
        <w:t xml:space="preserve">  </w:t>
      </w:r>
      <w:r w:rsidRPr="00225B62" w:rsidR="00F84F13">
        <w:rPr>
          <w:szCs w:val="22"/>
        </w:rPr>
        <w:t xml:space="preserve">Instructions for filing an extension application are included in </w:t>
      </w:r>
      <w:r w:rsidR="00F84F13">
        <w:rPr>
          <w:szCs w:val="22"/>
        </w:rPr>
        <w:t xml:space="preserve">the </w:t>
      </w:r>
      <w:r w:rsidRPr="00225B62" w:rsidR="00F84F13">
        <w:rPr>
          <w:szCs w:val="22"/>
        </w:rPr>
        <w:t>Appendi</w:t>
      </w:r>
      <w:r w:rsidR="00F84F13">
        <w:rPr>
          <w:szCs w:val="22"/>
        </w:rPr>
        <w:t>x</w:t>
      </w:r>
      <w:r w:rsidRPr="00225B62" w:rsidR="00F84F13">
        <w:rPr>
          <w:szCs w:val="22"/>
        </w:rPr>
        <w:t>.</w:t>
      </w:r>
    </w:p>
    <w:p w:rsidR="00B07503" w:rsidP="001E2505" w14:paraId="5A9AEC2C" w14:textId="0AD16648">
      <w:pPr>
        <w:spacing w:after="120"/>
        <w:ind w:firstLine="720"/>
        <w:rPr>
          <w:szCs w:val="22"/>
        </w:rPr>
      </w:pPr>
      <w:r w:rsidRPr="00225B62">
        <w:rPr>
          <w:szCs w:val="22"/>
        </w:rPr>
        <w:t xml:space="preserve">After </w:t>
      </w:r>
      <w:r w:rsidRPr="001E2505">
        <w:rPr>
          <w:b/>
          <w:bCs/>
          <w:szCs w:val="22"/>
        </w:rPr>
        <w:t>March 1</w:t>
      </w:r>
      <w:r w:rsidR="00CE7D82">
        <w:rPr>
          <w:b/>
          <w:bCs/>
          <w:szCs w:val="22"/>
        </w:rPr>
        <w:t>5</w:t>
      </w:r>
      <w:r w:rsidRPr="001E2505">
        <w:rPr>
          <w:b/>
          <w:bCs/>
          <w:szCs w:val="22"/>
        </w:rPr>
        <w:t>, 2021</w:t>
      </w:r>
      <w:r w:rsidRPr="00225B62">
        <w:rPr>
          <w:szCs w:val="22"/>
        </w:rPr>
        <w:t xml:space="preserve">, additional time to construct may be sought only pursuant to the Commission’s “tolling” rule. </w:t>
      </w:r>
      <w:r w:rsidR="009F0F33">
        <w:rPr>
          <w:szCs w:val="22"/>
        </w:rPr>
        <w:t xml:space="preserve"> </w:t>
      </w:r>
      <w:r w:rsidRPr="00225B62">
        <w:rPr>
          <w:szCs w:val="22"/>
        </w:rPr>
        <w:t>The tolling rule provides that a construction permit deadline may be tolled only for specific circumstances not under the licensee’s control, such as acts of God or delays due to administrative or judicial review.</w:t>
      </w:r>
      <w:r>
        <w:rPr>
          <w:szCs w:val="22"/>
          <w:vertAlign w:val="superscript"/>
        </w:rPr>
        <w:footnoteReference w:id="8"/>
      </w:r>
    </w:p>
    <w:p w:rsidR="00C3647F" w:rsidRPr="00F84F13" w:rsidP="00C3647F" w14:paraId="4075A493" w14:textId="77777777">
      <w:pPr>
        <w:pStyle w:val="ParaNum0"/>
        <w:numPr>
          <w:ilvl w:val="0"/>
          <w:numId w:val="0"/>
        </w:numPr>
        <w:rPr>
          <w:b/>
          <w:bCs/>
          <w:szCs w:val="22"/>
          <w:u w:val="single"/>
        </w:rPr>
      </w:pPr>
      <w:r w:rsidRPr="00F84F13">
        <w:rPr>
          <w:b/>
          <w:bCs/>
          <w:szCs w:val="22"/>
          <w:u w:val="single"/>
        </w:rPr>
        <w:t xml:space="preserve">Transition Related </w:t>
      </w:r>
      <w:r>
        <w:rPr>
          <w:b/>
          <w:bCs/>
          <w:szCs w:val="22"/>
          <w:u w:val="single"/>
        </w:rPr>
        <w:t xml:space="preserve">Technical </w:t>
      </w:r>
      <w:r w:rsidRPr="00F84F13">
        <w:rPr>
          <w:b/>
          <w:bCs/>
          <w:szCs w:val="22"/>
          <w:u w:val="single"/>
        </w:rPr>
        <w:t xml:space="preserve">Filings Should Be Filed No Later Than </w:t>
      </w:r>
      <w:r>
        <w:rPr>
          <w:b/>
          <w:bCs/>
          <w:szCs w:val="22"/>
          <w:u w:val="single"/>
        </w:rPr>
        <w:t>May 1, 20</w:t>
      </w:r>
      <w:r w:rsidRPr="00F84F13">
        <w:rPr>
          <w:b/>
          <w:bCs/>
          <w:szCs w:val="22"/>
          <w:u w:val="single"/>
        </w:rPr>
        <w:t>21</w:t>
      </w:r>
    </w:p>
    <w:p w:rsidR="00C3647F" w:rsidP="007D7A2A" w14:paraId="7C3775EA" w14:textId="30FD84A2">
      <w:pPr>
        <w:ind w:firstLine="720"/>
        <w:rPr>
          <w:szCs w:val="22"/>
        </w:rPr>
      </w:pPr>
      <w:r>
        <w:rPr>
          <w:szCs w:val="22"/>
        </w:rPr>
        <w:t xml:space="preserve">To ensure that LPTV/translator stations are not delayed in completing their digital transition by the </w:t>
      </w:r>
      <w:r w:rsidRPr="00FC5C42">
        <w:rPr>
          <w:b/>
          <w:bCs/>
          <w:szCs w:val="22"/>
        </w:rPr>
        <w:t>July 13, 2021</w:t>
      </w:r>
      <w:r w:rsidR="0096126D">
        <w:rPr>
          <w:szCs w:val="22"/>
        </w:rPr>
        <w:t>,</w:t>
      </w:r>
      <w:r>
        <w:rPr>
          <w:szCs w:val="22"/>
        </w:rPr>
        <w:t xml:space="preserve"> transition deadline, we recommend that stations requiring last-minute technical changes submit any required applications or filings (minor change, request for special temporary authority, etc.) no later than </w:t>
      </w:r>
      <w:r w:rsidRPr="00FC5C42">
        <w:rPr>
          <w:b/>
          <w:bCs/>
          <w:szCs w:val="22"/>
        </w:rPr>
        <w:t>May 1, 2021</w:t>
      </w:r>
      <w:r w:rsidR="0096126D">
        <w:rPr>
          <w:szCs w:val="22"/>
        </w:rPr>
        <w:t>,</w:t>
      </w:r>
      <w:r>
        <w:rPr>
          <w:szCs w:val="22"/>
        </w:rPr>
        <w:t xml:space="preserve"> to allow sufficient time for staff processing.</w:t>
      </w:r>
      <w:r w:rsidR="007D7A2A">
        <w:rPr>
          <w:szCs w:val="22"/>
        </w:rPr>
        <w:t xml:space="preserve">  Applications that require international coordination should be filed as soon as possible.  </w:t>
      </w:r>
    </w:p>
    <w:p w:rsidR="007D7A2A" w:rsidP="007D7A2A" w14:paraId="08D5F633" w14:textId="77777777">
      <w:pPr>
        <w:ind w:firstLine="720"/>
        <w:rPr>
          <w:szCs w:val="22"/>
        </w:rPr>
      </w:pPr>
    </w:p>
    <w:p w:rsidR="00C3647F" w:rsidRPr="0064360F" w:rsidP="00C3647F" w14:paraId="3586623A" w14:textId="65140960">
      <w:pPr>
        <w:pStyle w:val="ParaNum0"/>
        <w:numPr>
          <w:ilvl w:val="0"/>
          <w:numId w:val="0"/>
        </w:numPr>
        <w:rPr>
          <w:b/>
          <w:bCs/>
          <w:szCs w:val="22"/>
          <w:u w:val="single"/>
        </w:rPr>
      </w:pPr>
      <w:r w:rsidRPr="0064360F">
        <w:rPr>
          <w:b/>
          <w:bCs/>
          <w:szCs w:val="22"/>
          <w:u w:val="single"/>
        </w:rPr>
        <w:t xml:space="preserve">Filing Deadline </w:t>
      </w:r>
      <w:r w:rsidRPr="0064360F">
        <w:rPr>
          <w:b/>
          <w:bCs/>
          <w:szCs w:val="22"/>
          <w:u w:val="single"/>
        </w:rPr>
        <w:t>For</w:t>
      </w:r>
      <w:r w:rsidRPr="0064360F">
        <w:rPr>
          <w:b/>
          <w:bCs/>
          <w:szCs w:val="22"/>
          <w:u w:val="single"/>
        </w:rPr>
        <w:t xml:space="preserve"> Digital-to-Digital Replacement Translators</w:t>
      </w:r>
      <w:r>
        <w:rPr>
          <w:b/>
          <w:bCs/>
          <w:szCs w:val="22"/>
          <w:u w:val="single"/>
        </w:rPr>
        <w:t xml:space="preserve">: </w:t>
      </w:r>
      <w:r w:rsidRPr="0064360F">
        <w:rPr>
          <w:b/>
          <w:bCs/>
          <w:szCs w:val="22"/>
          <w:u w:val="single"/>
        </w:rPr>
        <w:t>July 13, 2021</w:t>
      </w:r>
    </w:p>
    <w:p w:rsidR="00283650" w:rsidRPr="00466F4A" w:rsidP="00D16D9F" w14:paraId="1449D302" w14:textId="27C161E9">
      <w:pPr>
        <w:pStyle w:val="ParaNum0"/>
        <w:numPr>
          <w:ilvl w:val="0"/>
          <w:numId w:val="0"/>
        </w:numPr>
        <w:ind w:firstLine="720"/>
        <w:rPr>
          <w:szCs w:val="22"/>
        </w:rPr>
      </w:pPr>
      <w:r w:rsidRPr="00225B62">
        <w:rPr>
          <w:szCs w:val="22"/>
        </w:rPr>
        <w:t xml:space="preserve">In the </w:t>
      </w:r>
      <w:r w:rsidRPr="00225B62">
        <w:rPr>
          <w:i/>
          <w:szCs w:val="22"/>
        </w:rPr>
        <w:t>LPTV DTV Third R&amp;O</w:t>
      </w:r>
      <w:r w:rsidRPr="00225B62">
        <w:rPr>
          <w:szCs w:val="22"/>
        </w:rPr>
        <w:t>, the Commission established a new digital-to-digital replacement translator (DTDRT) service to allow eligible full power television stations to recover lost digital service area that could result from the</w:t>
      </w:r>
      <w:r>
        <w:rPr>
          <w:szCs w:val="22"/>
        </w:rPr>
        <w:t xml:space="preserve"> Incentive Auction</w:t>
      </w:r>
      <w:r w:rsidRPr="00225B62">
        <w:rPr>
          <w:szCs w:val="22"/>
        </w:rPr>
        <w:t xml:space="preserve"> repacking process.</w:t>
      </w:r>
      <w:r>
        <w:rPr>
          <w:rStyle w:val="FootnoteReference"/>
          <w:szCs w:val="22"/>
        </w:rPr>
        <w:footnoteReference w:id="9"/>
      </w:r>
      <w:r w:rsidRPr="00225B62">
        <w:rPr>
          <w:szCs w:val="22"/>
        </w:rPr>
        <w:t xml:space="preserve">  The Commission concluded that full power stations may </w:t>
      </w:r>
      <w:r>
        <w:rPr>
          <w:szCs w:val="22"/>
        </w:rPr>
        <w:t xml:space="preserve">file for </w:t>
      </w:r>
      <w:r w:rsidRPr="00225B62">
        <w:rPr>
          <w:szCs w:val="22"/>
        </w:rPr>
        <w:t xml:space="preserve">DTDRTs beginning with the opening of the </w:t>
      </w:r>
      <w:r>
        <w:rPr>
          <w:szCs w:val="22"/>
        </w:rPr>
        <w:t xml:space="preserve">post-Incentive Auction </w:t>
      </w:r>
      <w:r w:rsidRPr="00FC5C42">
        <w:rPr>
          <w:i/>
          <w:iCs/>
          <w:szCs w:val="22"/>
        </w:rPr>
        <w:t>Special Displacement Window</w:t>
      </w:r>
      <w:r>
        <w:rPr>
          <w:rStyle w:val="FootnoteReference"/>
          <w:szCs w:val="22"/>
        </w:rPr>
        <w:footnoteReference w:id="10"/>
      </w:r>
      <w:r w:rsidRPr="00D14EC6">
        <w:rPr>
          <w:szCs w:val="22"/>
        </w:rPr>
        <w:t xml:space="preserve"> </w:t>
      </w:r>
      <w:r w:rsidRPr="00225B62">
        <w:rPr>
          <w:szCs w:val="22"/>
        </w:rPr>
        <w:t xml:space="preserve">and ending one year after completion of the </w:t>
      </w:r>
      <w:r>
        <w:rPr>
          <w:szCs w:val="22"/>
        </w:rPr>
        <w:t>post-I</w:t>
      </w:r>
      <w:r w:rsidRPr="00225B62">
        <w:rPr>
          <w:szCs w:val="22"/>
        </w:rPr>
        <w:t xml:space="preserve">ncentive </w:t>
      </w:r>
      <w:r>
        <w:rPr>
          <w:szCs w:val="22"/>
        </w:rPr>
        <w:t>A</w:t>
      </w:r>
      <w:r w:rsidRPr="00225B62">
        <w:rPr>
          <w:szCs w:val="22"/>
        </w:rPr>
        <w:t xml:space="preserve">uction </w:t>
      </w:r>
      <w:r w:rsidRPr="00225B62">
        <w:rPr>
          <w:szCs w:val="22"/>
        </w:rPr>
        <w:t>transition period.</w:t>
      </w:r>
      <w:r>
        <w:rPr>
          <w:rStyle w:val="FootnoteReference"/>
          <w:szCs w:val="22"/>
        </w:rPr>
        <w:footnoteReference w:id="11"/>
      </w:r>
      <w:r w:rsidRPr="00225B62">
        <w:rPr>
          <w:szCs w:val="22"/>
        </w:rPr>
        <w:t xml:space="preserve">  Accordingly, </w:t>
      </w:r>
      <w:r>
        <w:rPr>
          <w:szCs w:val="22"/>
        </w:rPr>
        <w:t xml:space="preserve">we remind interested full power stations that </w:t>
      </w:r>
      <w:r w:rsidRPr="00225B62">
        <w:rPr>
          <w:szCs w:val="22"/>
        </w:rPr>
        <w:t xml:space="preserve">DTDRT applications must be filed </w:t>
      </w:r>
      <w:r>
        <w:rPr>
          <w:szCs w:val="22"/>
        </w:rPr>
        <w:t>not later than</w:t>
      </w:r>
      <w:r w:rsidRPr="00225B62">
        <w:rPr>
          <w:szCs w:val="22"/>
        </w:rPr>
        <w:t xml:space="preserve"> </w:t>
      </w:r>
      <w:r w:rsidRPr="00FC5C42">
        <w:rPr>
          <w:b/>
          <w:bCs/>
          <w:szCs w:val="22"/>
        </w:rPr>
        <w:t>July 13, 2021</w:t>
      </w:r>
      <w:r w:rsidRPr="00225B62">
        <w:rPr>
          <w:szCs w:val="22"/>
        </w:rPr>
        <w:t>.</w:t>
      </w:r>
    </w:p>
    <w:p w:rsidR="00466F4A" w:rsidP="00B3158C" w14:paraId="6B9E5041" w14:textId="4628AFC0">
      <w:pPr>
        <w:spacing w:after="120"/>
        <w:rPr>
          <w:b/>
          <w:bCs/>
          <w:szCs w:val="22"/>
          <w:u w:val="single"/>
        </w:rPr>
      </w:pPr>
      <w:r>
        <w:rPr>
          <w:b/>
          <w:bCs/>
          <w:szCs w:val="22"/>
          <w:u w:val="single"/>
        </w:rPr>
        <w:t xml:space="preserve">Requests </w:t>
      </w:r>
      <w:r>
        <w:rPr>
          <w:b/>
          <w:bCs/>
          <w:szCs w:val="22"/>
          <w:u w:val="single"/>
        </w:rPr>
        <w:t>For</w:t>
      </w:r>
      <w:r>
        <w:rPr>
          <w:b/>
          <w:bCs/>
          <w:szCs w:val="22"/>
          <w:u w:val="single"/>
        </w:rPr>
        <w:t xml:space="preserve"> Silent Authority</w:t>
      </w:r>
    </w:p>
    <w:p w:rsidR="00466F4A" w:rsidRPr="00225B62" w:rsidP="00466F4A" w14:paraId="571ECE77" w14:textId="77777777">
      <w:pPr>
        <w:pStyle w:val="ParaNum0"/>
        <w:numPr>
          <w:ilvl w:val="0"/>
          <w:numId w:val="0"/>
        </w:numPr>
        <w:ind w:firstLine="720"/>
        <w:rPr>
          <w:szCs w:val="22"/>
        </w:rPr>
      </w:pPr>
      <w:r w:rsidRPr="00225B62">
        <w:rPr>
          <w:szCs w:val="22"/>
        </w:rPr>
        <w:t>We remind stations that a station may suspend operations for a period of not more than 30 days absent specific authority from the Commission.</w:t>
      </w:r>
      <w:r>
        <w:rPr>
          <w:rStyle w:val="FootnoteReference"/>
          <w:szCs w:val="22"/>
        </w:rPr>
        <w:footnoteReference w:id="12"/>
      </w:r>
      <w:r w:rsidRPr="00225B62">
        <w:rPr>
          <w:szCs w:val="22"/>
        </w:rPr>
        <w:t xml:space="preserve">  Stations that remain silent for more than 10 days must notify the Commission not later than the tenth day of their suspended operations by filing a Suspension of Operations Notification via LMS as outlined in </w:t>
      </w:r>
      <w:r>
        <w:rPr>
          <w:szCs w:val="22"/>
        </w:rPr>
        <w:t xml:space="preserve">the </w:t>
      </w:r>
      <w:r w:rsidRPr="00225B62">
        <w:rPr>
          <w:szCs w:val="22"/>
        </w:rPr>
        <w:t>Appendix.</w:t>
      </w:r>
      <w:r>
        <w:rPr>
          <w:szCs w:val="22"/>
          <w:vertAlign w:val="superscript"/>
        </w:rPr>
        <w:footnoteReference w:id="13"/>
      </w:r>
      <w:r w:rsidRPr="00225B62">
        <w:rPr>
          <w:szCs w:val="22"/>
        </w:rPr>
        <w:t xml:space="preserve">  Stations that need to remain silent for more than 30 days must file a Silent STA via LMS as outlined in </w:t>
      </w:r>
      <w:r>
        <w:rPr>
          <w:szCs w:val="22"/>
        </w:rPr>
        <w:t xml:space="preserve">the </w:t>
      </w:r>
      <w:r w:rsidRPr="00225B62">
        <w:rPr>
          <w:szCs w:val="22"/>
        </w:rPr>
        <w:t>Appendix.  There is no fee for this filing.</w:t>
      </w:r>
    </w:p>
    <w:p w:rsidR="00466F4A" w:rsidP="00466F4A" w14:paraId="21EB2015" w14:textId="13DCBD0B">
      <w:pPr>
        <w:spacing w:after="120"/>
        <w:ind w:firstLine="720"/>
        <w:rPr>
          <w:szCs w:val="22"/>
        </w:rPr>
      </w:pPr>
      <w:r w:rsidRPr="00225B62">
        <w:rPr>
          <w:szCs w:val="22"/>
        </w:rPr>
        <w:t>We also remind stations that the license of any station that remains silent for any consecutive 12-month period expires automatically at the end of that period, by operation of law, except that the Commission may extend or reinstate such station license if the holder of the license prevails in an administrative or judicial appeal, the applicable law changes, or for any other reason to promote equity and fairness.</w:t>
      </w:r>
      <w:r>
        <w:rPr>
          <w:szCs w:val="22"/>
          <w:vertAlign w:val="superscript"/>
        </w:rPr>
        <w:footnoteReference w:id="14"/>
      </w:r>
    </w:p>
    <w:p w:rsidR="007B58F7" w:rsidRPr="00C359CE" w:rsidP="00F84F13" w14:paraId="2DDAEAA3" w14:textId="35E90AAB">
      <w:pPr>
        <w:pStyle w:val="ParaNum0"/>
        <w:numPr>
          <w:ilvl w:val="0"/>
          <w:numId w:val="0"/>
        </w:numPr>
        <w:rPr>
          <w:b/>
          <w:bCs/>
          <w:szCs w:val="22"/>
          <w:u w:val="single"/>
        </w:rPr>
      </w:pPr>
      <w:r>
        <w:rPr>
          <w:b/>
          <w:bCs/>
          <w:szCs w:val="22"/>
          <w:u w:val="single"/>
        </w:rPr>
        <w:t>Surrender of Channels</w:t>
      </w:r>
    </w:p>
    <w:p w:rsidR="00836EAE" w:rsidRPr="007D7A2A" w:rsidP="00836EAE" w14:paraId="252A52B0" w14:textId="0F1CA91B">
      <w:pPr>
        <w:pStyle w:val="ParaNum0"/>
        <w:numPr>
          <w:ilvl w:val="0"/>
          <w:numId w:val="0"/>
        </w:numPr>
        <w:ind w:firstLine="720"/>
        <w:rPr>
          <w:b/>
          <w:bCs/>
        </w:rPr>
      </w:pPr>
      <w:r>
        <w:rPr>
          <w:iCs/>
        </w:rPr>
        <w:t xml:space="preserve">We remind LPTV/translator stations </w:t>
      </w:r>
      <w:r w:rsidR="00502D79">
        <w:rPr>
          <w:iCs/>
        </w:rPr>
        <w:t xml:space="preserve">with digital companion channels </w:t>
      </w:r>
      <w:r>
        <w:rPr>
          <w:iCs/>
        </w:rPr>
        <w:t xml:space="preserve">that they must choose to complete their transition to digital by </w:t>
      </w:r>
      <w:r w:rsidRPr="00680B36">
        <w:rPr>
          <w:i/>
        </w:rPr>
        <w:t>either</w:t>
      </w:r>
      <w:r>
        <w:rPr>
          <w:iCs/>
        </w:rPr>
        <w:t xml:space="preserve"> </w:t>
      </w:r>
      <w:r w:rsidR="00815D03">
        <w:rPr>
          <w:iCs/>
        </w:rPr>
        <w:t xml:space="preserve">(1) “flash cutting” their existing analog facility to digital </w:t>
      </w:r>
      <w:r w:rsidRPr="00815D03" w:rsidR="00815D03">
        <w:rPr>
          <w:iCs/>
        </w:rPr>
        <w:t>(at which time their analog license will be replaced by a new digital license</w:t>
      </w:r>
      <w:r w:rsidR="00502D79">
        <w:rPr>
          <w:iCs/>
        </w:rPr>
        <w:t xml:space="preserve"> and the digital companion channel permit or license canceled</w:t>
      </w:r>
      <w:r w:rsidRPr="00815D03" w:rsidR="00815D03">
        <w:rPr>
          <w:iCs/>
        </w:rPr>
        <w:t xml:space="preserve">) </w:t>
      </w:r>
      <w:r w:rsidRPr="00D14EC6" w:rsidR="00815D03">
        <w:rPr>
          <w:i/>
        </w:rPr>
        <w:t>or</w:t>
      </w:r>
      <w:r w:rsidR="00815D03">
        <w:rPr>
          <w:iCs/>
        </w:rPr>
        <w:t xml:space="preserve"> (2) </w:t>
      </w:r>
      <w:r>
        <w:rPr>
          <w:iCs/>
        </w:rPr>
        <w:t>surrender</w:t>
      </w:r>
      <w:r w:rsidR="00815D03">
        <w:rPr>
          <w:iCs/>
        </w:rPr>
        <w:t>ing</w:t>
      </w:r>
      <w:r>
        <w:rPr>
          <w:iCs/>
        </w:rPr>
        <w:t xml:space="preserve"> t</w:t>
      </w:r>
      <w:r>
        <w:t xml:space="preserve">heir analog </w:t>
      </w:r>
      <w:r w:rsidR="00304503">
        <w:t>channel</w:t>
      </w:r>
      <w:r>
        <w:t xml:space="preserve"> and continu</w:t>
      </w:r>
      <w:r w:rsidR="00815D03">
        <w:t>ing to</w:t>
      </w:r>
      <w:r>
        <w:t xml:space="preserve"> operat</w:t>
      </w:r>
      <w:r w:rsidR="00815D03">
        <w:t>e</w:t>
      </w:r>
      <w:r>
        <w:t xml:space="preserve"> their digital companion channel.</w:t>
      </w:r>
      <w:r>
        <w:rPr>
          <w:rStyle w:val="FootnoteReference"/>
        </w:rPr>
        <w:footnoteReference w:id="15"/>
      </w:r>
      <w:r>
        <w:t xml:space="preserve">  </w:t>
      </w:r>
      <w:r w:rsidR="00815D03">
        <w:t xml:space="preserve">For stations choosing the second option, analog </w:t>
      </w:r>
      <w:r w:rsidR="00304503">
        <w:t>channels</w:t>
      </w:r>
      <w:r w:rsidR="00815D03">
        <w:t xml:space="preserve"> must be surrendered </w:t>
      </w:r>
      <w:r>
        <w:t>no later than</w:t>
      </w:r>
      <w:r w:rsidR="00815D03">
        <w:t xml:space="preserve"> </w:t>
      </w:r>
      <w:r w:rsidRPr="00815D03" w:rsidR="00815D03">
        <w:rPr>
          <w:b/>
          <w:bCs/>
        </w:rPr>
        <w:t>July 13, 2021</w:t>
      </w:r>
      <w:r w:rsidR="00815D03">
        <w:t xml:space="preserve">.  </w:t>
      </w:r>
      <w:r w:rsidRPr="00815D03" w:rsidR="00815D03">
        <w:t>Stations that change their transition plans are reminded that they must surrender the construction permit</w:t>
      </w:r>
      <w:r w:rsidR="00502D79">
        <w:t xml:space="preserve"> or license</w:t>
      </w:r>
      <w:r w:rsidRPr="00815D03" w:rsidR="00815D03">
        <w:t xml:space="preserve"> for their digital companion channel upon the grant of their application for flash cut construction permit and vice versa.</w:t>
      </w:r>
      <w:r w:rsidR="00815D03">
        <w:t xml:space="preserve">  </w:t>
      </w:r>
      <w:r w:rsidRPr="007D7A2A" w:rsidR="00815D03">
        <w:rPr>
          <w:b/>
          <w:bCs/>
        </w:rPr>
        <w:t>No station may possess both a digital flash cut and digital companion channel construction permit.</w:t>
      </w:r>
    </w:p>
    <w:p w:rsidR="00CE7D82" w:rsidRPr="00CF3F16" w:rsidP="00CE7D82" w14:paraId="299E8EA3" w14:textId="618D8B58">
      <w:pPr>
        <w:spacing w:after="120"/>
        <w:ind w:firstLine="720"/>
        <w:rPr>
          <w:iCs/>
          <w:szCs w:val="22"/>
        </w:rPr>
      </w:pPr>
      <w:r>
        <w:rPr>
          <w:iCs/>
          <w:szCs w:val="22"/>
        </w:rPr>
        <w:t>Stations that cho</w:t>
      </w:r>
      <w:r w:rsidR="00AF77CF">
        <w:rPr>
          <w:iCs/>
          <w:szCs w:val="22"/>
        </w:rPr>
        <w:t>o</w:t>
      </w:r>
      <w:r>
        <w:rPr>
          <w:iCs/>
          <w:szCs w:val="22"/>
        </w:rPr>
        <w:t xml:space="preserve">se not </w:t>
      </w:r>
      <w:r w:rsidR="00594767">
        <w:rPr>
          <w:iCs/>
          <w:szCs w:val="22"/>
        </w:rPr>
        <w:t xml:space="preserve">to </w:t>
      </w:r>
      <w:r>
        <w:rPr>
          <w:iCs/>
          <w:szCs w:val="22"/>
        </w:rPr>
        <w:t>convert to digital and instead</w:t>
      </w:r>
      <w:r w:rsidR="00AF77CF">
        <w:rPr>
          <w:iCs/>
          <w:szCs w:val="22"/>
        </w:rPr>
        <w:t xml:space="preserve"> intend to</w:t>
      </w:r>
      <w:r>
        <w:rPr>
          <w:iCs/>
          <w:szCs w:val="22"/>
        </w:rPr>
        <w:t xml:space="preserve"> permanently discontinue operations must do so no later than </w:t>
      </w:r>
      <w:r w:rsidRPr="00836EAE">
        <w:rPr>
          <w:b/>
          <w:bCs/>
          <w:iCs/>
          <w:szCs w:val="22"/>
        </w:rPr>
        <w:t>July 13, 202</w:t>
      </w:r>
      <w:r>
        <w:rPr>
          <w:b/>
          <w:bCs/>
          <w:iCs/>
          <w:szCs w:val="22"/>
        </w:rPr>
        <w:t>1</w:t>
      </w:r>
      <w:r w:rsidR="00634AA1">
        <w:rPr>
          <w:b/>
          <w:bCs/>
          <w:iCs/>
          <w:szCs w:val="22"/>
        </w:rPr>
        <w:t>,</w:t>
      </w:r>
      <w:r>
        <w:rPr>
          <w:iCs/>
          <w:szCs w:val="22"/>
        </w:rPr>
        <w:t xml:space="preserve"> and must submit their station license</w:t>
      </w:r>
      <w:r w:rsidR="00634AA1">
        <w:rPr>
          <w:iCs/>
          <w:szCs w:val="22"/>
        </w:rPr>
        <w:t>s</w:t>
      </w:r>
      <w:r>
        <w:rPr>
          <w:iCs/>
          <w:szCs w:val="22"/>
        </w:rPr>
        <w:t xml:space="preserve"> for cancellation.</w:t>
      </w:r>
      <w:r>
        <w:rPr>
          <w:rStyle w:val="FootnoteReference"/>
          <w:iCs/>
          <w:szCs w:val="22"/>
        </w:rPr>
        <w:footnoteReference w:id="16"/>
      </w:r>
      <w:r w:rsidR="00FC5C42">
        <w:rPr>
          <w:iCs/>
          <w:szCs w:val="22"/>
        </w:rPr>
        <w:t xml:space="preserve">  </w:t>
      </w:r>
      <w:r>
        <w:rPr>
          <w:iCs/>
          <w:szCs w:val="22"/>
        </w:rPr>
        <w:t>We note that, a</w:t>
      </w:r>
      <w:r w:rsidRPr="00836EAE">
        <w:rPr>
          <w:iCs/>
          <w:szCs w:val="22"/>
        </w:rPr>
        <w:t xml:space="preserve">fter </w:t>
      </w:r>
      <w:r w:rsidRPr="00836EAE">
        <w:rPr>
          <w:b/>
          <w:bCs/>
          <w:iCs/>
          <w:szCs w:val="22"/>
        </w:rPr>
        <w:t>July 13, 2021</w:t>
      </w:r>
      <w:r w:rsidRPr="00836EAE">
        <w:rPr>
          <w:iCs/>
          <w:szCs w:val="22"/>
        </w:rPr>
        <w:t xml:space="preserve">, all pending analog </w:t>
      </w:r>
      <w:r>
        <w:rPr>
          <w:iCs/>
          <w:szCs w:val="22"/>
        </w:rPr>
        <w:t>LPTV/translator</w:t>
      </w:r>
      <w:r w:rsidR="009E5E2A">
        <w:rPr>
          <w:iCs/>
          <w:szCs w:val="22"/>
        </w:rPr>
        <w:t xml:space="preserve"> </w:t>
      </w:r>
      <w:r w:rsidRPr="000176DA" w:rsidR="009E5E2A">
        <w:rPr>
          <w:iCs/>
          <w:szCs w:val="22"/>
        </w:rPr>
        <w:t>construction permit</w:t>
      </w:r>
      <w:r w:rsidRPr="00E06A81">
        <w:rPr>
          <w:iCs/>
          <w:szCs w:val="22"/>
        </w:rPr>
        <w:t xml:space="preserve"> </w:t>
      </w:r>
      <w:r w:rsidRPr="00836EAE">
        <w:rPr>
          <w:iCs/>
          <w:szCs w:val="22"/>
        </w:rPr>
        <w:t>applications will be dismissed</w:t>
      </w:r>
      <w:r w:rsidR="0096126D">
        <w:rPr>
          <w:iCs/>
          <w:szCs w:val="22"/>
        </w:rPr>
        <w:t>,</w:t>
      </w:r>
      <w:r w:rsidRPr="00836EAE">
        <w:rPr>
          <w:iCs/>
          <w:szCs w:val="22"/>
        </w:rPr>
        <w:t xml:space="preserve"> and outstanding analog </w:t>
      </w:r>
      <w:r>
        <w:rPr>
          <w:iCs/>
          <w:szCs w:val="22"/>
        </w:rPr>
        <w:t xml:space="preserve">construction permits </w:t>
      </w:r>
      <w:r w:rsidRPr="00836EAE">
        <w:rPr>
          <w:iCs/>
          <w:szCs w:val="22"/>
        </w:rPr>
        <w:t>will be cancelled.</w:t>
      </w:r>
      <w:r w:rsidR="009F0F33">
        <w:rPr>
          <w:iCs/>
          <w:szCs w:val="22"/>
        </w:rPr>
        <w:t xml:space="preserve"> </w:t>
      </w:r>
      <w:r w:rsidRPr="00836EAE">
        <w:rPr>
          <w:iCs/>
          <w:szCs w:val="22"/>
        </w:rPr>
        <w:t xml:space="preserve"> </w:t>
      </w:r>
      <w:r>
        <w:rPr>
          <w:iCs/>
          <w:szCs w:val="22"/>
        </w:rPr>
        <w:t>Stations are encouraged to amend their pending applications and modify their outstanding analog construction permits to specify digital operations as soon as possible to avoid dismissal or cancellation.</w:t>
      </w:r>
    </w:p>
    <w:p w:rsidR="00F84F13" w:rsidP="00F84F13" w14:paraId="382AB63E" w14:textId="23DFD7F3">
      <w:pPr>
        <w:pStyle w:val="ParaNum0"/>
        <w:numPr>
          <w:ilvl w:val="0"/>
          <w:numId w:val="0"/>
        </w:numPr>
        <w:rPr>
          <w:b/>
          <w:bCs/>
          <w:szCs w:val="22"/>
          <w:u w:val="single"/>
        </w:rPr>
      </w:pPr>
      <w:r>
        <w:rPr>
          <w:b/>
          <w:bCs/>
          <w:szCs w:val="22"/>
          <w:u w:val="single"/>
        </w:rPr>
        <w:t>Viewer Notifications</w:t>
      </w:r>
    </w:p>
    <w:p w:rsidR="00836EAE" w:rsidRPr="00F84F13" w:rsidP="00FC5C42" w14:paraId="62ADFC2A" w14:textId="47D739C4">
      <w:pPr>
        <w:pStyle w:val="ParaNum0"/>
        <w:numPr>
          <w:ilvl w:val="0"/>
          <w:numId w:val="0"/>
        </w:numPr>
        <w:ind w:firstLine="720"/>
        <w:rPr>
          <w:szCs w:val="22"/>
        </w:rPr>
      </w:pPr>
      <w:r w:rsidRPr="00225B62">
        <w:rPr>
          <w:szCs w:val="22"/>
        </w:rPr>
        <w:t xml:space="preserve">To ensure that viewers are aware of the impending termination of analog service, stations </w:t>
      </w:r>
      <w:r w:rsidR="00680B36">
        <w:rPr>
          <w:szCs w:val="22"/>
        </w:rPr>
        <w:t xml:space="preserve">are required </w:t>
      </w:r>
      <w:r w:rsidR="00B02E13">
        <w:rPr>
          <w:szCs w:val="22"/>
        </w:rPr>
        <w:t xml:space="preserve">under the Commission’s </w:t>
      </w:r>
      <w:r w:rsidR="00AB67AB">
        <w:rPr>
          <w:szCs w:val="22"/>
        </w:rPr>
        <w:t xml:space="preserve">rules </w:t>
      </w:r>
      <w:r w:rsidR="00680B36">
        <w:rPr>
          <w:szCs w:val="22"/>
        </w:rPr>
        <w:t xml:space="preserve">to </w:t>
      </w:r>
      <w:r w:rsidR="00634AA1">
        <w:rPr>
          <w:szCs w:val="22"/>
        </w:rPr>
        <w:t>notify</w:t>
      </w:r>
      <w:r w:rsidRPr="00225B62">
        <w:rPr>
          <w:szCs w:val="22"/>
        </w:rPr>
        <w:t xml:space="preserve"> viewers of their planned transition to digital.</w:t>
      </w:r>
      <w:r>
        <w:rPr>
          <w:rStyle w:val="FootnoteReference"/>
          <w:szCs w:val="22"/>
        </w:rPr>
        <w:footnoteReference w:id="17"/>
      </w:r>
      <w:r w:rsidRPr="00225B62">
        <w:rPr>
          <w:szCs w:val="22"/>
        </w:rPr>
        <w:t xml:space="preserve">  Stations </w:t>
      </w:r>
      <w:r w:rsidRPr="00225B62">
        <w:rPr>
          <w:szCs w:val="22"/>
        </w:rPr>
        <w:t>have the flexibility to determine the frequency, length, and content of their notifications.</w:t>
      </w:r>
      <w:r>
        <w:rPr>
          <w:rStyle w:val="FootnoteReference"/>
          <w:szCs w:val="22"/>
        </w:rPr>
        <w:footnoteReference w:id="18"/>
      </w:r>
      <w:r w:rsidRPr="00225B62">
        <w:rPr>
          <w:szCs w:val="22"/>
        </w:rPr>
        <w:t xml:space="preserve">  For those stations with the technical ability to locally originate programming,</w:t>
      </w:r>
      <w:r>
        <w:rPr>
          <w:rStyle w:val="FootnoteReference"/>
          <w:szCs w:val="22"/>
        </w:rPr>
        <w:footnoteReference w:id="19"/>
      </w:r>
      <w:r w:rsidRPr="00225B62">
        <w:rPr>
          <w:szCs w:val="22"/>
        </w:rPr>
        <w:t xml:space="preserve"> viewer notification must be done on the air at a time when the highest number of viewers are watching.</w:t>
      </w:r>
      <w:r>
        <w:rPr>
          <w:rStyle w:val="FootnoteReference"/>
          <w:szCs w:val="22"/>
        </w:rPr>
        <w:footnoteReference w:id="20"/>
      </w:r>
      <w:r w:rsidRPr="00225B62">
        <w:rPr>
          <w:szCs w:val="22"/>
        </w:rPr>
        <w:t xml:space="preserve">  For those stations that lack the technical ability to locally originate programming, or conclude that airing of viewer notifications would pose a hardship, they may notify viewers by some other reasonable means</w:t>
      </w:r>
      <w:r w:rsidR="00680B36">
        <w:rPr>
          <w:szCs w:val="22"/>
        </w:rPr>
        <w:t>.</w:t>
      </w:r>
      <w:r>
        <w:rPr>
          <w:rStyle w:val="FootnoteReference"/>
          <w:szCs w:val="22"/>
        </w:rPr>
        <w:footnoteReference w:id="21"/>
      </w:r>
    </w:p>
    <w:p w:rsidR="00EA226F" w:rsidP="00EA226F" w14:paraId="4026162C" w14:textId="51A46C7F">
      <w:pPr>
        <w:pStyle w:val="ParaNum0"/>
        <w:numPr>
          <w:ilvl w:val="0"/>
          <w:numId w:val="0"/>
        </w:numPr>
        <w:rPr>
          <w:b/>
          <w:bCs/>
          <w:szCs w:val="22"/>
          <w:u w:val="single"/>
        </w:rPr>
      </w:pPr>
      <w:r>
        <w:rPr>
          <w:b/>
          <w:bCs/>
          <w:szCs w:val="22"/>
          <w:u w:val="single"/>
        </w:rPr>
        <w:t>Additional</w:t>
      </w:r>
      <w:r w:rsidRPr="00EA226F">
        <w:rPr>
          <w:b/>
          <w:bCs/>
          <w:szCs w:val="22"/>
          <w:u w:val="single"/>
        </w:rPr>
        <w:t xml:space="preserve"> Information</w:t>
      </w:r>
      <w:r>
        <w:rPr>
          <w:b/>
          <w:bCs/>
          <w:szCs w:val="22"/>
          <w:u w:val="single"/>
        </w:rPr>
        <w:t xml:space="preserve"> or Questions</w:t>
      </w:r>
    </w:p>
    <w:p w:rsidR="00EA226F" w:rsidP="00EA226F" w14:paraId="7F79250D" w14:textId="09C7C758">
      <w:pPr>
        <w:pStyle w:val="ParaNum0"/>
        <w:numPr>
          <w:ilvl w:val="0"/>
          <w:numId w:val="0"/>
        </w:numPr>
        <w:ind w:firstLine="720"/>
        <w:rPr>
          <w:szCs w:val="22"/>
        </w:rPr>
      </w:pPr>
      <w:r w:rsidRPr="00EA226F">
        <w:rPr>
          <w:szCs w:val="22"/>
        </w:rPr>
        <w:t>For additional information or questions, please contact Mark Colombo (technical questions), Mark.Colombo@fcc.gov, (202) 418-7611, or Shaun Maher (legal questions), Shaun.Maher@fcc.gov, (202) 418-2324, of the Video Division, Media Bureau.</w:t>
      </w:r>
    </w:p>
    <w:p w:rsidR="00466BA3" w:rsidRPr="00FC5C42" w:rsidP="00304503" w14:paraId="50A225D0" w14:textId="4CE5FA99">
      <w:pPr>
        <w:pStyle w:val="ParaNum0"/>
        <w:numPr>
          <w:ilvl w:val="0"/>
          <w:numId w:val="0"/>
        </w:numPr>
        <w:jc w:val="center"/>
        <w:rPr>
          <w:szCs w:val="22"/>
        </w:rPr>
      </w:pPr>
      <w:r>
        <w:rPr>
          <w:b/>
          <w:bCs/>
          <w:szCs w:val="22"/>
        </w:rPr>
        <w:t>-FCC-</w:t>
      </w:r>
      <w:r>
        <w:rPr>
          <w:iCs/>
          <w:szCs w:val="22"/>
        </w:rPr>
        <w:br w:type="page"/>
      </w:r>
    </w:p>
    <w:p w:rsidR="00466BA3" w:rsidRPr="00225B62" w:rsidP="00466BA3" w14:paraId="77918C94" w14:textId="77777777">
      <w:pPr>
        <w:pStyle w:val="ListParagraph"/>
        <w:spacing w:before="120" w:after="240"/>
        <w:ind w:left="0"/>
        <w:jc w:val="center"/>
        <w:rPr>
          <w:b/>
          <w:szCs w:val="22"/>
        </w:rPr>
      </w:pPr>
      <w:r w:rsidRPr="00225B62">
        <w:rPr>
          <w:b/>
          <w:szCs w:val="22"/>
        </w:rPr>
        <w:t>APPENDIX</w:t>
      </w:r>
    </w:p>
    <w:p w:rsidR="00466BA3" w:rsidRPr="00225B62" w:rsidP="00466BA3" w14:paraId="25CAF8D0" w14:textId="77777777">
      <w:pPr>
        <w:spacing w:before="120" w:after="240"/>
        <w:contextualSpacing/>
        <w:jc w:val="center"/>
        <w:rPr>
          <w:b/>
          <w:szCs w:val="22"/>
        </w:rPr>
      </w:pPr>
      <w:r w:rsidRPr="00225B62">
        <w:rPr>
          <w:b/>
          <w:szCs w:val="22"/>
        </w:rPr>
        <w:t>INSTRUCTIONS FOR ACCESSING AND FILING ON LMS</w:t>
      </w:r>
    </w:p>
    <w:p w:rsidR="00466BA3" w:rsidRPr="00225B62" w:rsidP="00466BA3" w14:paraId="76B7FE87" w14:textId="77777777">
      <w:pPr>
        <w:spacing w:before="120" w:after="240"/>
        <w:contextualSpacing/>
        <w:jc w:val="center"/>
        <w:rPr>
          <w:b/>
          <w:szCs w:val="22"/>
        </w:rPr>
      </w:pPr>
    </w:p>
    <w:p w:rsidR="00466BA3" w:rsidRPr="00225B62" w:rsidP="00466BA3" w14:paraId="0BAC7F60" w14:textId="77777777">
      <w:pPr>
        <w:spacing w:before="120" w:after="240"/>
        <w:contextualSpacing/>
        <w:rPr>
          <w:b/>
          <w:szCs w:val="22"/>
          <w:u w:val="single"/>
        </w:rPr>
      </w:pPr>
      <w:r w:rsidRPr="00225B62">
        <w:rPr>
          <w:b/>
          <w:szCs w:val="22"/>
          <w:u w:val="single"/>
        </w:rPr>
        <w:t>General Log-in Instructions</w:t>
      </w:r>
    </w:p>
    <w:p w:rsidR="00466BA3" w:rsidP="00466BA3" w14:paraId="739F42F0" w14:textId="77777777">
      <w:pPr>
        <w:spacing w:before="120" w:after="240"/>
        <w:ind w:firstLine="720"/>
        <w:contextualSpacing/>
        <w:rPr>
          <w:szCs w:val="22"/>
          <w:lang w:eastAsia="x-none"/>
        </w:rPr>
      </w:pPr>
    </w:p>
    <w:p w:rsidR="00466BA3" w:rsidRPr="00225B62" w:rsidP="00466BA3" w14:paraId="3FD7F2D0" w14:textId="77777777">
      <w:pPr>
        <w:spacing w:before="120" w:after="240"/>
        <w:ind w:firstLine="720"/>
        <w:contextualSpacing/>
        <w:rPr>
          <w:szCs w:val="22"/>
        </w:rPr>
      </w:pPr>
      <w:r w:rsidRPr="00225B62">
        <w:rPr>
          <w:szCs w:val="22"/>
          <w:lang w:eastAsia="x-none"/>
        </w:rPr>
        <w:t>Access the LMS applicant data entry home page here:</w:t>
      </w:r>
    </w:p>
    <w:p w:rsidR="00466BA3" w:rsidRPr="00225B62" w:rsidP="00466BA3" w14:paraId="5A8AF8B1" w14:textId="77777777">
      <w:pPr>
        <w:spacing w:before="120" w:after="240"/>
        <w:contextualSpacing/>
        <w:jc w:val="center"/>
        <w:rPr>
          <w:szCs w:val="22"/>
        </w:rPr>
      </w:pPr>
    </w:p>
    <w:p w:rsidR="00466BA3" w:rsidRPr="00225B62" w:rsidP="00466BA3" w14:paraId="2073840E" w14:textId="77777777">
      <w:pPr>
        <w:spacing w:before="120" w:after="120"/>
        <w:contextualSpacing/>
        <w:jc w:val="center"/>
        <w:rPr>
          <w:szCs w:val="22"/>
          <w:u w:val="single"/>
        </w:rPr>
      </w:pPr>
      <w:hyperlink r:id="rId5" w:history="1">
        <w:r w:rsidRPr="00225B62">
          <w:rPr>
            <w:szCs w:val="22"/>
            <w:u w:val="single"/>
          </w:rPr>
          <w:t>https://enterpriseefiling.fcc.gov/dataentry/login.html</w:t>
        </w:r>
      </w:hyperlink>
    </w:p>
    <w:p w:rsidR="00466BA3" w:rsidRPr="00225B62" w:rsidP="00466BA3" w14:paraId="0A9DDA31" w14:textId="77777777">
      <w:pPr>
        <w:spacing w:before="120" w:after="120"/>
        <w:contextualSpacing/>
        <w:jc w:val="center"/>
        <w:rPr>
          <w:szCs w:val="22"/>
        </w:rPr>
      </w:pPr>
    </w:p>
    <w:p w:rsidR="00466BA3" w:rsidRPr="00225B62" w:rsidP="00466BA3" w14:paraId="64C839C1" w14:textId="46F3FED0">
      <w:pPr>
        <w:spacing w:before="120" w:after="240"/>
        <w:ind w:firstLine="720"/>
        <w:contextualSpacing/>
        <w:rPr>
          <w:szCs w:val="22"/>
        </w:rPr>
      </w:pPr>
      <w:r w:rsidRPr="00225B62">
        <w:rPr>
          <w:szCs w:val="22"/>
          <w:lang w:eastAsia="x-none"/>
        </w:rPr>
        <w:t>L</w:t>
      </w:r>
      <w:r w:rsidRPr="00225B62">
        <w:rPr>
          <w:szCs w:val="22"/>
          <w:lang w:val="x-none"/>
        </w:rPr>
        <w:t>ogin</w:t>
      </w:r>
      <w:r w:rsidRPr="00225B62">
        <w:rPr>
          <w:szCs w:val="22"/>
          <w:lang w:val="x-none"/>
        </w:rPr>
        <w:t xml:space="preserve"> using </w:t>
      </w:r>
      <w:r w:rsidRPr="00225B62">
        <w:rPr>
          <w:szCs w:val="22"/>
          <w:lang w:val="x-none" w:eastAsia="x-none"/>
        </w:rPr>
        <w:t>the</w:t>
      </w:r>
      <w:r w:rsidRPr="00225B62">
        <w:rPr>
          <w:szCs w:val="22"/>
          <w:lang w:val="x-none"/>
        </w:rPr>
        <w:t xml:space="preserve"> FRN </w:t>
      </w:r>
      <w:r w:rsidRPr="00225B62">
        <w:rPr>
          <w:szCs w:val="22"/>
          <w:lang w:val="x-none" w:eastAsia="x-none"/>
        </w:rPr>
        <w:t>associated with</w:t>
      </w:r>
      <w:r w:rsidRPr="00225B62">
        <w:rPr>
          <w:szCs w:val="22"/>
          <w:lang w:val="x-none"/>
        </w:rPr>
        <w:t xml:space="preserve"> the station.</w:t>
      </w:r>
      <w:r w:rsidRPr="00225B62">
        <w:rPr>
          <w:szCs w:val="22"/>
        </w:rPr>
        <w:t xml:space="preserve">  </w:t>
      </w:r>
    </w:p>
    <w:p w:rsidR="00466BA3" w:rsidRPr="00225B62" w:rsidP="00466BA3" w14:paraId="705C848A" w14:textId="77777777">
      <w:pPr>
        <w:spacing w:before="120" w:after="240"/>
        <w:ind w:firstLine="720"/>
        <w:contextualSpacing/>
        <w:rPr>
          <w:szCs w:val="22"/>
        </w:rPr>
      </w:pPr>
    </w:p>
    <w:p w:rsidR="00466BA3" w:rsidRPr="00225B62" w:rsidP="00466BA3" w14:paraId="2855A3C3" w14:textId="77777777">
      <w:pPr>
        <w:spacing w:before="120" w:after="240"/>
        <w:ind w:firstLine="720"/>
        <w:contextualSpacing/>
        <w:rPr>
          <w:szCs w:val="22"/>
        </w:rPr>
      </w:pPr>
      <w:r w:rsidRPr="00225B62">
        <w:rPr>
          <w:szCs w:val="22"/>
        </w:rPr>
        <w:t>For more information and help using the LMS system, contact: (877) 480-3201 TTY: (717) 333-2824.</w:t>
      </w:r>
    </w:p>
    <w:p w:rsidR="00466BA3" w:rsidRPr="00225B62" w:rsidP="00466BA3" w14:paraId="78782C9B" w14:textId="77777777">
      <w:pPr>
        <w:tabs>
          <w:tab w:val="left" w:pos="360"/>
        </w:tabs>
        <w:spacing w:before="120" w:after="240"/>
        <w:contextualSpacing/>
        <w:rPr>
          <w:szCs w:val="22"/>
          <w:u w:val="single"/>
        </w:rPr>
      </w:pPr>
    </w:p>
    <w:p w:rsidR="00466BA3" w:rsidRPr="0045542E" w:rsidP="00466BA3" w14:paraId="35541C10" w14:textId="77777777">
      <w:pPr>
        <w:tabs>
          <w:tab w:val="left" w:pos="360"/>
        </w:tabs>
        <w:spacing w:before="120" w:after="240"/>
        <w:ind w:left="720" w:hanging="720"/>
        <w:rPr>
          <w:b/>
          <w:bCs/>
          <w:szCs w:val="22"/>
          <w:u w:val="single"/>
        </w:rPr>
      </w:pPr>
      <w:r w:rsidRPr="0045542E">
        <w:rPr>
          <w:b/>
          <w:bCs/>
          <w:szCs w:val="22"/>
          <w:u w:val="single"/>
        </w:rPr>
        <w:t>Request to Cancel License</w:t>
      </w:r>
    </w:p>
    <w:p w:rsidR="00466BA3" w:rsidRPr="00225B62" w:rsidP="00466BA3" w14:paraId="76C55F10" w14:textId="77777777">
      <w:pPr>
        <w:tabs>
          <w:tab w:val="left" w:pos="360"/>
        </w:tabs>
        <w:spacing w:before="120" w:after="240"/>
        <w:ind w:left="720" w:hanging="720"/>
        <w:contextualSpacing/>
        <w:rPr>
          <w:szCs w:val="22"/>
        </w:rPr>
      </w:pPr>
      <w:r w:rsidRPr="00225B62">
        <w:rPr>
          <w:szCs w:val="22"/>
        </w:rPr>
        <w:t>1.</w:t>
      </w:r>
      <w:r w:rsidRPr="00225B62">
        <w:rPr>
          <w:szCs w:val="22"/>
        </w:rPr>
        <w:tab/>
        <w:t>Click on “Facility” tab on the left top of the page.</w:t>
      </w:r>
    </w:p>
    <w:p w:rsidR="00466BA3" w:rsidRPr="00225B62" w:rsidP="00466BA3" w14:paraId="0CDCCD12" w14:textId="77777777">
      <w:pPr>
        <w:tabs>
          <w:tab w:val="left" w:pos="360"/>
        </w:tabs>
        <w:spacing w:before="120" w:after="240"/>
        <w:ind w:left="720" w:hanging="720"/>
        <w:contextualSpacing/>
        <w:rPr>
          <w:szCs w:val="22"/>
        </w:rPr>
      </w:pPr>
      <w:r w:rsidRPr="00225B62">
        <w:rPr>
          <w:szCs w:val="22"/>
        </w:rPr>
        <w:t>2.</w:t>
      </w:r>
      <w:r w:rsidRPr="00225B62">
        <w:rPr>
          <w:szCs w:val="22"/>
        </w:rPr>
        <w:tab/>
        <w:t>Click on facility ID of the station.</w:t>
      </w:r>
    </w:p>
    <w:p w:rsidR="00466BA3" w:rsidRPr="00225B62" w:rsidP="00466BA3" w14:paraId="0DB3E084" w14:textId="77777777">
      <w:pPr>
        <w:tabs>
          <w:tab w:val="left" w:pos="360"/>
        </w:tabs>
        <w:spacing w:before="120" w:after="240"/>
        <w:ind w:left="720" w:hanging="720"/>
        <w:contextualSpacing/>
        <w:rPr>
          <w:szCs w:val="22"/>
        </w:rPr>
      </w:pPr>
      <w:r w:rsidRPr="00225B62">
        <w:rPr>
          <w:szCs w:val="22"/>
        </w:rPr>
        <w:t>3.</w:t>
      </w:r>
      <w:r w:rsidRPr="00225B62">
        <w:rPr>
          <w:szCs w:val="22"/>
        </w:rPr>
        <w:tab/>
        <w:t>Click on “File an Application” button.</w:t>
      </w:r>
    </w:p>
    <w:p w:rsidR="00466BA3" w:rsidRPr="00225B62" w:rsidP="00466BA3" w14:paraId="48B8EB8A" w14:textId="2ACBE8C0">
      <w:pPr>
        <w:tabs>
          <w:tab w:val="left" w:pos="360"/>
        </w:tabs>
        <w:spacing w:before="120" w:after="240"/>
        <w:ind w:left="720" w:hanging="720"/>
        <w:contextualSpacing/>
        <w:rPr>
          <w:szCs w:val="22"/>
        </w:rPr>
      </w:pPr>
      <w:r w:rsidRPr="00225B62">
        <w:rPr>
          <w:szCs w:val="22"/>
        </w:rPr>
        <w:t>4.</w:t>
      </w:r>
      <w:r w:rsidRPr="00225B62">
        <w:rPr>
          <w:szCs w:val="22"/>
        </w:rPr>
        <w:tab/>
        <w:t>Select “</w:t>
      </w:r>
      <w:r w:rsidR="007F2856">
        <w:rPr>
          <w:szCs w:val="22"/>
        </w:rPr>
        <w:t>Cancellation</w:t>
      </w:r>
      <w:r w:rsidRPr="00225B62">
        <w:rPr>
          <w:szCs w:val="22"/>
        </w:rPr>
        <w:t>” from the drop</w:t>
      </w:r>
      <w:r w:rsidR="0096126D">
        <w:rPr>
          <w:szCs w:val="22"/>
        </w:rPr>
        <w:t>-</w:t>
      </w:r>
      <w:r w:rsidRPr="00225B62">
        <w:rPr>
          <w:szCs w:val="22"/>
        </w:rPr>
        <w:t>down menu.</w:t>
      </w:r>
    </w:p>
    <w:p w:rsidR="00466BA3" w:rsidP="00466BA3" w14:paraId="7930E0D3" w14:textId="77777777">
      <w:pPr>
        <w:tabs>
          <w:tab w:val="left" w:pos="360"/>
        </w:tabs>
        <w:spacing w:before="120" w:after="240"/>
        <w:ind w:left="720" w:hanging="720"/>
        <w:contextualSpacing/>
        <w:rPr>
          <w:szCs w:val="22"/>
        </w:rPr>
      </w:pPr>
      <w:r w:rsidRPr="00225B62">
        <w:rPr>
          <w:szCs w:val="22"/>
        </w:rPr>
        <w:t>5.</w:t>
      </w:r>
      <w:r w:rsidRPr="00225B62">
        <w:rPr>
          <w:szCs w:val="22"/>
        </w:rPr>
        <w:tab/>
        <w:t>Complete the application and click “Submit.”</w:t>
      </w:r>
    </w:p>
    <w:p w:rsidR="00466BA3" w:rsidP="00466BA3" w14:paraId="632DFABB" w14:textId="77777777">
      <w:pPr>
        <w:tabs>
          <w:tab w:val="left" w:pos="360"/>
        </w:tabs>
        <w:spacing w:before="120" w:after="240"/>
        <w:ind w:left="720" w:hanging="720"/>
        <w:contextualSpacing/>
        <w:rPr>
          <w:szCs w:val="22"/>
        </w:rPr>
      </w:pPr>
    </w:p>
    <w:p w:rsidR="00466BA3" w:rsidRPr="000565B7" w:rsidP="00466BA3" w14:paraId="75F8D057" w14:textId="77777777">
      <w:pPr>
        <w:tabs>
          <w:tab w:val="left" w:pos="360"/>
        </w:tabs>
        <w:spacing w:before="120" w:after="240"/>
        <w:ind w:left="720" w:hanging="720"/>
        <w:rPr>
          <w:b/>
          <w:bCs/>
          <w:szCs w:val="22"/>
          <w:u w:val="single"/>
        </w:rPr>
      </w:pPr>
      <w:r w:rsidRPr="000565B7">
        <w:rPr>
          <w:b/>
          <w:bCs/>
          <w:szCs w:val="22"/>
          <w:u w:val="single"/>
        </w:rPr>
        <w:t>Engineering, Legal, and Silent STAs</w:t>
      </w:r>
    </w:p>
    <w:p w:rsidR="00466BA3" w:rsidRPr="00225B62" w:rsidP="00466BA3" w14:paraId="655D95D6" w14:textId="77777777">
      <w:pPr>
        <w:numPr>
          <w:ilvl w:val="0"/>
          <w:numId w:val="16"/>
        </w:numPr>
        <w:tabs>
          <w:tab w:val="left" w:pos="360"/>
        </w:tabs>
        <w:spacing w:before="120" w:after="240"/>
        <w:ind w:left="720"/>
        <w:contextualSpacing/>
        <w:rPr>
          <w:szCs w:val="22"/>
        </w:rPr>
      </w:pPr>
      <w:r w:rsidRPr="00225B62">
        <w:rPr>
          <w:szCs w:val="22"/>
        </w:rPr>
        <w:t xml:space="preserve">Click on “Facilities” tab on the left top of the page. </w:t>
      </w:r>
    </w:p>
    <w:p w:rsidR="00466BA3" w:rsidRPr="00225B62" w:rsidP="00466BA3" w14:paraId="524A12E0" w14:textId="77777777">
      <w:pPr>
        <w:numPr>
          <w:ilvl w:val="0"/>
          <w:numId w:val="16"/>
        </w:numPr>
        <w:tabs>
          <w:tab w:val="left" w:pos="360"/>
        </w:tabs>
        <w:spacing w:before="120" w:after="240"/>
        <w:ind w:left="720"/>
        <w:contextualSpacing/>
        <w:rPr>
          <w:szCs w:val="22"/>
        </w:rPr>
      </w:pPr>
      <w:r w:rsidRPr="00225B62">
        <w:rPr>
          <w:szCs w:val="22"/>
        </w:rPr>
        <w:t>Click on Facility ID of the station.</w:t>
      </w:r>
    </w:p>
    <w:p w:rsidR="00466BA3" w:rsidRPr="00225B62" w:rsidP="00466BA3" w14:paraId="7EC2F6EF" w14:textId="77777777">
      <w:pPr>
        <w:numPr>
          <w:ilvl w:val="0"/>
          <w:numId w:val="16"/>
        </w:numPr>
        <w:tabs>
          <w:tab w:val="left" w:pos="360"/>
        </w:tabs>
        <w:spacing w:before="120" w:after="240"/>
        <w:ind w:left="720"/>
        <w:contextualSpacing/>
        <w:rPr>
          <w:szCs w:val="22"/>
        </w:rPr>
      </w:pPr>
      <w:r w:rsidRPr="00225B62">
        <w:rPr>
          <w:szCs w:val="22"/>
        </w:rPr>
        <w:t>Click on “File an Application” button.</w:t>
      </w:r>
    </w:p>
    <w:p w:rsidR="00466BA3" w:rsidRPr="00225B62" w:rsidP="00466BA3" w14:paraId="18882DAE" w14:textId="6BACDA53">
      <w:pPr>
        <w:numPr>
          <w:ilvl w:val="0"/>
          <w:numId w:val="16"/>
        </w:numPr>
        <w:tabs>
          <w:tab w:val="left" w:pos="360"/>
        </w:tabs>
        <w:spacing w:before="120" w:after="240"/>
        <w:ind w:left="720"/>
        <w:contextualSpacing/>
        <w:rPr>
          <w:szCs w:val="22"/>
        </w:rPr>
      </w:pPr>
      <w:r w:rsidRPr="00225B62">
        <w:rPr>
          <w:szCs w:val="22"/>
        </w:rPr>
        <w:t>Select “STA – engineering, legal or silent” from the drop</w:t>
      </w:r>
      <w:r w:rsidR="0096126D">
        <w:rPr>
          <w:szCs w:val="22"/>
        </w:rPr>
        <w:t>-</w:t>
      </w:r>
      <w:r w:rsidRPr="00225B62">
        <w:rPr>
          <w:szCs w:val="22"/>
        </w:rPr>
        <w:t>down menu.</w:t>
      </w:r>
    </w:p>
    <w:p w:rsidR="00466BA3" w:rsidRPr="00225B62" w:rsidP="00466BA3" w14:paraId="3B4D339E" w14:textId="77777777">
      <w:pPr>
        <w:numPr>
          <w:ilvl w:val="0"/>
          <w:numId w:val="16"/>
        </w:numPr>
        <w:tabs>
          <w:tab w:val="left" w:pos="360"/>
        </w:tabs>
        <w:spacing w:before="120" w:after="240"/>
        <w:ind w:left="720"/>
        <w:contextualSpacing/>
        <w:rPr>
          <w:szCs w:val="22"/>
        </w:rPr>
      </w:pPr>
      <w:r w:rsidRPr="00225B62">
        <w:rPr>
          <w:szCs w:val="22"/>
        </w:rPr>
        <w:t>Complete the application and click “Submit.”</w:t>
      </w:r>
    </w:p>
    <w:p w:rsidR="00466BA3" w:rsidRPr="00225B62" w:rsidP="00466BA3" w14:paraId="1BC21236" w14:textId="77777777">
      <w:pPr>
        <w:tabs>
          <w:tab w:val="left" w:pos="360"/>
        </w:tabs>
        <w:ind w:left="720" w:hanging="720"/>
        <w:rPr>
          <w:szCs w:val="22"/>
        </w:rPr>
      </w:pPr>
    </w:p>
    <w:p w:rsidR="00466BA3" w:rsidRPr="000565B7" w:rsidP="00466BA3" w14:paraId="7F4164F9" w14:textId="77777777">
      <w:pPr>
        <w:tabs>
          <w:tab w:val="left" w:pos="360"/>
        </w:tabs>
        <w:spacing w:before="120" w:after="240"/>
        <w:ind w:left="720" w:hanging="720"/>
        <w:rPr>
          <w:b/>
          <w:bCs/>
          <w:szCs w:val="22"/>
          <w:u w:val="single"/>
        </w:rPr>
      </w:pPr>
      <w:r w:rsidRPr="000565B7">
        <w:rPr>
          <w:b/>
          <w:bCs/>
          <w:szCs w:val="22"/>
          <w:u w:val="single"/>
        </w:rPr>
        <w:t>Suspension of Operations Notification</w:t>
      </w:r>
    </w:p>
    <w:p w:rsidR="00466BA3" w:rsidRPr="00225B62" w:rsidP="00466BA3" w14:paraId="0ACBAFFA" w14:textId="77777777">
      <w:pPr>
        <w:numPr>
          <w:ilvl w:val="0"/>
          <w:numId w:val="15"/>
        </w:numPr>
        <w:tabs>
          <w:tab w:val="left" w:pos="360"/>
        </w:tabs>
        <w:spacing w:before="120" w:after="240"/>
        <w:ind w:left="720" w:hanging="720"/>
        <w:contextualSpacing/>
        <w:rPr>
          <w:szCs w:val="22"/>
        </w:rPr>
      </w:pPr>
      <w:r w:rsidRPr="00225B62">
        <w:rPr>
          <w:szCs w:val="22"/>
        </w:rPr>
        <w:t>Click on “Facility” tab on the left top of the page.</w:t>
      </w:r>
    </w:p>
    <w:p w:rsidR="00466BA3" w:rsidRPr="00225B62" w:rsidP="00466BA3" w14:paraId="432AC5B0" w14:textId="77777777">
      <w:pPr>
        <w:numPr>
          <w:ilvl w:val="0"/>
          <w:numId w:val="15"/>
        </w:numPr>
        <w:tabs>
          <w:tab w:val="left" w:pos="360"/>
        </w:tabs>
        <w:spacing w:before="120" w:after="240"/>
        <w:ind w:left="720" w:hanging="720"/>
        <w:contextualSpacing/>
        <w:rPr>
          <w:szCs w:val="22"/>
        </w:rPr>
      </w:pPr>
      <w:r w:rsidRPr="00225B62">
        <w:rPr>
          <w:szCs w:val="22"/>
        </w:rPr>
        <w:t>Click on facility ID of the station.</w:t>
      </w:r>
    </w:p>
    <w:p w:rsidR="00466BA3" w:rsidRPr="00225B62" w:rsidP="00466BA3" w14:paraId="5AEECFCC" w14:textId="77777777">
      <w:pPr>
        <w:numPr>
          <w:ilvl w:val="0"/>
          <w:numId w:val="15"/>
        </w:numPr>
        <w:tabs>
          <w:tab w:val="left" w:pos="360"/>
        </w:tabs>
        <w:spacing w:before="120" w:after="240"/>
        <w:ind w:left="720" w:hanging="720"/>
        <w:contextualSpacing/>
        <w:rPr>
          <w:szCs w:val="22"/>
        </w:rPr>
      </w:pPr>
      <w:r w:rsidRPr="00225B62">
        <w:rPr>
          <w:szCs w:val="22"/>
        </w:rPr>
        <w:t>Click on “File an Application” button.</w:t>
      </w:r>
    </w:p>
    <w:p w:rsidR="00466BA3" w:rsidRPr="00225B62" w:rsidP="00466BA3" w14:paraId="16A69D4E" w14:textId="6140946B">
      <w:pPr>
        <w:numPr>
          <w:ilvl w:val="0"/>
          <w:numId w:val="15"/>
        </w:numPr>
        <w:tabs>
          <w:tab w:val="left" w:pos="360"/>
        </w:tabs>
        <w:spacing w:before="120" w:after="240"/>
        <w:ind w:left="720" w:hanging="720"/>
        <w:contextualSpacing/>
        <w:rPr>
          <w:szCs w:val="22"/>
        </w:rPr>
      </w:pPr>
      <w:r w:rsidRPr="00225B62">
        <w:rPr>
          <w:szCs w:val="22"/>
        </w:rPr>
        <w:t>Select “Suspension of Operations Notification” from the drop</w:t>
      </w:r>
      <w:r w:rsidR="0096126D">
        <w:rPr>
          <w:szCs w:val="22"/>
        </w:rPr>
        <w:t>-</w:t>
      </w:r>
      <w:r w:rsidRPr="00225B62">
        <w:rPr>
          <w:szCs w:val="22"/>
        </w:rPr>
        <w:t>down menu.</w:t>
      </w:r>
    </w:p>
    <w:p w:rsidR="0046625D" w:rsidP="00FC5C42" w14:paraId="32FEA4F0" w14:textId="046AA6F4">
      <w:pPr>
        <w:numPr>
          <w:ilvl w:val="0"/>
          <w:numId w:val="15"/>
        </w:numPr>
        <w:tabs>
          <w:tab w:val="left" w:pos="360"/>
        </w:tabs>
        <w:spacing w:before="120" w:after="240"/>
        <w:ind w:left="720" w:hanging="720"/>
        <w:contextualSpacing/>
        <w:rPr>
          <w:szCs w:val="22"/>
        </w:rPr>
      </w:pPr>
      <w:r w:rsidRPr="00225B62">
        <w:rPr>
          <w:szCs w:val="22"/>
        </w:rPr>
        <w:t>Complete the application and click “Submit.”</w:t>
      </w:r>
    </w:p>
    <w:p w:rsidR="00FC5C42" w:rsidRPr="00FC5C42" w:rsidP="00FC5C42" w14:paraId="0A93A048" w14:textId="77777777">
      <w:pPr>
        <w:tabs>
          <w:tab w:val="left" w:pos="360"/>
        </w:tabs>
        <w:spacing w:before="120" w:after="240"/>
        <w:ind w:left="720"/>
        <w:contextualSpacing/>
        <w:rPr>
          <w:szCs w:val="22"/>
        </w:rPr>
      </w:pPr>
    </w:p>
    <w:p w:rsidR="00FC5C42" w:rsidRPr="00FC5C42" w:rsidP="00FC5C42" w14:paraId="15A7B11E" w14:textId="77777777">
      <w:pPr>
        <w:tabs>
          <w:tab w:val="left" w:pos="360"/>
        </w:tabs>
        <w:spacing w:before="120" w:after="120"/>
        <w:ind w:left="720" w:hanging="720"/>
        <w:rPr>
          <w:b/>
          <w:bCs/>
          <w:szCs w:val="22"/>
          <w:u w:val="single"/>
        </w:rPr>
      </w:pPr>
      <w:r w:rsidRPr="00FC5C42">
        <w:rPr>
          <w:b/>
          <w:bCs/>
          <w:szCs w:val="22"/>
          <w:u w:val="single"/>
        </w:rPr>
        <w:t>FCC Form 2100 – Schedule 337 – Application for Extension of Time</w:t>
      </w:r>
    </w:p>
    <w:p w:rsidR="00FC5C42" w:rsidRPr="00225B62" w:rsidP="00FC5C42" w14:paraId="5D4289F0" w14:textId="77777777">
      <w:pPr>
        <w:numPr>
          <w:ilvl w:val="0"/>
          <w:numId w:val="17"/>
        </w:numPr>
        <w:tabs>
          <w:tab w:val="left" w:pos="360"/>
        </w:tabs>
        <w:spacing w:before="120" w:after="240"/>
        <w:ind w:left="720" w:hanging="720"/>
        <w:contextualSpacing/>
        <w:rPr>
          <w:szCs w:val="22"/>
        </w:rPr>
      </w:pPr>
      <w:r w:rsidRPr="00225B62">
        <w:rPr>
          <w:szCs w:val="22"/>
        </w:rPr>
        <w:t>Click on “Authorization” tab on the left top of the page.</w:t>
      </w:r>
    </w:p>
    <w:p w:rsidR="00FC5C42" w:rsidRPr="00225B62" w:rsidP="00FC5C42" w14:paraId="5CB2A54F" w14:textId="77777777">
      <w:pPr>
        <w:numPr>
          <w:ilvl w:val="0"/>
          <w:numId w:val="17"/>
        </w:numPr>
        <w:tabs>
          <w:tab w:val="left" w:pos="360"/>
        </w:tabs>
        <w:spacing w:before="120" w:after="240"/>
        <w:ind w:left="720" w:hanging="720"/>
        <w:contextualSpacing/>
        <w:rPr>
          <w:szCs w:val="22"/>
        </w:rPr>
      </w:pPr>
      <w:r w:rsidRPr="00225B62">
        <w:rPr>
          <w:szCs w:val="22"/>
        </w:rPr>
        <w:t>Click on construction permit authorization.</w:t>
      </w:r>
    </w:p>
    <w:p w:rsidR="00FC5C42" w:rsidRPr="00225B62" w:rsidP="00FC5C42" w14:paraId="4C7CC1D5" w14:textId="77777777">
      <w:pPr>
        <w:numPr>
          <w:ilvl w:val="0"/>
          <w:numId w:val="17"/>
        </w:numPr>
        <w:tabs>
          <w:tab w:val="left" w:pos="360"/>
        </w:tabs>
        <w:spacing w:before="120" w:after="240"/>
        <w:ind w:left="720" w:hanging="720"/>
        <w:contextualSpacing/>
        <w:rPr>
          <w:szCs w:val="22"/>
        </w:rPr>
      </w:pPr>
      <w:r w:rsidRPr="00225B62">
        <w:rPr>
          <w:szCs w:val="22"/>
        </w:rPr>
        <w:t>Click on “File an Application” button.</w:t>
      </w:r>
    </w:p>
    <w:p w:rsidR="00FC5C42" w:rsidRPr="00225B62" w:rsidP="00FC5C42" w14:paraId="6924E510" w14:textId="058AA6DD">
      <w:pPr>
        <w:numPr>
          <w:ilvl w:val="0"/>
          <w:numId w:val="17"/>
        </w:numPr>
        <w:tabs>
          <w:tab w:val="left" w:pos="360"/>
        </w:tabs>
        <w:spacing w:before="120" w:after="240"/>
        <w:ind w:left="720" w:hanging="720"/>
        <w:contextualSpacing/>
        <w:rPr>
          <w:szCs w:val="22"/>
        </w:rPr>
      </w:pPr>
      <w:r w:rsidRPr="00225B62">
        <w:rPr>
          <w:szCs w:val="22"/>
        </w:rPr>
        <w:t>Select “</w:t>
      </w:r>
      <w:r w:rsidR="007F2856">
        <w:rPr>
          <w:szCs w:val="22"/>
        </w:rPr>
        <w:t>Extension of Construction Permit</w:t>
      </w:r>
      <w:r w:rsidRPr="00225B62">
        <w:rPr>
          <w:szCs w:val="22"/>
        </w:rPr>
        <w:t>” from the drop</w:t>
      </w:r>
      <w:r w:rsidR="0096126D">
        <w:rPr>
          <w:szCs w:val="22"/>
        </w:rPr>
        <w:t>-</w:t>
      </w:r>
      <w:r w:rsidRPr="00225B62">
        <w:rPr>
          <w:szCs w:val="22"/>
        </w:rPr>
        <w:t>down menu.</w:t>
      </w:r>
    </w:p>
    <w:p w:rsidR="00FC5C42" w:rsidRPr="00225B62" w:rsidP="00FC5C42" w14:paraId="47748B1A" w14:textId="77777777">
      <w:pPr>
        <w:numPr>
          <w:ilvl w:val="0"/>
          <w:numId w:val="17"/>
        </w:numPr>
        <w:tabs>
          <w:tab w:val="left" w:pos="360"/>
        </w:tabs>
        <w:ind w:left="720" w:hanging="720"/>
        <w:contextualSpacing/>
        <w:rPr>
          <w:szCs w:val="22"/>
        </w:rPr>
      </w:pPr>
      <w:r w:rsidRPr="00225B62">
        <w:rPr>
          <w:szCs w:val="22"/>
        </w:rPr>
        <w:t>Complete the application and click “Submit”</w:t>
      </w:r>
    </w:p>
    <w:p w:rsidR="00FC5C42" w:rsidRPr="00225B62" w:rsidP="00FC5C42" w14:paraId="5D093AB0" w14:textId="77777777">
      <w:pPr>
        <w:tabs>
          <w:tab w:val="left" w:pos="360"/>
        </w:tabs>
        <w:spacing w:before="120" w:after="240"/>
        <w:ind w:left="720" w:hanging="720"/>
        <w:contextualSpacing/>
        <w:rPr>
          <w:szCs w:val="22"/>
        </w:rPr>
      </w:pPr>
    </w:p>
    <w:p w:rsidR="00FC5C42" w:rsidRPr="00FC5C42" w:rsidP="00FC5C42" w14:paraId="461D4E66" w14:textId="77777777">
      <w:pPr>
        <w:tabs>
          <w:tab w:val="left" w:pos="360"/>
        </w:tabs>
        <w:spacing w:before="120" w:after="240"/>
        <w:ind w:left="720" w:hanging="720"/>
        <w:rPr>
          <w:b/>
          <w:bCs/>
          <w:szCs w:val="22"/>
          <w:u w:val="single"/>
        </w:rPr>
      </w:pPr>
      <w:r w:rsidRPr="00FC5C42">
        <w:rPr>
          <w:b/>
          <w:bCs/>
          <w:szCs w:val="22"/>
          <w:u w:val="single"/>
        </w:rPr>
        <w:t>FCC Form 2100 – Schedule Tolling – Application for Tolling or Waiver of Tolling Rule</w:t>
      </w:r>
    </w:p>
    <w:p w:rsidR="00FC5C42" w:rsidRPr="00225B62" w:rsidP="00FC5C42" w14:paraId="6D557E70" w14:textId="77777777">
      <w:pPr>
        <w:pStyle w:val="ParaNum0"/>
        <w:numPr>
          <w:ilvl w:val="0"/>
          <w:numId w:val="0"/>
        </w:numPr>
        <w:tabs>
          <w:tab w:val="left" w:pos="360"/>
        </w:tabs>
        <w:spacing w:after="0"/>
        <w:ind w:left="720" w:hanging="720"/>
        <w:rPr>
          <w:szCs w:val="22"/>
        </w:rPr>
      </w:pPr>
      <w:r w:rsidRPr="00225B62">
        <w:rPr>
          <w:szCs w:val="22"/>
        </w:rPr>
        <w:t>1.</w:t>
      </w:r>
      <w:r w:rsidRPr="00225B62">
        <w:rPr>
          <w:szCs w:val="22"/>
        </w:rPr>
        <w:tab/>
        <w:t>Click on “Authorizations” tab on the left top of the page.</w:t>
      </w:r>
    </w:p>
    <w:p w:rsidR="00FC5C42" w:rsidRPr="00225B62" w:rsidP="00FC5C42" w14:paraId="03E0714C" w14:textId="77777777">
      <w:pPr>
        <w:pStyle w:val="ParaNum0"/>
        <w:numPr>
          <w:ilvl w:val="0"/>
          <w:numId w:val="0"/>
        </w:numPr>
        <w:tabs>
          <w:tab w:val="left" w:pos="360"/>
        </w:tabs>
        <w:spacing w:after="0"/>
        <w:ind w:left="720" w:hanging="720"/>
        <w:rPr>
          <w:szCs w:val="22"/>
        </w:rPr>
      </w:pPr>
      <w:r w:rsidRPr="00225B62">
        <w:rPr>
          <w:szCs w:val="22"/>
        </w:rPr>
        <w:t>2.</w:t>
      </w:r>
      <w:r w:rsidRPr="00225B62">
        <w:rPr>
          <w:szCs w:val="22"/>
        </w:rPr>
        <w:tab/>
        <w:t>Click on construction permit authorization.</w:t>
      </w:r>
    </w:p>
    <w:p w:rsidR="00FC5C42" w:rsidRPr="00225B62" w:rsidP="00FC5C42" w14:paraId="54672595" w14:textId="77777777">
      <w:pPr>
        <w:pStyle w:val="ParaNum0"/>
        <w:numPr>
          <w:ilvl w:val="0"/>
          <w:numId w:val="0"/>
        </w:numPr>
        <w:tabs>
          <w:tab w:val="left" w:pos="360"/>
          <w:tab w:val="left" w:pos="720"/>
          <w:tab w:val="left" w:pos="1440"/>
          <w:tab w:val="left" w:pos="2160"/>
          <w:tab w:val="left" w:pos="2880"/>
          <w:tab w:val="left" w:pos="3600"/>
          <w:tab w:val="left" w:pos="4260"/>
        </w:tabs>
        <w:spacing w:after="0"/>
        <w:ind w:left="720" w:hanging="720"/>
        <w:rPr>
          <w:szCs w:val="22"/>
        </w:rPr>
      </w:pPr>
      <w:r w:rsidRPr="00225B62">
        <w:rPr>
          <w:szCs w:val="22"/>
        </w:rPr>
        <w:t>3.</w:t>
      </w:r>
      <w:r w:rsidRPr="00225B62">
        <w:rPr>
          <w:szCs w:val="22"/>
        </w:rPr>
        <w:tab/>
        <w:t>Select “File an Application” button.</w:t>
      </w:r>
      <w:r w:rsidRPr="00225B62">
        <w:rPr>
          <w:szCs w:val="22"/>
        </w:rPr>
        <w:tab/>
      </w:r>
    </w:p>
    <w:p w:rsidR="00FC5C42" w:rsidRPr="00225B62" w:rsidP="00FC5C42" w14:paraId="1419AF15" w14:textId="33302588">
      <w:pPr>
        <w:pStyle w:val="ParaNum0"/>
        <w:numPr>
          <w:ilvl w:val="0"/>
          <w:numId w:val="0"/>
        </w:numPr>
        <w:tabs>
          <w:tab w:val="left" w:pos="360"/>
        </w:tabs>
        <w:spacing w:after="0"/>
        <w:ind w:left="720" w:hanging="720"/>
        <w:rPr>
          <w:szCs w:val="22"/>
        </w:rPr>
      </w:pPr>
      <w:r w:rsidRPr="00225B62">
        <w:rPr>
          <w:szCs w:val="22"/>
        </w:rPr>
        <w:t>4.</w:t>
      </w:r>
      <w:r w:rsidRPr="00225B62">
        <w:rPr>
          <w:szCs w:val="22"/>
        </w:rPr>
        <w:tab/>
        <w:t>Select “Tolling” from the drop</w:t>
      </w:r>
      <w:r w:rsidR="0096126D">
        <w:rPr>
          <w:szCs w:val="22"/>
        </w:rPr>
        <w:t>-</w:t>
      </w:r>
      <w:r w:rsidRPr="00225B62">
        <w:rPr>
          <w:szCs w:val="22"/>
        </w:rPr>
        <w:t>down menu.</w:t>
      </w:r>
    </w:p>
    <w:p w:rsidR="00FC5C42" w:rsidRPr="00FC5C42" w:rsidP="00FC5C42" w14:paraId="3F82BD5F" w14:textId="5C78A220">
      <w:pPr>
        <w:pStyle w:val="ParaNum0"/>
        <w:numPr>
          <w:ilvl w:val="0"/>
          <w:numId w:val="0"/>
        </w:numPr>
        <w:tabs>
          <w:tab w:val="left" w:pos="360"/>
        </w:tabs>
        <w:spacing w:after="0"/>
        <w:ind w:left="720" w:hanging="720"/>
        <w:rPr>
          <w:szCs w:val="22"/>
        </w:rPr>
      </w:pPr>
      <w:r w:rsidRPr="00225B62">
        <w:rPr>
          <w:szCs w:val="22"/>
        </w:rPr>
        <w:t>5.</w:t>
      </w:r>
      <w:r w:rsidRPr="00225B62">
        <w:rPr>
          <w:szCs w:val="22"/>
        </w:rPr>
        <w:tab/>
        <w:t>Complete the application and click “Submit.”</w:t>
      </w:r>
    </w:p>
    <w:sectPr w:rsidSect="001B101F">
      <w:headerReference w:type="default" r:id="rId6"/>
      <w:footerReference w:type="default" r:id="rId7"/>
      <w:headerReference w:type="first" r:id="rId8"/>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P="00F5174D" w14:paraId="7437143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10765" w14:paraId="68B9D1D9" w14:textId="77777777">
      <w:r>
        <w:separator/>
      </w:r>
    </w:p>
  </w:footnote>
  <w:footnote w:type="continuationSeparator" w:id="1">
    <w:p w:rsidR="00110765" w14:paraId="10D8BF5D" w14:textId="77777777">
      <w:r>
        <w:continuationSeparator/>
      </w:r>
    </w:p>
  </w:footnote>
  <w:footnote w:type="continuationNotice" w:id="2">
    <w:p w:rsidR="00110765" w:rsidRPr="00A574E4" w:rsidP="00A574E4" w14:paraId="296EBB45" w14:textId="77777777">
      <w:pPr>
        <w:pStyle w:val="Footer"/>
      </w:pPr>
    </w:p>
  </w:footnote>
  <w:footnote w:id="3">
    <w:p w:rsidR="00CF3F16" w:rsidRPr="00CF3F16" w14:paraId="73493003" w14:textId="2477994A">
      <w:pPr>
        <w:pStyle w:val="FootnoteText"/>
      </w:pPr>
      <w:r>
        <w:rPr>
          <w:rStyle w:val="FootnoteReference"/>
        </w:rPr>
        <w:footnoteRef/>
      </w:r>
      <w:r>
        <w:t xml:space="preserve"> </w:t>
      </w:r>
      <w:r>
        <w:rPr>
          <w:i/>
          <w:iCs/>
        </w:rPr>
        <w:t>See</w:t>
      </w:r>
      <w:r>
        <w:t xml:space="preserve"> </w:t>
      </w:r>
      <w:r w:rsidR="001618AD">
        <w:t xml:space="preserve">47 CFR § 74.731(m); </w:t>
      </w:r>
      <w:r w:rsidR="001618AD">
        <w:rPr>
          <w:i/>
          <w:iCs/>
        </w:rPr>
        <w:t xml:space="preserve">see also </w:t>
      </w:r>
      <w:r w:rsidRPr="00225B62" w:rsidR="00FE218A">
        <w:rPr>
          <w:i/>
        </w:rPr>
        <w:t>Amendment of Parts 73 and 74 of the Commission’s Rules to Establish Rules for Digital Low Power Television and Television Translator Stations,</w:t>
      </w:r>
      <w:r w:rsidRPr="00225B62" w:rsidR="00FE218A">
        <w:t xml:space="preserve"> MB Docket No. 03-185, Third Report and Order and Fourth Notice of Proposed Rulemaking, 30 FCC </w:t>
      </w:r>
      <w:r w:rsidRPr="00225B62" w:rsidR="00FE218A">
        <w:t>Rcd</w:t>
      </w:r>
      <w:r w:rsidRPr="00225B62" w:rsidR="00FE218A">
        <w:t xml:space="preserve"> 14927, </w:t>
      </w:r>
      <w:r w:rsidR="00FE218A">
        <w:t>14932-33, para. 9</w:t>
      </w:r>
      <w:r w:rsidRPr="00225B62" w:rsidR="00FE218A">
        <w:t xml:space="preserve"> (2015) (</w:t>
      </w:r>
      <w:r w:rsidRPr="00225B62" w:rsidR="00FE218A">
        <w:rPr>
          <w:i/>
        </w:rPr>
        <w:t>LPTV DTV Third R&amp;O</w:t>
      </w:r>
      <w:r w:rsidRPr="00225B62" w:rsidR="00FE218A">
        <w:t>).</w:t>
      </w:r>
      <w:r w:rsidRPr="00FE218A" w:rsidR="00FE218A">
        <w:t xml:space="preserve">  In that decision, the Commission extended the LPTV digital transition date until 12 months following the completion of the 39-month post-</w:t>
      </w:r>
      <w:r w:rsidR="00FE218A">
        <w:t>I</w:t>
      </w:r>
      <w:r w:rsidRPr="00FE218A" w:rsidR="00FE218A">
        <w:t xml:space="preserve">ncentive </w:t>
      </w:r>
      <w:r w:rsidR="00FE218A">
        <w:t>A</w:t>
      </w:r>
      <w:r w:rsidRPr="00FE218A" w:rsidR="00FE218A">
        <w:t xml:space="preserve">uction transition period or 51 months from the completion of the </w:t>
      </w:r>
      <w:r w:rsidR="00FE218A">
        <w:t>I</w:t>
      </w:r>
      <w:r w:rsidRPr="00FE218A" w:rsidR="00FE218A">
        <w:t xml:space="preserve">ncentive </w:t>
      </w:r>
      <w:r w:rsidR="00FE218A">
        <w:t>A</w:t>
      </w:r>
      <w:r w:rsidRPr="00FE218A" w:rsidR="00FE218A">
        <w:t xml:space="preserve">uction and the release of the </w:t>
      </w:r>
      <w:r w:rsidR="00FE218A">
        <w:rPr>
          <w:i/>
          <w:iCs/>
        </w:rPr>
        <w:t>C</w:t>
      </w:r>
      <w:r w:rsidRPr="00FE218A" w:rsidR="00FE218A">
        <w:rPr>
          <w:i/>
          <w:iCs/>
        </w:rPr>
        <w:t xml:space="preserve">losing and </w:t>
      </w:r>
      <w:r w:rsidR="00FE218A">
        <w:rPr>
          <w:i/>
          <w:iCs/>
        </w:rPr>
        <w:t>C</w:t>
      </w:r>
      <w:r w:rsidRPr="00FE218A" w:rsidR="00FE218A">
        <w:rPr>
          <w:i/>
          <w:iCs/>
        </w:rPr>
        <w:t xml:space="preserve">hannel </w:t>
      </w:r>
      <w:r w:rsidR="00FE218A">
        <w:rPr>
          <w:i/>
          <w:iCs/>
        </w:rPr>
        <w:t>Re</w:t>
      </w:r>
      <w:r w:rsidRPr="00FE218A" w:rsidR="00FE218A">
        <w:rPr>
          <w:i/>
          <w:iCs/>
        </w:rPr>
        <w:t>assig</w:t>
      </w:r>
      <w:r w:rsidR="00FE218A">
        <w:rPr>
          <w:i/>
          <w:iCs/>
        </w:rPr>
        <w:t>n</w:t>
      </w:r>
      <w:r w:rsidRPr="00FE218A" w:rsidR="00FE218A">
        <w:rPr>
          <w:i/>
          <w:iCs/>
        </w:rPr>
        <w:t xml:space="preserve">ment </w:t>
      </w:r>
      <w:r w:rsidR="00FE218A">
        <w:rPr>
          <w:i/>
          <w:iCs/>
        </w:rPr>
        <w:t>P</w:t>
      </w:r>
      <w:r w:rsidRPr="00FE218A" w:rsidR="00FE218A">
        <w:rPr>
          <w:i/>
          <w:iCs/>
        </w:rPr>
        <w:t xml:space="preserve">ublic </w:t>
      </w:r>
      <w:r w:rsidR="00FE218A">
        <w:rPr>
          <w:i/>
          <w:iCs/>
        </w:rPr>
        <w:t>N</w:t>
      </w:r>
      <w:r w:rsidRPr="00FE218A" w:rsidR="00FE218A">
        <w:rPr>
          <w:i/>
          <w:iCs/>
        </w:rPr>
        <w:t>otice</w:t>
      </w:r>
      <w:r w:rsidRPr="00FE218A" w:rsidR="00FE218A">
        <w:t xml:space="preserve">. </w:t>
      </w:r>
      <w:r w:rsidR="00FE218A">
        <w:rPr>
          <w:i/>
          <w:iCs/>
        </w:rPr>
        <w:t xml:space="preserve">Id.  See </w:t>
      </w:r>
      <w:r w:rsidRPr="00225B62" w:rsidR="00FE218A">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rsidR="00FE218A">
        <w:t xml:space="preserve">, </w:t>
      </w:r>
      <w:r w:rsidR="009E5E2A">
        <w:t xml:space="preserve">Public Notice, </w:t>
      </w:r>
      <w:r w:rsidR="00FE218A">
        <w:t xml:space="preserve">32 FCC </w:t>
      </w:r>
      <w:r w:rsidR="00FE218A">
        <w:t>Rcd</w:t>
      </w:r>
      <w:r w:rsidR="00FE218A">
        <w:t xml:space="preserve"> 2786 (IATF and MB 2018)</w:t>
      </w:r>
      <w:r w:rsidRPr="00225B62" w:rsidR="00FE218A">
        <w:t xml:space="preserve"> (</w:t>
      </w:r>
      <w:r w:rsidRPr="00225B62" w:rsidR="00FE218A">
        <w:rPr>
          <w:i/>
        </w:rPr>
        <w:t>Closing and Channel Reassignment Public Notice</w:t>
      </w:r>
      <w:r w:rsidR="00FE218A">
        <w:rPr>
          <w:iCs/>
        </w:rPr>
        <w:t xml:space="preserve">).  </w:t>
      </w:r>
      <w:r w:rsidRPr="00FE218A" w:rsidR="00FE218A">
        <w:t xml:space="preserve">Given the April 13, 2017 release date of the </w:t>
      </w:r>
      <w:r w:rsidRPr="00FE218A" w:rsidR="00FE218A">
        <w:rPr>
          <w:i/>
          <w:iCs/>
        </w:rPr>
        <w:t>Closing and Channel Reassignment Public Notice</w:t>
      </w:r>
      <w:r w:rsidRPr="00FE218A" w:rsidR="00FE218A">
        <w:t xml:space="preserve">, the LPTV digital transition date is </w:t>
      </w:r>
      <w:r w:rsidRPr="00FE218A" w:rsidR="00FE218A">
        <w:rPr>
          <w:b/>
          <w:bCs/>
        </w:rPr>
        <w:t>July 13, 2021</w:t>
      </w:r>
      <w:r w:rsidRPr="00FE218A" w:rsidR="00FE218A">
        <w:t>.</w:t>
      </w:r>
    </w:p>
  </w:footnote>
  <w:footnote w:id="4">
    <w:p w:rsidR="00CE7D82" w14:paraId="49C411F7" w14:textId="2CF12BEC">
      <w:pPr>
        <w:pStyle w:val="FootnoteText"/>
      </w:pPr>
      <w:r>
        <w:rPr>
          <w:rStyle w:val="FootnoteReference"/>
        </w:rPr>
        <w:footnoteRef/>
      </w:r>
      <w:r>
        <w:t xml:space="preserve"> </w:t>
      </w:r>
      <w:r w:rsidRPr="00CE7D82">
        <w:t xml:space="preserve">Because </w:t>
      </w:r>
      <w:r>
        <w:t xml:space="preserve">the deadline for filing an extension application, March 13, 2021, </w:t>
      </w:r>
      <w:r w:rsidRPr="00CE7D82">
        <w:t>falls on</w:t>
      </w:r>
      <w:r>
        <w:t xml:space="preserve"> a Saturday</w:t>
      </w:r>
      <w:r w:rsidRPr="00CE7D82">
        <w:t xml:space="preserve">, we will extend the </w:t>
      </w:r>
      <w:r>
        <w:t xml:space="preserve">deadline to </w:t>
      </w:r>
      <w:r w:rsidRPr="00CE7D82">
        <w:t>the next business day, Monday,</w:t>
      </w:r>
      <w:r>
        <w:t xml:space="preserve"> March 15, 2021</w:t>
      </w:r>
      <w:r w:rsidRPr="00CE7D82">
        <w:t xml:space="preserve">. </w:t>
      </w:r>
      <w:r w:rsidRPr="00CE7D82">
        <w:rPr>
          <w:i/>
          <w:iCs/>
        </w:rPr>
        <w:t>See</w:t>
      </w:r>
      <w:r w:rsidRPr="00CE7D82">
        <w:t xml:space="preserve"> 47 CFR 1.4.</w:t>
      </w:r>
    </w:p>
  </w:footnote>
  <w:footnote w:id="5">
    <w:p w:rsidR="00F84F13" w:rsidRPr="001618AD" w:rsidP="00F84F13" w14:paraId="32BBA868" w14:textId="75D683C1">
      <w:pPr>
        <w:pStyle w:val="FootnoteText"/>
        <w:rPr>
          <w:iCs/>
        </w:rPr>
      </w:pPr>
      <w:r w:rsidRPr="00225B62">
        <w:rPr>
          <w:rStyle w:val="FootnoteReference"/>
        </w:rPr>
        <w:footnoteRef/>
      </w:r>
      <w:r w:rsidRPr="00225B62">
        <w:t xml:space="preserve"> </w:t>
      </w:r>
      <w:r w:rsidRPr="001618AD" w:rsidR="001618AD">
        <w:rPr>
          <w:i/>
          <w:iCs/>
        </w:rPr>
        <w:t xml:space="preserve">See </w:t>
      </w:r>
      <w:r w:rsidR="001618AD">
        <w:t>47 CFR § 74.</w:t>
      </w:r>
      <w:r w:rsidRPr="001618AD" w:rsidR="001618AD">
        <w:t>788</w:t>
      </w:r>
      <w:r w:rsidR="001618AD">
        <w:rPr>
          <w:iCs/>
        </w:rPr>
        <w:t>(c)(3).</w:t>
      </w:r>
      <w:r w:rsidR="00304503">
        <w:rPr>
          <w:iCs/>
        </w:rPr>
        <w:t xml:space="preserve">  We note that t</w:t>
      </w:r>
      <w:r w:rsidRPr="00304503" w:rsidR="00304503">
        <w:rPr>
          <w:iCs/>
        </w:rPr>
        <w:t xml:space="preserve">he digital transition date adopted in the </w:t>
      </w:r>
      <w:r w:rsidRPr="00304503" w:rsidR="00304503">
        <w:rPr>
          <w:i/>
        </w:rPr>
        <w:t>LPTV DTV Third R&amp;O</w:t>
      </w:r>
      <w:r w:rsidRPr="00304503" w:rsidR="00304503">
        <w:rPr>
          <w:iCs/>
        </w:rPr>
        <w:t xml:space="preserve"> applies to (1) digital construction permits held by analog LPTV</w:t>
      </w:r>
      <w:r w:rsidR="00304503">
        <w:rPr>
          <w:iCs/>
        </w:rPr>
        <w:t>/</w:t>
      </w:r>
      <w:r w:rsidRPr="00304503" w:rsidR="00304503">
        <w:rPr>
          <w:iCs/>
        </w:rPr>
        <w:t>translator stations transitioning to digital; and (2) construction permits for new digital LPTV</w:t>
      </w:r>
      <w:r w:rsidR="00304503">
        <w:rPr>
          <w:iCs/>
        </w:rPr>
        <w:t>/</w:t>
      </w:r>
      <w:r w:rsidRPr="00304503" w:rsidR="00304503">
        <w:rPr>
          <w:iCs/>
        </w:rPr>
        <w:t>translator stations.  The digital transition date does not apply to construction permits to modify already licensed digital LPT</w:t>
      </w:r>
      <w:r w:rsidR="00304503">
        <w:rPr>
          <w:iCs/>
        </w:rPr>
        <w:t>V/</w:t>
      </w:r>
      <w:r w:rsidRPr="00304503" w:rsidR="00304503">
        <w:rPr>
          <w:iCs/>
        </w:rPr>
        <w:t xml:space="preserve">translator stations or to construction permits for </w:t>
      </w:r>
      <w:r w:rsidR="00304503">
        <w:rPr>
          <w:iCs/>
        </w:rPr>
        <w:t xml:space="preserve">analog to </w:t>
      </w:r>
      <w:r w:rsidRPr="00304503" w:rsidR="00304503">
        <w:rPr>
          <w:iCs/>
        </w:rPr>
        <w:t xml:space="preserve">digital </w:t>
      </w:r>
      <w:r w:rsidR="00304503">
        <w:rPr>
          <w:iCs/>
        </w:rPr>
        <w:t xml:space="preserve">or digital to digital </w:t>
      </w:r>
      <w:r w:rsidRPr="00304503" w:rsidR="00304503">
        <w:rPr>
          <w:iCs/>
        </w:rPr>
        <w:t xml:space="preserve">replacement translators.  </w:t>
      </w:r>
      <w:r w:rsidR="00304503">
        <w:rPr>
          <w:i/>
        </w:rPr>
        <w:t xml:space="preserve">See </w:t>
      </w:r>
      <w:r w:rsidRPr="00304503" w:rsidR="00304503">
        <w:rPr>
          <w:i/>
        </w:rPr>
        <w:t>LPTV DTV Third R&amp;O</w:t>
      </w:r>
      <w:r w:rsidR="00304503">
        <w:rPr>
          <w:iCs/>
        </w:rPr>
        <w:t xml:space="preserve">, 30 FCC </w:t>
      </w:r>
      <w:r w:rsidR="00304503">
        <w:rPr>
          <w:iCs/>
        </w:rPr>
        <w:t>Rcd</w:t>
      </w:r>
      <w:r w:rsidR="00304503">
        <w:rPr>
          <w:iCs/>
        </w:rPr>
        <w:t xml:space="preserve"> at 14929, n. 17. </w:t>
      </w:r>
      <w:r w:rsidR="009F0F33">
        <w:rPr>
          <w:iCs/>
        </w:rPr>
        <w:t xml:space="preserve"> </w:t>
      </w:r>
      <w:r w:rsidRPr="00304503" w:rsidR="00304503">
        <w:rPr>
          <w:iCs/>
        </w:rPr>
        <w:t xml:space="preserve">Those construction permits are issued for a standard three-year construction period.  </w:t>
      </w:r>
      <w:r w:rsidRPr="00304503" w:rsidR="00304503">
        <w:rPr>
          <w:i/>
        </w:rPr>
        <w:t>See</w:t>
      </w:r>
      <w:r w:rsidRPr="00304503" w:rsidR="00304503">
        <w:rPr>
          <w:iCs/>
        </w:rPr>
        <w:t xml:space="preserve"> 47 C.F.R. § 73.3598(a).</w:t>
      </w:r>
    </w:p>
  </w:footnote>
  <w:footnote w:id="6">
    <w:p w:rsidR="00B07503" w:rsidRPr="00225B62" w:rsidP="00B07503" w14:paraId="0B7ECB7C" w14:textId="77777777">
      <w:pPr>
        <w:pStyle w:val="FootnoteText"/>
      </w:pPr>
      <w:r w:rsidRPr="00225B62">
        <w:rPr>
          <w:rStyle w:val="FootnoteReference"/>
        </w:rPr>
        <w:footnoteRef/>
      </w:r>
      <w:r w:rsidRPr="00225B62">
        <w:t xml:space="preserve"> </w:t>
      </w:r>
      <w:r w:rsidRPr="00225B62">
        <w:rPr>
          <w:i/>
        </w:rPr>
        <w:t>Id.</w:t>
      </w:r>
    </w:p>
  </w:footnote>
  <w:footnote w:id="7">
    <w:p w:rsidR="00B07503" w:rsidRPr="00225B62" w:rsidP="00B07503" w14:paraId="1A510979" w14:textId="77777777">
      <w:pPr>
        <w:pStyle w:val="FootnoteText"/>
      </w:pPr>
      <w:r w:rsidRPr="00225B62">
        <w:rPr>
          <w:rStyle w:val="FootnoteReference"/>
        </w:rPr>
        <w:footnoteRef/>
      </w:r>
      <w:r w:rsidRPr="00225B62">
        <w:t xml:space="preserve"> </w:t>
      </w:r>
      <w:r w:rsidRPr="00225B62">
        <w:rPr>
          <w:i/>
        </w:rPr>
        <w:t>Id.</w:t>
      </w:r>
      <w:r w:rsidRPr="00225B62">
        <w:t xml:space="preserve"> </w:t>
      </w:r>
    </w:p>
  </w:footnote>
  <w:footnote w:id="8">
    <w:p w:rsidR="00B07503" w:rsidRPr="00225B62" w:rsidP="00B07503" w14:paraId="59CBFAF3" w14:textId="7904599F">
      <w:pPr>
        <w:pStyle w:val="FootnoteText"/>
      </w:pPr>
      <w:r w:rsidRPr="00225B62">
        <w:rPr>
          <w:rStyle w:val="FootnoteReference"/>
        </w:rPr>
        <w:footnoteRef/>
      </w:r>
      <w:r w:rsidRPr="00225B62">
        <w:t xml:space="preserve"> </w:t>
      </w:r>
      <w:r w:rsidRPr="00225B62">
        <w:rPr>
          <w:i/>
        </w:rPr>
        <w:t>See</w:t>
      </w:r>
      <w:r w:rsidRPr="00225B62">
        <w:t xml:space="preserve"> 47 CFR § 73.3598(b).</w:t>
      </w:r>
      <w:r w:rsidRPr="00225B62">
        <w:rPr>
          <w:i/>
        </w:rPr>
        <w:t xml:space="preserve">  </w:t>
      </w:r>
      <w:r w:rsidRPr="00225B62">
        <w:t xml:space="preserve">We note that the Section 73.3598(b) tolling standard does not provide relief for financial hardship, except that paragraph (b)(2) would toll the construction deadline for a station that could not build because of a pending bankruptcy court action.  </w:t>
      </w:r>
      <w:r w:rsidRPr="00225B62">
        <w:rPr>
          <w:i/>
        </w:rPr>
        <w:t>See</w:t>
      </w:r>
      <w:r w:rsidRPr="00225B62">
        <w:t xml:space="preserve"> </w:t>
      </w:r>
      <w:r w:rsidRPr="00225B62">
        <w:rPr>
          <w:i/>
        </w:rPr>
        <w:t>Implementation of the DTV Delay Act</w:t>
      </w:r>
      <w:r w:rsidRPr="00225B62">
        <w:t xml:space="preserve">, MB Docket No. 09-17, Third Report and Order and Order on Reconsideration, 24 FCC </w:t>
      </w:r>
      <w:r w:rsidRPr="00225B62">
        <w:t>Rcd</w:t>
      </w:r>
      <w:r w:rsidRPr="00225B62">
        <w:t xml:space="preserve"> 3399, 3429 n.156 (2009).</w:t>
      </w:r>
      <w:r w:rsidRPr="00D14EC6" w:rsidR="00D14EC6">
        <w:t xml:space="preserve"> </w:t>
      </w:r>
      <w:r w:rsidR="009F0F33">
        <w:t xml:space="preserve"> </w:t>
      </w:r>
      <w:r w:rsidRPr="00D14EC6" w:rsidR="00D14EC6">
        <w:t>Stations must electronically file tolling requests via LMS, in accordance with the instructions in the Appendix.  Stations may also seek a waiver of the tolling rule to receive additional time to construct in the case where “rare or exceptional circumstances” prevent construction, following the instructions for requesting tolling in the Appendix</w:t>
      </w:r>
      <w:r w:rsidR="00D14EC6">
        <w:t>.</w:t>
      </w:r>
      <w:r w:rsidRPr="00D14EC6" w:rsidR="00D14EC6">
        <w:rPr>
          <w:rStyle w:val="FootnoteReference"/>
        </w:rPr>
        <w:t xml:space="preserve"> </w:t>
      </w:r>
      <w:r w:rsidRPr="00225B62" w:rsidR="00D14EC6">
        <w:rPr>
          <w:i/>
        </w:rPr>
        <w:t>See 1998 Regulatory Review - Streamlining of Mass Media Applications, Rules and Processes</w:t>
      </w:r>
      <w:r w:rsidRPr="00225B62" w:rsidR="00D14EC6">
        <w:t xml:space="preserve">, Memorandum Opinion and Order, 14 FCC </w:t>
      </w:r>
      <w:r w:rsidRPr="00225B62" w:rsidR="00D14EC6">
        <w:t>Rcd</w:t>
      </w:r>
      <w:r w:rsidRPr="00225B62" w:rsidR="00D14EC6">
        <w:t xml:space="preserve"> 17525, 17536, para. 42 (1999).</w:t>
      </w:r>
    </w:p>
  </w:footnote>
  <w:footnote w:id="9">
    <w:p w:rsidR="00C3647F" w:rsidRPr="00225B62" w:rsidP="00C3647F" w14:paraId="7F7E4EC3" w14:textId="77777777">
      <w:pPr>
        <w:pStyle w:val="FootnoteText"/>
      </w:pPr>
      <w:r w:rsidRPr="00225B62">
        <w:rPr>
          <w:rStyle w:val="FootnoteReference"/>
        </w:rPr>
        <w:footnoteRef/>
      </w:r>
      <w:r w:rsidRPr="00225B62">
        <w:t xml:space="preserve"> </w:t>
      </w:r>
      <w:r>
        <w:rPr>
          <w:i/>
        </w:rPr>
        <w:t>LPTV DTV Third R&amp;O</w:t>
      </w:r>
      <w:r>
        <w:rPr>
          <w:iCs/>
        </w:rPr>
        <w:t xml:space="preserve">, 30 FCC </w:t>
      </w:r>
      <w:r>
        <w:rPr>
          <w:iCs/>
        </w:rPr>
        <w:t>Rcd</w:t>
      </w:r>
      <w:r w:rsidRPr="00225B62">
        <w:t xml:space="preserve"> at 14956-57, para. 65.</w:t>
      </w:r>
    </w:p>
  </w:footnote>
  <w:footnote w:id="10">
    <w:p w:rsidR="00C3647F" w:rsidP="00C3647F" w14:paraId="2BA083A8" w14:textId="77777777">
      <w:pPr>
        <w:pStyle w:val="FootnoteText"/>
      </w:pPr>
      <w:r>
        <w:rPr>
          <w:rStyle w:val="FootnoteReference"/>
        </w:rPr>
        <w:footnoteRef/>
      </w:r>
      <w:r>
        <w:t xml:space="preserve"> </w:t>
      </w:r>
      <w:r>
        <w:rPr>
          <w:i/>
          <w:iCs/>
        </w:rPr>
        <w:t>See</w:t>
      </w:r>
      <w:r>
        <w:t xml:space="preserve"> </w:t>
      </w:r>
      <w:r>
        <w:rPr>
          <w:rFonts w:ascii="TimesNewRomanPS-ItalicMT" w:hAnsi="TimesNewRomanPS-ItalicMT" w:cs="TimesNewRomanPS-ItalicMT"/>
          <w:i/>
          <w:iCs/>
        </w:rPr>
        <w:t>Incentive Auction Task Force and Media Bureau Announce Post Incentive Auction Special Displacement Window April 10, 2018, Through May 15, 2018, and Make Location and Channel Data Available</w:t>
      </w:r>
      <w:r>
        <w:rPr>
          <w:rFonts w:ascii="TimesNewRomanPSMT" w:hAnsi="TimesNewRomanPSMT" w:cs="TimesNewRomanPSMT"/>
        </w:rPr>
        <w:t>, Public Notice, 32 FCC</w:t>
      </w:r>
      <w:r>
        <w:rPr>
          <w:rFonts w:ascii="TimesNewRomanPS-ItalicMT" w:hAnsi="TimesNewRomanPS-ItalicMT" w:cs="TimesNewRomanPS-ItalicMT"/>
          <w:i/>
          <w:iCs/>
        </w:rPr>
        <w:t xml:space="preserve"> </w:t>
      </w:r>
      <w:r>
        <w:rPr>
          <w:rFonts w:ascii="TimesNewRomanPSMT" w:hAnsi="TimesNewRomanPSMT" w:cs="TimesNewRomanPSMT"/>
        </w:rPr>
        <w:t>Rcd</w:t>
      </w:r>
      <w:r>
        <w:rPr>
          <w:rFonts w:ascii="TimesNewRomanPSMT" w:hAnsi="TimesNewRomanPSMT" w:cs="TimesNewRomanPSMT"/>
        </w:rPr>
        <w:t xml:space="preserve"> 1234 (IATF and MB 2018); </w:t>
      </w:r>
      <w:r>
        <w:rPr>
          <w:rFonts w:ascii="TimesNewRomanPS-ItalicMT" w:hAnsi="TimesNewRomanPS-ItalicMT" w:cs="TimesNewRomanPS-ItalicMT"/>
          <w:i/>
          <w:iCs/>
        </w:rPr>
        <w:t>Incentive Auction Task Force and Media Bureau Extend Post Incentive Auction Special Displacement Window Through June 1, 2018</w:t>
      </w:r>
      <w:r>
        <w:rPr>
          <w:rFonts w:ascii="TimesNewRomanPSMT" w:hAnsi="TimesNewRomanPSMT" w:cs="TimesNewRomanPSMT"/>
        </w:rPr>
        <w:t xml:space="preserve">, Public Notice, 32 FCC </w:t>
      </w:r>
      <w:r>
        <w:rPr>
          <w:rFonts w:ascii="TimesNewRomanPSMT" w:hAnsi="TimesNewRomanPSMT" w:cs="TimesNewRomanPSMT"/>
        </w:rPr>
        <w:t>Rcd</w:t>
      </w:r>
      <w:r>
        <w:rPr>
          <w:rFonts w:ascii="TimesNewRomanPSMT" w:hAnsi="TimesNewRomanPSMT" w:cs="TimesNewRomanPSMT"/>
        </w:rPr>
        <w:t xml:space="preserve"> (IATF and MB 2018).</w:t>
      </w:r>
    </w:p>
  </w:footnote>
  <w:footnote w:id="11">
    <w:p w:rsidR="00C3647F" w:rsidRPr="00225B62" w:rsidP="00C3647F" w14:paraId="47E77E66" w14:textId="77777777">
      <w:pPr>
        <w:pStyle w:val="FootnoteText"/>
      </w:pPr>
      <w:r w:rsidRPr="00225B62">
        <w:rPr>
          <w:rStyle w:val="FootnoteReference"/>
        </w:rPr>
        <w:footnoteRef/>
      </w:r>
      <w:r w:rsidRPr="00225B62">
        <w:t xml:space="preserve"> 47 CFR § 74.787(a)(5)(i); </w:t>
      </w:r>
      <w:r w:rsidRPr="00225B62">
        <w:rPr>
          <w:i/>
        </w:rPr>
        <w:t>LPTV DTV Third R&amp;O</w:t>
      </w:r>
      <w:r w:rsidRPr="00225B62">
        <w:t xml:space="preserve">, 30 FCC </w:t>
      </w:r>
      <w:r w:rsidRPr="00225B62">
        <w:t>Rcd</w:t>
      </w:r>
      <w:r w:rsidRPr="00225B62">
        <w:rPr>
          <w:i/>
        </w:rPr>
        <w:t xml:space="preserve"> </w:t>
      </w:r>
      <w:r w:rsidRPr="00225B62">
        <w:t>at 14959, para. 70.</w:t>
      </w:r>
    </w:p>
  </w:footnote>
  <w:footnote w:id="12">
    <w:p w:rsidR="00466F4A" w:rsidRPr="00225B62" w:rsidP="00466F4A" w14:paraId="453814C9" w14:textId="77777777">
      <w:pPr>
        <w:pStyle w:val="FootnoteText"/>
      </w:pPr>
      <w:r w:rsidRPr="00225B62">
        <w:rPr>
          <w:rStyle w:val="FootnoteReference"/>
        </w:rPr>
        <w:footnoteRef/>
      </w:r>
      <w:r w:rsidRPr="00225B62">
        <w:t xml:space="preserve"> </w:t>
      </w:r>
      <w:r w:rsidRPr="00225B62">
        <w:rPr>
          <w:i/>
        </w:rPr>
        <w:t>See</w:t>
      </w:r>
      <w:r w:rsidRPr="00225B62">
        <w:t xml:space="preserve"> 47 CFR §§ 73.1740(a)(4) and 74.763(b).</w:t>
      </w:r>
    </w:p>
  </w:footnote>
  <w:footnote w:id="13">
    <w:p w:rsidR="00466F4A" w:rsidRPr="00225B62" w:rsidP="00466F4A" w14:paraId="13824567" w14:textId="77777777">
      <w:pPr>
        <w:pStyle w:val="FootnoteText"/>
      </w:pPr>
      <w:r w:rsidRPr="00225B62">
        <w:rPr>
          <w:rStyle w:val="FootnoteReference"/>
        </w:rPr>
        <w:footnoteRef/>
      </w:r>
      <w:r w:rsidRPr="00225B62">
        <w:t xml:space="preserve"> </w:t>
      </w:r>
      <w:r w:rsidRPr="00225B62">
        <w:rPr>
          <w:i/>
        </w:rPr>
        <w:t>Id</w:t>
      </w:r>
      <w:r w:rsidRPr="00225B62">
        <w:t>.</w:t>
      </w:r>
    </w:p>
  </w:footnote>
  <w:footnote w:id="14">
    <w:p w:rsidR="00466F4A" w:rsidRPr="00225B62" w:rsidP="00466F4A" w14:paraId="07AD46DB" w14:textId="77777777">
      <w:pPr>
        <w:pStyle w:val="FootnoteText"/>
      </w:pPr>
      <w:r w:rsidRPr="00225B62">
        <w:rPr>
          <w:rStyle w:val="FootnoteReference"/>
        </w:rPr>
        <w:footnoteRef/>
      </w:r>
      <w:r w:rsidRPr="00225B62">
        <w:t xml:space="preserve"> </w:t>
      </w:r>
      <w:r w:rsidRPr="00225B62">
        <w:rPr>
          <w:i/>
        </w:rPr>
        <w:t xml:space="preserve">See </w:t>
      </w:r>
      <w:r w:rsidRPr="00225B62">
        <w:t xml:space="preserve">47 U.S.C. § 312(g).  The Commission’s rules also provide that the “license of . . . [a]  TV translator or TV broadcast booster, or low power TV station will expire as a matter of law upon failure to transmit broadcast signals for any consecutive 12-month period notwithstanding any provision, term, or condition of the license to the contrary.”  47 CFR § 74.15(f).  </w:t>
      </w:r>
      <w:r w:rsidRPr="00225B62">
        <w:rPr>
          <w:i/>
        </w:rPr>
        <w:t>See</w:t>
      </w:r>
      <w:r w:rsidRPr="00225B62">
        <w:t xml:space="preserve"> 47 CFR § 74.763(c).  </w:t>
      </w:r>
      <w:r w:rsidRPr="00225B62">
        <w:rPr>
          <w:i/>
        </w:rPr>
        <w:t>See also</w:t>
      </w:r>
      <w:r w:rsidRPr="00225B62">
        <w:t xml:space="preserve"> 47 CFR §§ 73.1020(c), 73.1615(c)(2), 73.1635(a)(4), 73.1740(c), 73.1750.</w:t>
      </w:r>
    </w:p>
  </w:footnote>
  <w:footnote w:id="15">
    <w:p w:rsidR="00C359CE" w:rsidRPr="00FC5C42" w:rsidP="00C359CE" w14:paraId="6FAF26CF" w14:textId="28BF931B">
      <w:pPr>
        <w:pStyle w:val="FootnoteText"/>
        <w:rPr>
          <w:iCs/>
        </w:rPr>
      </w:pPr>
      <w:r>
        <w:rPr>
          <w:rStyle w:val="FootnoteReference"/>
        </w:rPr>
        <w:footnoteRef/>
      </w:r>
      <w:r>
        <w:t xml:space="preserve">  </w:t>
      </w:r>
      <w:r w:rsidRPr="00FC5C42" w:rsidR="00FC5C42">
        <w:rPr>
          <w:i/>
        </w:rPr>
        <w:t>Amendment of Parts 73 and 74 of the Commission's Rules to Establish Rules for Digital Low Power Television, Television Translator, and Television Booster Stations and to Amend Rules for Digital Class A Television Stations</w:t>
      </w:r>
      <w:r w:rsidR="00FC5C42">
        <w:rPr>
          <w:iCs/>
        </w:rPr>
        <w:t xml:space="preserve">, Second Report and Order, 26 FCC </w:t>
      </w:r>
      <w:r w:rsidR="00FC5C42">
        <w:rPr>
          <w:iCs/>
        </w:rPr>
        <w:t>Rcd</w:t>
      </w:r>
      <w:r w:rsidR="00FC5C42">
        <w:rPr>
          <w:iCs/>
        </w:rPr>
        <w:t>, 10732, 10753-4, paras. 42-45 (2011) (</w:t>
      </w:r>
      <w:r w:rsidR="00FC5C42">
        <w:rPr>
          <w:i/>
        </w:rPr>
        <w:t>LPTV Digital Second R&amp;O)</w:t>
      </w:r>
      <w:r w:rsidR="00FC5C42">
        <w:rPr>
          <w:iCs/>
        </w:rPr>
        <w:t>.</w:t>
      </w:r>
    </w:p>
  </w:footnote>
  <w:footnote w:id="16">
    <w:p w:rsidR="00836EAE" w:rsidP="00836EAE" w14:paraId="62887EC9" w14:textId="4159AB11">
      <w:pPr>
        <w:pStyle w:val="FootnoteText"/>
      </w:pPr>
      <w:r>
        <w:rPr>
          <w:rStyle w:val="FootnoteReference"/>
        </w:rPr>
        <w:footnoteRef/>
      </w:r>
      <w:r>
        <w:t xml:space="preserve"> Instructions for requesting cancellation of a station license are included in the Appendix. </w:t>
      </w:r>
    </w:p>
  </w:footnote>
  <w:footnote w:id="17">
    <w:p w:rsidR="00F84F13" w:rsidRPr="00225B62" w:rsidP="00F84F13" w14:paraId="4164F71D" w14:textId="309C54E1">
      <w:pPr>
        <w:pStyle w:val="FootnoteText"/>
      </w:pPr>
      <w:r w:rsidRPr="00225B62">
        <w:rPr>
          <w:rStyle w:val="FootnoteReference"/>
        </w:rPr>
        <w:footnoteRef/>
      </w:r>
      <w:r w:rsidRPr="00225B62">
        <w:t xml:space="preserve"> </w:t>
      </w:r>
      <w:r w:rsidRPr="00225B62">
        <w:rPr>
          <w:i/>
        </w:rPr>
        <w:t xml:space="preserve">See </w:t>
      </w:r>
      <w:r w:rsidRPr="00225B62">
        <w:t xml:space="preserve">47 CFR § 74.798; </w:t>
      </w:r>
      <w:r w:rsidR="00FC5C42">
        <w:rPr>
          <w:i/>
          <w:iCs/>
        </w:rPr>
        <w:t xml:space="preserve">LPTV DTV </w:t>
      </w:r>
      <w:r w:rsidRPr="00FC5C42" w:rsidR="00FC5C42">
        <w:rPr>
          <w:i/>
          <w:iCs/>
        </w:rPr>
        <w:t>Second R&amp;O</w:t>
      </w:r>
      <w:r w:rsidR="00FC5C42">
        <w:t xml:space="preserve">, </w:t>
      </w:r>
      <w:r w:rsidRPr="00FC5C42">
        <w:t>26</w:t>
      </w:r>
      <w:r w:rsidRPr="00225B62">
        <w:t xml:space="preserve"> FCC </w:t>
      </w:r>
      <w:r w:rsidRPr="00225B62">
        <w:t>Rcd</w:t>
      </w:r>
      <w:r w:rsidRPr="00225B62">
        <w:t xml:space="preserve"> </w:t>
      </w:r>
      <w:r w:rsidR="00FC5C42">
        <w:t xml:space="preserve">at </w:t>
      </w:r>
      <w:r w:rsidRPr="00225B62">
        <w:t>10755, para. 49.</w:t>
      </w:r>
    </w:p>
  </w:footnote>
  <w:footnote w:id="18">
    <w:p w:rsidR="00F84F13" w:rsidRPr="00225B62" w:rsidP="00F84F13" w14:paraId="5968F265" w14:textId="5331A730">
      <w:pPr>
        <w:pStyle w:val="FootnoteText"/>
      </w:pPr>
      <w:r w:rsidRPr="00225B62">
        <w:rPr>
          <w:rStyle w:val="FootnoteReference"/>
        </w:rPr>
        <w:footnoteRef/>
      </w:r>
      <w:r w:rsidRPr="00225B62">
        <w:t xml:space="preserve"> </w:t>
      </w:r>
      <w:r w:rsidR="00FC5C42">
        <w:rPr>
          <w:i/>
        </w:rPr>
        <w:t>Id.</w:t>
      </w:r>
    </w:p>
  </w:footnote>
  <w:footnote w:id="19">
    <w:p w:rsidR="00F84F13" w:rsidRPr="00225B62" w:rsidP="00F84F13" w14:paraId="2A27E4E2" w14:textId="53D47958">
      <w:pPr>
        <w:pStyle w:val="FootnoteText"/>
      </w:pPr>
      <w:r w:rsidRPr="00225B62">
        <w:rPr>
          <w:rStyle w:val="FootnoteReference"/>
        </w:rPr>
        <w:footnoteRef/>
      </w:r>
      <w:r w:rsidRPr="00225B62">
        <w:t xml:space="preserve">  All stations in the low power television service are permitted to originate some amount of local programming, such as public service announcements (PSAs).  </w:t>
      </w:r>
      <w:r w:rsidRPr="00225B62">
        <w:rPr>
          <w:i/>
        </w:rPr>
        <w:t xml:space="preserve">See </w:t>
      </w:r>
      <w:r w:rsidRPr="00225B62">
        <w:t>47 CFR § 74.731(f) and (g) and 47 CFR § 74.701(f).  PSAs originated by TV translators are limited to 30 seconds each and</w:t>
      </w:r>
      <w:r w:rsidR="0096126D">
        <w:t xml:space="preserve"> may</w:t>
      </w:r>
      <w:r w:rsidRPr="00225B62">
        <w:t xml:space="preserve"> not </w:t>
      </w:r>
      <w:r w:rsidR="0096126D">
        <w:t xml:space="preserve">air </w:t>
      </w:r>
      <w:r w:rsidRPr="00225B62">
        <w:t>more than once per hour.</w:t>
      </w:r>
    </w:p>
  </w:footnote>
  <w:footnote w:id="20">
    <w:p w:rsidR="00F84F13" w:rsidRPr="00225B62" w:rsidP="00F84F13" w14:paraId="578483EC" w14:textId="77777777">
      <w:pPr>
        <w:pStyle w:val="FootnoteText"/>
      </w:pPr>
      <w:r w:rsidRPr="00225B62">
        <w:rPr>
          <w:rStyle w:val="FootnoteReference"/>
        </w:rPr>
        <w:footnoteRef/>
      </w:r>
      <w:r w:rsidRPr="00225B62">
        <w:t xml:space="preserve"> </w:t>
      </w:r>
      <w:r w:rsidRPr="00225B62">
        <w:rPr>
          <w:i/>
        </w:rPr>
        <w:t xml:space="preserve">See </w:t>
      </w:r>
      <w:r w:rsidRPr="00225B62">
        <w:t xml:space="preserve">47 CFR § 74.798(c); </w:t>
      </w:r>
      <w:r w:rsidRPr="00225B62">
        <w:rPr>
          <w:i/>
        </w:rPr>
        <w:t>LPTV DTV Second R&amp;O</w:t>
      </w:r>
      <w:r w:rsidRPr="00225B62">
        <w:t xml:space="preserve">, 26 FCC </w:t>
      </w:r>
      <w:r w:rsidRPr="00225B62">
        <w:t>Rcd</w:t>
      </w:r>
      <w:r w:rsidRPr="00225B62">
        <w:t xml:space="preserve"> at 10755, para. 49.</w:t>
      </w:r>
    </w:p>
  </w:footnote>
  <w:footnote w:id="21">
    <w:p w:rsidR="00F84F13" w:rsidRPr="00680B36" w:rsidP="00F84F13" w14:paraId="11C5DC10" w14:textId="64B30806">
      <w:pPr>
        <w:pStyle w:val="FootnoteText"/>
      </w:pPr>
      <w:r w:rsidRPr="00225B62">
        <w:rPr>
          <w:rStyle w:val="FootnoteReference"/>
        </w:rPr>
        <w:footnoteRef/>
      </w:r>
      <w:r w:rsidRPr="00225B62">
        <w:t xml:space="preserve"> </w:t>
      </w:r>
      <w:r w:rsidR="00FC5C42">
        <w:rPr>
          <w:i/>
        </w:rPr>
        <w:t>Id</w:t>
      </w:r>
      <w:r w:rsidRPr="00225B62">
        <w:t>.</w:t>
      </w:r>
      <w:r w:rsidR="00680B36">
        <w:t xml:space="preserve">  </w:t>
      </w:r>
      <w:r w:rsidR="00680B36">
        <w:rPr>
          <w:i/>
          <w:iCs/>
        </w:rPr>
        <w:t>See also</w:t>
      </w:r>
      <w:r w:rsidR="00680B36">
        <w:t xml:space="preserve"> 47 CFR </w:t>
      </w:r>
      <w:r w:rsidRPr="00225B62" w:rsidR="00B02E13">
        <w:t>§</w:t>
      </w:r>
      <w:r w:rsidR="00B02E13">
        <w:t xml:space="preserve"> </w:t>
      </w:r>
      <w:r w:rsidR="00680B36">
        <w:t>74.798.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C26BAF" w:rsidP="00C26BAF" w14:paraId="6CFD1555" w14:textId="30FF2012">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466BA3">
      <w:rPr>
        <w:rFonts w:ascii="Times New Roman" w:hAnsi="Times New Roman"/>
        <w:b/>
        <w:sz w:val="22"/>
        <w:szCs w:val="22"/>
      </w:rPr>
      <w:t>2</w:t>
    </w:r>
    <w:r w:rsidR="007D7A2A">
      <w:rPr>
        <w:rFonts w:ascii="Times New Roman" w:hAnsi="Times New Roman"/>
        <w:b/>
        <w:sz w:val="22"/>
        <w:szCs w:val="22"/>
      </w:rPr>
      <w:t>1</w:t>
    </w:r>
    <w:r>
      <w:rPr>
        <w:rFonts w:ascii="Times New Roman" w:hAnsi="Times New Roman"/>
        <w:b/>
        <w:sz w:val="22"/>
        <w:szCs w:val="22"/>
      </w:rPr>
      <w:t>-</w:t>
    </w:r>
    <w:r w:rsidR="00B21603">
      <w:rPr>
        <w:rFonts w:ascii="Times New Roman" w:hAnsi="Times New Roman"/>
        <w:b/>
        <w:sz w:val="22"/>
        <w:szCs w:val="22"/>
      </w:rPr>
      <w:t>260</w:t>
    </w:r>
  </w:p>
  <w:p w:rsidR="0046625D" w:rsidRPr="00C26BAF" w:rsidP="00C26BAF" w14:paraId="44284EB9"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625D" w:rsidRPr="00C26BAF" w:rsidP="00C26BAF" w14:paraId="5960D7F6"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BA6E7A" w:rsidP="00C26BAF" w14:paraId="7679754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625D" w:rsidP="00C26BAF" w14:paraId="78514C5D"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4918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46625D" w:rsidRPr="00C26BAF" w:rsidP="00C26BAF" w14:paraId="2C96383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625D" w:rsidP="00C26BAF" w14:paraId="25D62A1B"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6667135"/>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00E4256"/>
    <w:multiLevelType w:val="hybridMultilevel"/>
    <w:tmpl w:val="F26E025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8A148C9"/>
    <w:multiLevelType w:val="hybridMultilevel"/>
    <w:tmpl w:val="B5A85B2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8">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9EE0304"/>
    <w:multiLevelType w:val="hybridMultilevel"/>
    <w:tmpl w:val="30C2DCC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5">
    <w:nsid w:val="75225A4A"/>
    <w:multiLevelType w:val="hybridMultilevel"/>
    <w:tmpl w:val="1504A9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2"/>
  </w:num>
  <w:num w:numId="3">
    <w:abstractNumId w:val="9"/>
  </w:num>
  <w:num w:numId="4">
    <w:abstractNumId w:val="4"/>
  </w:num>
  <w:num w:numId="5">
    <w:abstractNumId w:val="14"/>
  </w:num>
  <w:num w:numId="6">
    <w:abstractNumId w:val="3"/>
  </w:num>
  <w:num w:numId="7">
    <w:abstractNumId w:val="5"/>
  </w:num>
  <w:num w:numId="8">
    <w:abstractNumId w:val="0"/>
  </w:num>
  <w:num w:numId="9">
    <w:abstractNumId w:val="16"/>
  </w:num>
  <w:num w:numId="10">
    <w:abstractNumId w:val="8"/>
  </w:num>
  <w:num w:numId="11">
    <w:abstractNumId w:val="11"/>
  </w:num>
  <w:num w:numId="12">
    <w:abstractNumId w:val="2"/>
  </w:num>
  <w:num w:numId="13">
    <w:abstractNumId w:val="7"/>
  </w:num>
  <w:num w:numId="14">
    <w:abstractNumId w:val="1"/>
  </w:num>
  <w:num w:numId="15">
    <w:abstractNumId w:val="15"/>
  </w:num>
  <w:num w:numId="16">
    <w:abstractNumId w:val="6"/>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6DA"/>
    <w:rsid w:val="00017B14"/>
    <w:rsid w:val="00017FD3"/>
    <w:rsid w:val="00021596"/>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5897"/>
    <w:rsid w:val="00046230"/>
    <w:rsid w:val="00046246"/>
    <w:rsid w:val="00046D45"/>
    <w:rsid w:val="000500D6"/>
    <w:rsid w:val="00050D23"/>
    <w:rsid w:val="0005285C"/>
    <w:rsid w:val="00053497"/>
    <w:rsid w:val="00053731"/>
    <w:rsid w:val="000542A7"/>
    <w:rsid w:val="00054D0D"/>
    <w:rsid w:val="00055992"/>
    <w:rsid w:val="00055EA1"/>
    <w:rsid w:val="000561F2"/>
    <w:rsid w:val="000564D6"/>
    <w:rsid w:val="000565B7"/>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4E90"/>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0E5B"/>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5991"/>
    <w:rsid w:val="000F618B"/>
    <w:rsid w:val="000F62F6"/>
    <w:rsid w:val="000F74EF"/>
    <w:rsid w:val="000F779D"/>
    <w:rsid w:val="000F7AF4"/>
    <w:rsid w:val="00103A34"/>
    <w:rsid w:val="001045F3"/>
    <w:rsid w:val="00105D6C"/>
    <w:rsid w:val="0010658A"/>
    <w:rsid w:val="00106E20"/>
    <w:rsid w:val="00110136"/>
    <w:rsid w:val="00110765"/>
    <w:rsid w:val="00110907"/>
    <w:rsid w:val="00111DF0"/>
    <w:rsid w:val="0011208A"/>
    <w:rsid w:val="00112216"/>
    <w:rsid w:val="00113567"/>
    <w:rsid w:val="00113779"/>
    <w:rsid w:val="00113E3B"/>
    <w:rsid w:val="001155D6"/>
    <w:rsid w:val="00115F37"/>
    <w:rsid w:val="001169BE"/>
    <w:rsid w:val="0012015B"/>
    <w:rsid w:val="0012017D"/>
    <w:rsid w:val="0012051D"/>
    <w:rsid w:val="001217D3"/>
    <w:rsid w:val="00121CAA"/>
    <w:rsid w:val="00122371"/>
    <w:rsid w:val="001256B6"/>
    <w:rsid w:val="00125AA7"/>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18AD"/>
    <w:rsid w:val="001628C1"/>
    <w:rsid w:val="00163134"/>
    <w:rsid w:val="001632D9"/>
    <w:rsid w:val="001639B6"/>
    <w:rsid w:val="00163DFB"/>
    <w:rsid w:val="00166AFE"/>
    <w:rsid w:val="00170800"/>
    <w:rsid w:val="00170B65"/>
    <w:rsid w:val="00171B06"/>
    <w:rsid w:val="00172296"/>
    <w:rsid w:val="001722B1"/>
    <w:rsid w:val="00172342"/>
    <w:rsid w:val="001732C8"/>
    <w:rsid w:val="00173E72"/>
    <w:rsid w:val="001741D4"/>
    <w:rsid w:val="00174F47"/>
    <w:rsid w:val="00174F65"/>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365"/>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117"/>
    <w:rsid w:val="001A024A"/>
    <w:rsid w:val="001A086F"/>
    <w:rsid w:val="001A0A4A"/>
    <w:rsid w:val="001A0DCA"/>
    <w:rsid w:val="001A10B5"/>
    <w:rsid w:val="001A14E0"/>
    <w:rsid w:val="001A153A"/>
    <w:rsid w:val="001A19FF"/>
    <w:rsid w:val="001A2B92"/>
    <w:rsid w:val="001A63F6"/>
    <w:rsid w:val="001B01A9"/>
    <w:rsid w:val="001B1010"/>
    <w:rsid w:val="001B101F"/>
    <w:rsid w:val="001B139E"/>
    <w:rsid w:val="001B1584"/>
    <w:rsid w:val="001B214E"/>
    <w:rsid w:val="001B2CF4"/>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5A3"/>
    <w:rsid w:val="001E0CE9"/>
    <w:rsid w:val="001E0D78"/>
    <w:rsid w:val="001E0F77"/>
    <w:rsid w:val="001E208D"/>
    <w:rsid w:val="001E2378"/>
    <w:rsid w:val="001E2505"/>
    <w:rsid w:val="001E2D1C"/>
    <w:rsid w:val="001E2EE1"/>
    <w:rsid w:val="001E5EBC"/>
    <w:rsid w:val="001E7A0A"/>
    <w:rsid w:val="001F064F"/>
    <w:rsid w:val="001F0734"/>
    <w:rsid w:val="001F07D4"/>
    <w:rsid w:val="001F12A3"/>
    <w:rsid w:val="001F42E6"/>
    <w:rsid w:val="001F5DBD"/>
    <w:rsid w:val="001F7603"/>
    <w:rsid w:val="001F767D"/>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5B62"/>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1896"/>
    <w:rsid w:val="002528C8"/>
    <w:rsid w:val="002537ED"/>
    <w:rsid w:val="0025478F"/>
    <w:rsid w:val="00255197"/>
    <w:rsid w:val="002553DD"/>
    <w:rsid w:val="00255AD5"/>
    <w:rsid w:val="00255C57"/>
    <w:rsid w:val="0025643C"/>
    <w:rsid w:val="00257140"/>
    <w:rsid w:val="00257646"/>
    <w:rsid w:val="002606CD"/>
    <w:rsid w:val="002607A1"/>
    <w:rsid w:val="00260BCB"/>
    <w:rsid w:val="00261E46"/>
    <w:rsid w:val="0026332A"/>
    <w:rsid w:val="00264CE7"/>
    <w:rsid w:val="00265C03"/>
    <w:rsid w:val="00266093"/>
    <w:rsid w:val="002661B0"/>
    <w:rsid w:val="00266B79"/>
    <w:rsid w:val="00267074"/>
    <w:rsid w:val="002679BF"/>
    <w:rsid w:val="00270138"/>
    <w:rsid w:val="00270453"/>
    <w:rsid w:val="0027084D"/>
    <w:rsid w:val="00270A08"/>
    <w:rsid w:val="002711C8"/>
    <w:rsid w:val="00271613"/>
    <w:rsid w:val="002716D6"/>
    <w:rsid w:val="00271893"/>
    <w:rsid w:val="0027202D"/>
    <w:rsid w:val="00272B8D"/>
    <w:rsid w:val="00275213"/>
    <w:rsid w:val="002759E3"/>
    <w:rsid w:val="00276149"/>
    <w:rsid w:val="0028037B"/>
    <w:rsid w:val="00282172"/>
    <w:rsid w:val="00282B8F"/>
    <w:rsid w:val="0028316B"/>
    <w:rsid w:val="00283650"/>
    <w:rsid w:val="00283F59"/>
    <w:rsid w:val="0028502D"/>
    <w:rsid w:val="002866EA"/>
    <w:rsid w:val="00286CBF"/>
    <w:rsid w:val="00286F9E"/>
    <w:rsid w:val="0028784F"/>
    <w:rsid w:val="00290DE7"/>
    <w:rsid w:val="00291981"/>
    <w:rsid w:val="002919B6"/>
    <w:rsid w:val="00291C7E"/>
    <w:rsid w:val="00292132"/>
    <w:rsid w:val="0029218D"/>
    <w:rsid w:val="002929BC"/>
    <w:rsid w:val="00293299"/>
    <w:rsid w:val="002936DF"/>
    <w:rsid w:val="0029374D"/>
    <w:rsid w:val="00294918"/>
    <w:rsid w:val="002952D2"/>
    <w:rsid w:val="00295EAC"/>
    <w:rsid w:val="002960BC"/>
    <w:rsid w:val="00296E04"/>
    <w:rsid w:val="00297337"/>
    <w:rsid w:val="00297358"/>
    <w:rsid w:val="002976B2"/>
    <w:rsid w:val="002A156F"/>
    <w:rsid w:val="002A2771"/>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654"/>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503"/>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778FD"/>
    <w:rsid w:val="00380AD9"/>
    <w:rsid w:val="00380FE4"/>
    <w:rsid w:val="00381CCE"/>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2BB2"/>
    <w:rsid w:val="003B35DD"/>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0658"/>
    <w:rsid w:val="00401C4E"/>
    <w:rsid w:val="00402561"/>
    <w:rsid w:val="00402E01"/>
    <w:rsid w:val="00402FCA"/>
    <w:rsid w:val="004031F2"/>
    <w:rsid w:val="004043C4"/>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2F9E"/>
    <w:rsid w:val="00424D01"/>
    <w:rsid w:val="004253EB"/>
    <w:rsid w:val="00425F3F"/>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0A7"/>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42E"/>
    <w:rsid w:val="004555D9"/>
    <w:rsid w:val="00455C12"/>
    <w:rsid w:val="00457BF2"/>
    <w:rsid w:val="004601CF"/>
    <w:rsid w:val="0046045C"/>
    <w:rsid w:val="004605F3"/>
    <w:rsid w:val="00460A58"/>
    <w:rsid w:val="004610B8"/>
    <w:rsid w:val="00461181"/>
    <w:rsid w:val="0046144D"/>
    <w:rsid w:val="00462BDB"/>
    <w:rsid w:val="00462BE0"/>
    <w:rsid w:val="00462D0E"/>
    <w:rsid w:val="00463179"/>
    <w:rsid w:val="004638B8"/>
    <w:rsid w:val="00464558"/>
    <w:rsid w:val="00465034"/>
    <w:rsid w:val="0046530F"/>
    <w:rsid w:val="0046625D"/>
    <w:rsid w:val="00466BA3"/>
    <w:rsid w:val="00466CFA"/>
    <w:rsid w:val="00466F4A"/>
    <w:rsid w:val="00467342"/>
    <w:rsid w:val="0046770A"/>
    <w:rsid w:val="0046773E"/>
    <w:rsid w:val="00471B20"/>
    <w:rsid w:val="00471DB4"/>
    <w:rsid w:val="00474597"/>
    <w:rsid w:val="00474611"/>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56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68AE"/>
    <w:rsid w:val="00497436"/>
    <w:rsid w:val="0049769D"/>
    <w:rsid w:val="00497F99"/>
    <w:rsid w:val="004A0C26"/>
    <w:rsid w:val="004A0C39"/>
    <w:rsid w:val="004A151E"/>
    <w:rsid w:val="004A191D"/>
    <w:rsid w:val="004A1DC0"/>
    <w:rsid w:val="004A20FD"/>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D79"/>
    <w:rsid w:val="00502F1F"/>
    <w:rsid w:val="00502F7D"/>
    <w:rsid w:val="00503E34"/>
    <w:rsid w:val="00503E8D"/>
    <w:rsid w:val="00505141"/>
    <w:rsid w:val="005056E2"/>
    <w:rsid w:val="00505E2A"/>
    <w:rsid w:val="00505E2B"/>
    <w:rsid w:val="00507072"/>
    <w:rsid w:val="0051031F"/>
    <w:rsid w:val="00510420"/>
    <w:rsid w:val="00510682"/>
    <w:rsid w:val="005119A5"/>
    <w:rsid w:val="00512837"/>
    <w:rsid w:val="00512A5D"/>
    <w:rsid w:val="00513108"/>
    <w:rsid w:val="00513A8A"/>
    <w:rsid w:val="00513CBD"/>
    <w:rsid w:val="005140D1"/>
    <w:rsid w:val="0051453B"/>
    <w:rsid w:val="00514E5B"/>
    <w:rsid w:val="005154EA"/>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6E4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542"/>
    <w:rsid w:val="00540B31"/>
    <w:rsid w:val="00542E6C"/>
    <w:rsid w:val="005432A8"/>
    <w:rsid w:val="00543705"/>
    <w:rsid w:val="005437BF"/>
    <w:rsid w:val="0054520A"/>
    <w:rsid w:val="005453EE"/>
    <w:rsid w:val="005457CE"/>
    <w:rsid w:val="00545C09"/>
    <w:rsid w:val="00545FC2"/>
    <w:rsid w:val="0054721C"/>
    <w:rsid w:val="00547297"/>
    <w:rsid w:val="00547443"/>
    <w:rsid w:val="00550070"/>
    <w:rsid w:val="00550B28"/>
    <w:rsid w:val="005527BA"/>
    <w:rsid w:val="00552A51"/>
    <w:rsid w:val="0055645A"/>
    <w:rsid w:val="005565D7"/>
    <w:rsid w:val="0055722E"/>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767"/>
    <w:rsid w:val="00594DFB"/>
    <w:rsid w:val="005952FD"/>
    <w:rsid w:val="00595465"/>
    <w:rsid w:val="0059673B"/>
    <w:rsid w:val="00597C23"/>
    <w:rsid w:val="005A0418"/>
    <w:rsid w:val="005A0429"/>
    <w:rsid w:val="005A0AC8"/>
    <w:rsid w:val="005A0E39"/>
    <w:rsid w:val="005A1A54"/>
    <w:rsid w:val="005A1BC7"/>
    <w:rsid w:val="005A1F66"/>
    <w:rsid w:val="005A20B5"/>
    <w:rsid w:val="005A2E49"/>
    <w:rsid w:val="005A3085"/>
    <w:rsid w:val="005A3656"/>
    <w:rsid w:val="005A4544"/>
    <w:rsid w:val="005A4B3F"/>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8E"/>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AA1"/>
    <w:rsid w:val="00634D62"/>
    <w:rsid w:val="00635D2F"/>
    <w:rsid w:val="00635E9F"/>
    <w:rsid w:val="0063663A"/>
    <w:rsid w:val="0063778D"/>
    <w:rsid w:val="00640AA9"/>
    <w:rsid w:val="006413DA"/>
    <w:rsid w:val="0064158B"/>
    <w:rsid w:val="006419BB"/>
    <w:rsid w:val="0064360F"/>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3138"/>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0B36"/>
    <w:rsid w:val="00682BD8"/>
    <w:rsid w:val="00682CAB"/>
    <w:rsid w:val="00682E11"/>
    <w:rsid w:val="00683184"/>
    <w:rsid w:val="006838F8"/>
    <w:rsid w:val="006846D8"/>
    <w:rsid w:val="00684C40"/>
    <w:rsid w:val="00685075"/>
    <w:rsid w:val="00686DC4"/>
    <w:rsid w:val="00686DF4"/>
    <w:rsid w:val="00686E1F"/>
    <w:rsid w:val="006871C2"/>
    <w:rsid w:val="006873B2"/>
    <w:rsid w:val="00690249"/>
    <w:rsid w:val="00690739"/>
    <w:rsid w:val="00690B2B"/>
    <w:rsid w:val="00691DC6"/>
    <w:rsid w:val="00691E4B"/>
    <w:rsid w:val="00692960"/>
    <w:rsid w:val="0069341C"/>
    <w:rsid w:val="00693CD8"/>
    <w:rsid w:val="0069401E"/>
    <w:rsid w:val="00694182"/>
    <w:rsid w:val="00694229"/>
    <w:rsid w:val="0069579A"/>
    <w:rsid w:val="0069619F"/>
    <w:rsid w:val="006974AC"/>
    <w:rsid w:val="00697AF0"/>
    <w:rsid w:val="006A0374"/>
    <w:rsid w:val="006A084B"/>
    <w:rsid w:val="006A0B39"/>
    <w:rsid w:val="006A1894"/>
    <w:rsid w:val="006A2201"/>
    <w:rsid w:val="006A2C9A"/>
    <w:rsid w:val="006A47CE"/>
    <w:rsid w:val="006A4F63"/>
    <w:rsid w:val="006A5035"/>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18CA"/>
    <w:rsid w:val="006C284B"/>
    <w:rsid w:val="006C3306"/>
    <w:rsid w:val="006C4835"/>
    <w:rsid w:val="006C64B7"/>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0E29"/>
    <w:rsid w:val="006E11CC"/>
    <w:rsid w:val="006E2059"/>
    <w:rsid w:val="006E2671"/>
    <w:rsid w:val="006E3325"/>
    <w:rsid w:val="006E42D0"/>
    <w:rsid w:val="006E53D5"/>
    <w:rsid w:val="006E68BB"/>
    <w:rsid w:val="006E7B6E"/>
    <w:rsid w:val="006F075E"/>
    <w:rsid w:val="006F0D3A"/>
    <w:rsid w:val="006F1444"/>
    <w:rsid w:val="006F1CE2"/>
    <w:rsid w:val="006F3352"/>
    <w:rsid w:val="006F38F4"/>
    <w:rsid w:val="006F3BC2"/>
    <w:rsid w:val="006F49BF"/>
    <w:rsid w:val="006F55D6"/>
    <w:rsid w:val="006F568D"/>
    <w:rsid w:val="006F75D3"/>
    <w:rsid w:val="0070076E"/>
    <w:rsid w:val="007007D5"/>
    <w:rsid w:val="00700830"/>
    <w:rsid w:val="00700912"/>
    <w:rsid w:val="00700C02"/>
    <w:rsid w:val="00701160"/>
    <w:rsid w:val="007014D7"/>
    <w:rsid w:val="00701B52"/>
    <w:rsid w:val="00701E90"/>
    <w:rsid w:val="00702013"/>
    <w:rsid w:val="00702245"/>
    <w:rsid w:val="00702CF7"/>
    <w:rsid w:val="00703A51"/>
    <w:rsid w:val="00703EBB"/>
    <w:rsid w:val="00704531"/>
    <w:rsid w:val="00705DD6"/>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06B"/>
    <w:rsid w:val="007261CC"/>
    <w:rsid w:val="00726C85"/>
    <w:rsid w:val="00727F5A"/>
    <w:rsid w:val="0073124D"/>
    <w:rsid w:val="00731380"/>
    <w:rsid w:val="007314AA"/>
    <w:rsid w:val="0073236F"/>
    <w:rsid w:val="00732BDD"/>
    <w:rsid w:val="00733B43"/>
    <w:rsid w:val="00734322"/>
    <w:rsid w:val="00734A58"/>
    <w:rsid w:val="00735983"/>
    <w:rsid w:val="007359F6"/>
    <w:rsid w:val="00735E16"/>
    <w:rsid w:val="00736055"/>
    <w:rsid w:val="00737B32"/>
    <w:rsid w:val="007403C4"/>
    <w:rsid w:val="00740753"/>
    <w:rsid w:val="00740CDA"/>
    <w:rsid w:val="00740D36"/>
    <w:rsid w:val="0074227B"/>
    <w:rsid w:val="007428A6"/>
    <w:rsid w:val="007428AA"/>
    <w:rsid w:val="0074307F"/>
    <w:rsid w:val="00743D39"/>
    <w:rsid w:val="007459A7"/>
    <w:rsid w:val="00747CE0"/>
    <w:rsid w:val="00747CED"/>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1D8C"/>
    <w:rsid w:val="00782B03"/>
    <w:rsid w:val="00782D32"/>
    <w:rsid w:val="00783448"/>
    <w:rsid w:val="00783B59"/>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2AB2"/>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8F7"/>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5D6D"/>
    <w:rsid w:val="007D646E"/>
    <w:rsid w:val="007D69C5"/>
    <w:rsid w:val="007D7A2A"/>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2856"/>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2E6"/>
    <w:rsid w:val="008154EC"/>
    <w:rsid w:val="00815D03"/>
    <w:rsid w:val="008163AD"/>
    <w:rsid w:val="00816F26"/>
    <w:rsid w:val="0081763B"/>
    <w:rsid w:val="00817900"/>
    <w:rsid w:val="008179C9"/>
    <w:rsid w:val="008203E3"/>
    <w:rsid w:val="0082042E"/>
    <w:rsid w:val="008204E0"/>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6EAE"/>
    <w:rsid w:val="0083730B"/>
    <w:rsid w:val="00837846"/>
    <w:rsid w:val="008401B6"/>
    <w:rsid w:val="008412BB"/>
    <w:rsid w:val="00841A4A"/>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0C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4777"/>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430B"/>
    <w:rsid w:val="008A5C0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5E57"/>
    <w:rsid w:val="008C69B4"/>
    <w:rsid w:val="008C6C1E"/>
    <w:rsid w:val="008C6FE3"/>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5E4D"/>
    <w:rsid w:val="008E6114"/>
    <w:rsid w:val="008E6333"/>
    <w:rsid w:val="008E71C8"/>
    <w:rsid w:val="008E76EA"/>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266"/>
    <w:rsid w:val="009213E9"/>
    <w:rsid w:val="00921D6C"/>
    <w:rsid w:val="00923085"/>
    <w:rsid w:val="009237F5"/>
    <w:rsid w:val="00923B82"/>
    <w:rsid w:val="00923CB8"/>
    <w:rsid w:val="00924021"/>
    <w:rsid w:val="00924908"/>
    <w:rsid w:val="009250A3"/>
    <w:rsid w:val="00925CBC"/>
    <w:rsid w:val="00926B4D"/>
    <w:rsid w:val="00926CEA"/>
    <w:rsid w:val="00927662"/>
    <w:rsid w:val="00931AE4"/>
    <w:rsid w:val="00932E39"/>
    <w:rsid w:val="00933BA7"/>
    <w:rsid w:val="00933F13"/>
    <w:rsid w:val="009348AD"/>
    <w:rsid w:val="00934BEE"/>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26D"/>
    <w:rsid w:val="009617D5"/>
    <w:rsid w:val="009648D1"/>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26A"/>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D7708"/>
    <w:rsid w:val="009E0049"/>
    <w:rsid w:val="009E07E6"/>
    <w:rsid w:val="009E1DD9"/>
    <w:rsid w:val="009E2E52"/>
    <w:rsid w:val="009E3BD3"/>
    <w:rsid w:val="009E4594"/>
    <w:rsid w:val="009E5E2A"/>
    <w:rsid w:val="009E6035"/>
    <w:rsid w:val="009E6A15"/>
    <w:rsid w:val="009E6B88"/>
    <w:rsid w:val="009E7C85"/>
    <w:rsid w:val="009F0064"/>
    <w:rsid w:val="009F0B75"/>
    <w:rsid w:val="009F0F33"/>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176F8"/>
    <w:rsid w:val="00A2024D"/>
    <w:rsid w:val="00A2063D"/>
    <w:rsid w:val="00A20A5F"/>
    <w:rsid w:val="00A216D1"/>
    <w:rsid w:val="00A21A37"/>
    <w:rsid w:val="00A23964"/>
    <w:rsid w:val="00A246E4"/>
    <w:rsid w:val="00A247B7"/>
    <w:rsid w:val="00A24F32"/>
    <w:rsid w:val="00A259C5"/>
    <w:rsid w:val="00A2625C"/>
    <w:rsid w:val="00A264B7"/>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2CF5"/>
    <w:rsid w:val="00AB39DD"/>
    <w:rsid w:val="00AB3F9D"/>
    <w:rsid w:val="00AB404C"/>
    <w:rsid w:val="00AB419D"/>
    <w:rsid w:val="00AB48B3"/>
    <w:rsid w:val="00AB5204"/>
    <w:rsid w:val="00AB67AB"/>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7CF"/>
    <w:rsid w:val="00AF7AA6"/>
    <w:rsid w:val="00AF7DC3"/>
    <w:rsid w:val="00B00293"/>
    <w:rsid w:val="00B00710"/>
    <w:rsid w:val="00B01370"/>
    <w:rsid w:val="00B02E13"/>
    <w:rsid w:val="00B03C57"/>
    <w:rsid w:val="00B048CD"/>
    <w:rsid w:val="00B05BCD"/>
    <w:rsid w:val="00B07503"/>
    <w:rsid w:val="00B07EBF"/>
    <w:rsid w:val="00B104E4"/>
    <w:rsid w:val="00B105D0"/>
    <w:rsid w:val="00B10BA0"/>
    <w:rsid w:val="00B10F4E"/>
    <w:rsid w:val="00B12A5F"/>
    <w:rsid w:val="00B12BFB"/>
    <w:rsid w:val="00B12E02"/>
    <w:rsid w:val="00B13132"/>
    <w:rsid w:val="00B132DC"/>
    <w:rsid w:val="00B13B6C"/>
    <w:rsid w:val="00B150B8"/>
    <w:rsid w:val="00B16055"/>
    <w:rsid w:val="00B16423"/>
    <w:rsid w:val="00B1721E"/>
    <w:rsid w:val="00B17D17"/>
    <w:rsid w:val="00B21603"/>
    <w:rsid w:val="00B21F88"/>
    <w:rsid w:val="00B243AD"/>
    <w:rsid w:val="00B24B6E"/>
    <w:rsid w:val="00B2511A"/>
    <w:rsid w:val="00B258ED"/>
    <w:rsid w:val="00B27327"/>
    <w:rsid w:val="00B2776D"/>
    <w:rsid w:val="00B3115E"/>
    <w:rsid w:val="00B3158C"/>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116"/>
    <w:rsid w:val="00B41D8A"/>
    <w:rsid w:val="00B4252A"/>
    <w:rsid w:val="00B43039"/>
    <w:rsid w:val="00B4410A"/>
    <w:rsid w:val="00B444CB"/>
    <w:rsid w:val="00B44606"/>
    <w:rsid w:val="00B44971"/>
    <w:rsid w:val="00B45900"/>
    <w:rsid w:val="00B45C43"/>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32FE"/>
    <w:rsid w:val="00B638BB"/>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3B78"/>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07E9"/>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398D"/>
    <w:rsid w:val="00BC5A70"/>
    <w:rsid w:val="00BC73FF"/>
    <w:rsid w:val="00BC7AF5"/>
    <w:rsid w:val="00BC7BCD"/>
    <w:rsid w:val="00BD03D5"/>
    <w:rsid w:val="00BD0C35"/>
    <w:rsid w:val="00BD0DC5"/>
    <w:rsid w:val="00BD10A8"/>
    <w:rsid w:val="00BD1252"/>
    <w:rsid w:val="00BD15EE"/>
    <w:rsid w:val="00BD1B1F"/>
    <w:rsid w:val="00BD33CC"/>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59CE"/>
    <w:rsid w:val="00C3647F"/>
    <w:rsid w:val="00C36492"/>
    <w:rsid w:val="00C40269"/>
    <w:rsid w:val="00C409A2"/>
    <w:rsid w:val="00C40AF1"/>
    <w:rsid w:val="00C40B37"/>
    <w:rsid w:val="00C40F0A"/>
    <w:rsid w:val="00C41C9A"/>
    <w:rsid w:val="00C43DA8"/>
    <w:rsid w:val="00C43DD0"/>
    <w:rsid w:val="00C44745"/>
    <w:rsid w:val="00C448E8"/>
    <w:rsid w:val="00C44CCC"/>
    <w:rsid w:val="00C4501A"/>
    <w:rsid w:val="00C4545F"/>
    <w:rsid w:val="00C47281"/>
    <w:rsid w:val="00C51021"/>
    <w:rsid w:val="00C51D82"/>
    <w:rsid w:val="00C51EF7"/>
    <w:rsid w:val="00C5230D"/>
    <w:rsid w:val="00C52DDA"/>
    <w:rsid w:val="00C5467B"/>
    <w:rsid w:val="00C546A9"/>
    <w:rsid w:val="00C55D9C"/>
    <w:rsid w:val="00C56760"/>
    <w:rsid w:val="00C57C53"/>
    <w:rsid w:val="00C60F16"/>
    <w:rsid w:val="00C61F58"/>
    <w:rsid w:val="00C62632"/>
    <w:rsid w:val="00C627F7"/>
    <w:rsid w:val="00C63DF9"/>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1BD0"/>
    <w:rsid w:val="00C9243D"/>
    <w:rsid w:val="00C9330D"/>
    <w:rsid w:val="00C93B8F"/>
    <w:rsid w:val="00C9428D"/>
    <w:rsid w:val="00C943D8"/>
    <w:rsid w:val="00CA20B5"/>
    <w:rsid w:val="00CA2AF7"/>
    <w:rsid w:val="00CA3549"/>
    <w:rsid w:val="00CA3944"/>
    <w:rsid w:val="00CA3E2B"/>
    <w:rsid w:val="00CA413D"/>
    <w:rsid w:val="00CA41EA"/>
    <w:rsid w:val="00CA4326"/>
    <w:rsid w:val="00CA5C71"/>
    <w:rsid w:val="00CA6200"/>
    <w:rsid w:val="00CA6D35"/>
    <w:rsid w:val="00CA75CA"/>
    <w:rsid w:val="00CA7F58"/>
    <w:rsid w:val="00CB001A"/>
    <w:rsid w:val="00CB1D4F"/>
    <w:rsid w:val="00CB2EDE"/>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E7D82"/>
    <w:rsid w:val="00CF05AA"/>
    <w:rsid w:val="00CF07A6"/>
    <w:rsid w:val="00CF0F29"/>
    <w:rsid w:val="00CF16BE"/>
    <w:rsid w:val="00CF1D91"/>
    <w:rsid w:val="00CF1DC8"/>
    <w:rsid w:val="00CF1E39"/>
    <w:rsid w:val="00CF1F74"/>
    <w:rsid w:val="00CF325A"/>
    <w:rsid w:val="00CF3C7E"/>
    <w:rsid w:val="00CF3F16"/>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0FE3"/>
    <w:rsid w:val="00D119CD"/>
    <w:rsid w:val="00D11E05"/>
    <w:rsid w:val="00D13374"/>
    <w:rsid w:val="00D14E77"/>
    <w:rsid w:val="00D14EC6"/>
    <w:rsid w:val="00D1501B"/>
    <w:rsid w:val="00D1584B"/>
    <w:rsid w:val="00D15A42"/>
    <w:rsid w:val="00D16D9F"/>
    <w:rsid w:val="00D175A8"/>
    <w:rsid w:val="00D17CF4"/>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1731"/>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54C"/>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1B"/>
    <w:rsid w:val="00D939A8"/>
    <w:rsid w:val="00D93C6A"/>
    <w:rsid w:val="00D94020"/>
    <w:rsid w:val="00D947F1"/>
    <w:rsid w:val="00D94FEA"/>
    <w:rsid w:val="00D95DA8"/>
    <w:rsid w:val="00D95FD3"/>
    <w:rsid w:val="00DA01F8"/>
    <w:rsid w:val="00DA070C"/>
    <w:rsid w:val="00DA167C"/>
    <w:rsid w:val="00DA1874"/>
    <w:rsid w:val="00DA2587"/>
    <w:rsid w:val="00DA25C1"/>
    <w:rsid w:val="00DA25EA"/>
    <w:rsid w:val="00DA2E60"/>
    <w:rsid w:val="00DA3892"/>
    <w:rsid w:val="00DA42E4"/>
    <w:rsid w:val="00DA481C"/>
    <w:rsid w:val="00DA4820"/>
    <w:rsid w:val="00DA49DD"/>
    <w:rsid w:val="00DA5154"/>
    <w:rsid w:val="00DA52CE"/>
    <w:rsid w:val="00DA6B1E"/>
    <w:rsid w:val="00DA7000"/>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A81"/>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3D8"/>
    <w:rsid w:val="00E25EC4"/>
    <w:rsid w:val="00E261FF"/>
    <w:rsid w:val="00E2763B"/>
    <w:rsid w:val="00E27A93"/>
    <w:rsid w:val="00E30041"/>
    <w:rsid w:val="00E315D9"/>
    <w:rsid w:val="00E3321B"/>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5E83"/>
    <w:rsid w:val="00E66242"/>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0F4"/>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26F"/>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4E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1195"/>
    <w:rsid w:val="00EE26E2"/>
    <w:rsid w:val="00EE38C3"/>
    <w:rsid w:val="00EE48F7"/>
    <w:rsid w:val="00EE525A"/>
    <w:rsid w:val="00EE52FD"/>
    <w:rsid w:val="00EE5A04"/>
    <w:rsid w:val="00EE5EC2"/>
    <w:rsid w:val="00EE6055"/>
    <w:rsid w:val="00EE6532"/>
    <w:rsid w:val="00EE6685"/>
    <w:rsid w:val="00EE7173"/>
    <w:rsid w:val="00EE7A73"/>
    <w:rsid w:val="00EE7FEA"/>
    <w:rsid w:val="00EF0145"/>
    <w:rsid w:val="00EF1226"/>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70A"/>
    <w:rsid w:val="00F808CB"/>
    <w:rsid w:val="00F80B72"/>
    <w:rsid w:val="00F80B99"/>
    <w:rsid w:val="00F80C54"/>
    <w:rsid w:val="00F82D81"/>
    <w:rsid w:val="00F82D92"/>
    <w:rsid w:val="00F838E3"/>
    <w:rsid w:val="00F83BF2"/>
    <w:rsid w:val="00F83E26"/>
    <w:rsid w:val="00F83F84"/>
    <w:rsid w:val="00F84BF3"/>
    <w:rsid w:val="00F84F1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42FA"/>
    <w:rsid w:val="00FC4377"/>
    <w:rsid w:val="00FC5C42"/>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18A"/>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1 Char1,Heading 1 Char2,Heading 1 Char2 Char Char1 Char"/>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0"/>
    <w:qFormat/>
    <w:rsid w:val="009061A0"/>
    <w:pPr>
      <w:keepNext/>
      <w:numPr>
        <w:ilvl w:val="2"/>
        <w:numId w:val="6"/>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0"/>
    <w:qFormat/>
    <w:rsid w:val="009061A0"/>
    <w:pPr>
      <w:keepNext/>
      <w:numPr>
        <w:ilvl w:val="3"/>
        <w:numId w:val="6"/>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0"/>
    <w:qFormat/>
    <w:rsid w:val="009061A0"/>
    <w:pPr>
      <w:numPr>
        <w:ilvl w:val="5"/>
        <w:numId w:val="6"/>
      </w:numPr>
      <w:tabs>
        <w:tab w:val="left" w:pos="4320"/>
      </w:tabs>
      <w:spacing w:after="120"/>
      <w:outlineLvl w:val="5"/>
    </w:pPr>
    <w:rPr>
      <w:b/>
    </w:rPr>
  </w:style>
  <w:style w:type="paragraph" w:styleId="Heading7">
    <w:name w:val="heading 7"/>
    <w:aliases w:val="Heading 7 Char"/>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uiPriority w:val="99"/>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uiPriority w:val="99"/>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paragraph" w:customStyle="1" w:styleId="msonormal">
    <w:name w:val="msonormal"/>
    <w:basedOn w:val="Normal"/>
    <w:rsid w:val="0046625D"/>
    <w:pPr>
      <w:widowControl/>
      <w:spacing w:before="100" w:beforeAutospacing="1" w:after="100" w:afterAutospacing="1"/>
    </w:pPr>
    <w:rPr>
      <w:snapToGrid/>
      <w:kern w:val="0"/>
      <w:sz w:val="24"/>
      <w:szCs w:val="24"/>
    </w:rPr>
  </w:style>
  <w:style w:type="paragraph" w:customStyle="1" w:styleId="xl63">
    <w:name w:val="xl63"/>
    <w:basedOn w:val="Normal"/>
    <w:rsid w:val="0046625D"/>
    <w:pPr>
      <w:widowControl/>
      <w:spacing w:before="100" w:beforeAutospacing="1" w:after="100" w:afterAutospacing="1"/>
      <w:textAlignment w:val="top"/>
    </w:pPr>
    <w:rPr>
      <w:snapToGrid/>
      <w:kern w:val="0"/>
      <w:sz w:val="16"/>
      <w:szCs w:val="16"/>
    </w:rPr>
  </w:style>
  <w:style w:type="paragraph" w:customStyle="1" w:styleId="xl64">
    <w:name w:val="xl64"/>
    <w:basedOn w:val="Normal"/>
    <w:rsid w:val="0046625D"/>
    <w:pPr>
      <w:widowControl/>
      <w:spacing w:before="100" w:beforeAutospacing="1" w:after="100" w:afterAutospacing="1"/>
      <w:textAlignment w:val="top"/>
    </w:pPr>
    <w:rPr>
      <w:snapToGrid/>
      <w:kern w:val="0"/>
      <w:sz w:val="16"/>
      <w:szCs w:val="16"/>
    </w:rPr>
  </w:style>
  <w:style w:type="paragraph" w:customStyle="1" w:styleId="xl65">
    <w:name w:val="xl65"/>
    <w:basedOn w:val="Normal"/>
    <w:rsid w:val="0046625D"/>
    <w:pPr>
      <w:widowControl/>
      <w:spacing w:before="100" w:beforeAutospacing="1" w:after="100" w:afterAutospacing="1"/>
      <w:textAlignment w:val="top"/>
    </w:pPr>
    <w:rPr>
      <w:b/>
      <w:bCs/>
      <w:snapToGrid/>
      <w:kern w:val="0"/>
      <w:sz w:val="16"/>
      <w:szCs w:val="16"/>
    </w:rPr>
  </w:style>
  <w:style w:type="paragraph" w:customStyle="1" w:styleId="xl66">
    <w:name w:val="xl66"/>
    <w:basedOn w:val="Normal"/>
    <w:rsid w:val="0046625D"/>
    <w:pPr>
      <w:widowControl/>
      <w:spacing w:before="100" w:beforeAutospacing="1" w:after="100" w:afterAutospacing="1"/>
      <w:textAlignment w:val="top"/>
    </w:pPr>
    <w:rPr>
      <w:snapToGrid/>
      <w:kern w:val="0"/>
      <w:sz w:val="16"/>
      <w:szCs w:val="16"/>
    </w:rPr>
  </w:style>
  <w:style w:type="paragraph" w:customStyle="1" w:styleId="xl67">
    <w:name w:val="xl6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68">
    <w:name w:val="xl68"/>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69">
    <w:name w:val="xl69"/>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0">
    <w:name w:val="xl70"/>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1">
    <w:name w:val="xl71"/>
    <w:basedOn w:val="Normal"/>
    <w:rsid w:val="0046625D"/>
    <w:pPr>
      <w:widowControl/>
      <w:spacing w:before="100" w:beforeAutospacing="1" w:after="100" w:afterAutospacing="1"/>
      <w:textAlignment w:val="top"/>
    </w:pPr>
    <w:rPr>
      <w:snapToGrid/>
      <w:kern w:val="0"/>
      <w:sz w:val="16"/>
      <w:szCs w:val="16"/>
    </w:rPr>
  </w:style>
  <w:style w:type="paragraph" w:customStyle="1" w:styleId="xl72">
    <w:name w:val="xl72"/>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3">
    <w:name w:val="xl73"/>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4">
    <w:name w:val="xl74"/>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75">
    <w:name w:val="xl75"/>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6">
    <w:name w:val="xl76"/>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numbering" w:customStyle="1" w:styleId="NoList1">
    <w:name w:val="No List1"/>
    <w:next w:val="NoList"/>
    <w:uiPriority w:val="99"/>
    <w:semiHidden/>
    <w:unhideWhenUsed/>
    <w:rsid w:val="0046625D"/>
  </w:style>
  <w:style w:type="paragraph" w:customStyle="1" w:styleId="xl77">
    <w:name w:val="xl7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paragraph" w:customStyle="1" w:styleId="xl78">
    <w:name w:val="xl78"/>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9">
    <w:name w:val="xl79"/>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80">
    <w:name w:val="xl80"/>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nterpriseefiling.fcc.gov/dataentry/login.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