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40164AE4" w14:textId="77777777">
      <w:pPr>
        <w:jc w:val="right"/>
        <w:rPr>
          <w:sz w:val="24"/>
        </w:rPr>
      </w:pPr>
      <w:bookmarkStart w:id="0" w:name="_Hlk66365547"/>
    </w:p>
    <w:p w:rsidR="00013A8B" w:rsidRPr="00B20363" w:rsidP="00013A8B" w14:paraId="73620F5E" w14:textId="082D1C78">
      <w:pPr>
        <w:jc w:val="right"/>
        <w:rPr>
          <w:b/>
          <w:sz w:val="24"/>
        </w:rPr>
      </w:pPr>
      <w:r>
        <w:rPr>
          <w:b/>
          <w:sz w:val="24"/>
        </w:rPr>
        <w:t>DA 21-</w:t>
      </w:r>
      <w:r w:rsidR="00833201">
        <w:rPr>
          <w:b/>
          <w:sz w:val="24"/>
        </w:rPr>
        <w:t>266</w:t>
      </w:r>
    </w:p>
    <w:p w:rsidR="00FD13C6" w:rsidP="00013A8B" w14:paraId="75FBDE71" w14:textId="1DD08F89">
      <w:pPr>
        <w:spacing w:before="60"/>
        <w:jc w:val="right"/>
        <w:rPr>
          <w:b/>
          <w:sz w:val="24"/>
        </w:rPr>
      </w:pPr>
      <w:r w:rsidRPr="00FD13C6">
        <w:rPr>
          <w:b/>
          <w:sz w:val="24"/>
        </w:rPr>
        <w:t>Enforcement Advisory No. 2021-</w:t>
      </w:r>
      <w:r w:rsidR="00FE4FA9">
        <w:rPr>
          <w:b/>
          <w:sz w:val="24"/>
        </w:rPr>
        <w:t>04</w:t>
      </w:r>
    </w:p>
    <w:p w:rsidR="00013A8B" w:rsidRPr="00B20363" w:rsidP="00013A8B" w14:paraId="13F47041" w14:textId="4DCE0FD3">
      <w:pPr>
        <w:spacing w:before="60"/>
        <w:jc w:val="right"/>
        <w:rPr>
          <w:b/>
          <w:sz w:val="24"/>
        </w:rPr>
      </w:pPr>
      <w:r>
        <w:rPr>
          <w:b/>
          <w:sz w:val="24"/>
        </w:rPr>
        <w:t xml:space="preserve">Released:  </w:t>
      </w:r>
      <w:r w:rsidR="006961D1">
        <w:rPr>
          <w:b/>
          <w:sz w:val="24"/>
        </w:rPr>
        <w:t>March 12, 2021</w:t>
      </w:r>
    </w:p>
    <w:p w:rsidR="00013A8B" w:rsidP="00013A8B" w14:paraId="23831EB2" w14:textId="77777777">
      <w:pPr>
        <w:jc w:val="right"/>
        <w:rPr>
          <w:sz w:val="24"/>
        </w:rPr>
      </w:pPr>
    </w:p>
    <w:p w:rsidR="00E66AE3" w:rsidP="00013A8B" w14:paraId="04F6380A" w14:textId="7A9D4BF2">
      <w:pPr>
        <w:spacing w:after="240"/>
        <w:jc w:val="center"/>
        <w:rPr>
          <w:rFonts w:ascii="Times New Roman Bold" w:hAnsi="Times New Roman Bold"/>
          <w:b/>
          <w:caps/>
          <w:sz w:val="24"/>
        </w:rPr>
      </w:pPr>
      <w:r>
        <w:rPr>
          <w:noProof/>
        </w:rPr>
        <mc:AlternateContent>
          <mc:Choice Requires="wps">
            <w:drawing>
              <wp:inline distT="0" distB="0" distL="0" distR="0">
                <wp:extent cx="5270500" cy="504825"/>
                <wp:effectExtent l="24130" t="27305" r="39370" b="48895"/>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270500" cy="504825"/>
                        </a:xfrm>
                        <a:prstGeom prst="rect">
                          <a:avLst/>
                        </a:prstGeom>
                        <a:solidFill>
                          <a:srgbClr val="17365D"/>
                        </a:solidFill>
                        <a:ln w="38100">
                          <a:solidFill>
                            <a:srgbClr val="FF0000"/>
                          </a:solidFill>
                          <a:round/>
                          <a:headEnd/>
                          <a:tailEnd/>
                        </a:ln>
                        <a:effectLst>
                          <a:outerShdw blurRad="0" dist="28398" dir="3806097" sx="100000" sy="100000" kx="0" ky="0" algn="ctr" rotWithShape="0">
                            <a:srgbClr val="622423">
                              <a:alpha val="50000"/>
                            </a:srgbClr>
                          </a:outerShdw>
                        </a:effectLst>
                      </wps:spPr>
                      <wps:txbx>
                        <w:txbxContent>
                          <w:p w:rsidR="00E66AE3" w:rsidP="00E66AE3"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E66AE3" w:rsidP="00E66AE3" w14:textId="77777777">
                            <w:pPr>
                              <w:rPr>
                                <w:sz w:val="20"/>
                                <w:lang w:bidi="x-none"/>
                              </w:rPr>
                            </w:pPr>
                          </w:p>
                        </w:txbxContent>
                      </wps:txbx>
                      <wps:bodyPr rot="0" vert="horz" wrap="square" lIns="38100" tIns="38100" rIns="38100" bIns="38100" anchor="t" anchorCtr="0" upright="1"/>
                    </wps:wsp>
                  </a:graphicData>
                </a:graphic>
              </wp:inline>
            </w:drawing>
          </mc:Choice>
          <mc:Fallback>
            <w:pict>
              <v:rect id="Rectangle 2" o:spid="_x0000_i1025" style="width:415pt;height:39.75pt;mso-left-percent:-10001;mso-position-horizontal-relative:char;mso-position-vertical-relative:line;mso-top-percent:-10001;mso-wrap-style:square;visibility:visible;v-text-anchor:top" fillcolor="#17365d" strokecolor="red" strokeweight="3pt">
                <v:stroke joinstyle="round"/>
                <v:shadow on="t" color="#622423" opacity="0.5" offset="1pt"/>
                <v:textbox inset="3pt,3pt,3pt,3pt">
                  <w:txbxContent>
                    <w:p w:rsidR="00E66AE3" w:rsidP="00E66AE3" w14:paraId="57A9E459"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E66AE3" w:rsidP="00E66AE3" w14:paraId="2BAA1EFF" w14:textId="77777777">
                      <w:pPr>
                        <w:rPr>
                          <w:sz w:val="20"/>
                          <w:lang w:bidi="x-none"/>
                        </w:rPr>
                      </w:pPr>
                    </w:p>
                  </w:txbxContent>
                </v:textbox>
                <w10:wrap type="none"/>
                <w10:anchorlock/>
              </v:rect>
            </w:pict>
          </mc:Fallback>
        </mc:AlternateContent>
      </w:r>
    </w:p>
    <w:p w:rsidR="00F96F63" w:rsidRPr="00E66AE3" w:rsidP="00E66AE3" w14:paraId="62FA8789" w14:textId="20D796E7">
      <w:pPr>
        <w:spacing w:after="240"/>
        <w:jc w:val="center"/>
        <w:rPr>
          <w:rFonts w:ascii="Times New Roman Bold" w:hAnsi="Times New Roman Bold"/>
          <w:b/>
          <w:caps/>
          <w:sz w:val="24"/>
        </w:rPr>
      </w:pPr>
      <w:r>
        <w:rPr>
          <w:rFonts w:ascii="Times New Roman Bold" w:hAnsi="Times New Roman Bold"/>
          <w:b/>
          <w:caps/>
          <w:sz w:val="24"/>
        </w:rPr>
        <w:t xml:space="preserve">ENFORCEMENT BUREAU REMINDS BROADCASTERS OF OBLIGATION TO PROVIDE SPONSORSHIP </w:t>
      </w:r>
      <w:r w:rsidR="00E747D7">
        <w:rPr>
          <w:rFonts w:ascii="Times New Roman Bold" w:hAnsi="Times New Roman Bold"/>
          <w:b/>
          <w:caps/>
          <w:sz w:val="24"/>
        </w:rPr>
        <w:t xml:space="preserve">IDENTIFICATION </w:t>
      </w:r>
      <w:r>
        <w:rPr>
          <w:rFonts w:ascii="Times New Roman Bold" w:hAnsi="Times New Roman Bold"/>
          <w:b/>
          <w:caps/>
          <w:sz w:val="24"/>
        </w:rPr>
        <w:t>DISCLOSURES</w:t>
      </w:r>
      <w:bookmarkStart w:id="1" w:name="TOChere"/>
    </w:p>
    <w:bookmarkEnd w:id="1"/>
    <w:p w:rsidR="00F96F63" w:rsidP="00F96F63" w14:paraId="402E882F" w14:textId="3655C675">
      <w:pPr>
        <w:rPr>
          <w:sz w:val="24"/>
        </w:rPr>
      </w:pPr>
      <w:r>
        <w:rPr>
          <w:sz w:val="24"/>
        </w:rPr>
        <w:t xml:space="preserve">The Enforcement Bureau of the Federal Communications Commission issues this Enforcement Advisory to remind broadcasters of their obligations to comply with the Sponsorship Identification Laws.  </w:t>
      </w:r>
      <w:r w:rsidRPr="00CA449C">
        <w:rPr>
          <w:sz w:val="24"/>
        </w:rPr>
        <w:t>Broadcasters who air paid-for programming without disclosing the program’s sponsor can mislead the public and promote unfair competition.  Such non-disclosures foster the perception by the public that a paid announcement is the station’s editorial content, while concealing that the station is being paid by a third</w:t>
      </w:r>
      <w:r w:rsidR="00D63E8B">
        <w:rPr>
          <w:sz w:val="24"/>
        </w:rPr>
        <w:t xml:space="preserve"> </w:t>
      </w:r>
      <w:r w:rsidRPr="00CA449C">
        <w:rPr>
          <w:sz w:val="24"/>
        </w:rPr>
        <w:t>party to promote a particular message.  That impression can also give undisclosed sponsors an unfair advantage over competitors whose paid programming is properly disclosed as paid-for material.  For these reasons, broadcasters are required to disclose information about the sponsors of paid-for programming under the Communications Act of 1934, as amended (Act), and the Commission’s sponsorship identification rules (collectively the Sponsorship Identification Laws).</w:t>
      </w:r>
    </w:p>
    <w:p w:rsidR="00CA449C" w:rsidP="00F96F63" w14:paraId="6E18915E" w14:textId="3F8DBA49">
      <w:pPr>
        <w:rPr>
          <w:sz w:val="24"/>
        </w:rPr>
      </w:pPr>
    </w:p>
    <w:p w:rsidR="00CA449C" w:rsidP="00F96F63" w14:paraId="3B30552B" w14:textId="675E97A2">
      <w:pPr>
        <w:rPr>
          <w:b/>
          <w:bCs/>
          <w:sz w:val="24"/>
        </w:rPr>
      </w:pPr>
      <w:r>
        <w:rPr>
          <w:b/>
          <w:bCs/>
          <w:sz w:val="24"/>
        </w:rPr>
        <w:t>The Sponsorship Identification Laws</w:t>
      </w:r>
    </w:p>
    <w:p w:rsidR="0072638D" w:rsidP="00F96F63" w14:paraId="32EC0668" w14:textId="23BE947B">
      <w:pPr>
        <w:rPr>
          <w:b/>
          <w:bCs/>
          <w:sz w:val="24"/>
        </w:rPr>
      </w:pPr>
    </w:p>
    <w:p w:rsidR="0072638D" w:rsidRPr="00CA449C" w:rsidP="0072638D" w14:paraId="6152FE36" w14:textId="3B27BDED">
      <w:pPr>
        <w:numPr>
          <w:ilvl w:val="0"/>
          <w:numId w:val="7"/>
        </w:numPr>
        <w:rPr>
          <w:b/>
          <w:bCs/>
          <w:sz w:val="24"/>
        </w:rPr>
      </w:pPr>
      <w:r>
        <w:rPr>
          <w:b/>
          <w:bCs/>
          <w:sz w:val="24"/>
        </w:rPr>
        <w:t>Broadcasters’ Disclosure Obligations</w:t>
      </w:r>
    </w:p>
    <w:p w:rsidR="00CA449C" w:rsidP="00CA449C" w14:paraId="37B3779D" w14:textId="77777777">
      <w:pPr>
        <w:rPr>
          <w:sz w:val="24"/>
        </w:rPr>
      </w:pPr>
    </w:p>
    <w:p w:rsidR="00CA449C" w:rsidP="00CA449C" w14:paraId="3204B139" w14:textId="7B00A5B0">
      <w:pPr>
        <w:rPr>
          <w:sz w:val="24"/>
        </w:rPr>
      </w:pPr>
      <w:r w:rsidRPr="00CA449C">
        <w:rPr>
          <w:sz w:val="24"/>
        </w:rPr>
        <w:t>Section 317(a)(1) of the Act and section 73.1212(a) of the Commission’s rules require stations to broadcast sponsorship identification announcements.  Specifically, section 317(a)(1) of the Act provides in part:</w:t>
      </w:r>
    </w:p>
    <w:p w:rsidR="00CA449C" w:rsidRPr="00CA449C" w:rsidP="00CA449C" w14:paraId="62E1411A" w14:textId="77777777">
      <w:pPr>
        <w:rPr>
          <w:sz w:val="24"/>
        </w:rPr>
      </w:pPr>
    </w:p>
    <w:p w:rsidR="00CA449C" w:rsidP="00CA449C" w14:paraId="790FB870" w14:textId="768B7F7F">
      <w:pPr>
        <w:ind w:left="720"/>
        <w:rPr>
          <w:sz w:val="24"/>
        </w:rPr>
      </w:pPr>
      <w:r w:rsidRPr="00CA449C">
        <w:rPr>
          <w:sz w:val="24"/>
        </w:rPr>
        <w:t>All matter broadcast by any radio station for which any money, service or other valuable consideration is directly or indirectly paid, or promised to or charged or accepted by, the station so broadcasting, from any person, shall, at the time the same is so broadcast, be announced as paid for or furnished, as the case may be, by such person . . . .</w:t>
      </w:r>
      <w:r>
        <w:rPr>
          <w:sz w:val="24"/>
          <w:vertAlign w:val="superscript"/>
        </w:rPr>
        <w:footnoteReference w:id="3"/>
      </w:r>
      <w:r w:rsidRPr="00CA449C">
        <w:rPr>
          <w:sz w:val="24"/>
        </w:rPr>
        <w:t xml:space="preserve"> </w:t>
      </w:r>
    </w:p>
    <w:p w:rsidR="00CA449C" w:rsidRPr="00CA449C" w:rsidP="00CA449C" w14:paraId="60A73168" w14:textId="77777777">
      <w:pPr>
        <w:ind w:left="720"/>
        <w:rPr>
          <w:sz w:val="24"/>
        </w:rPr>
      </w:pPr>
    </w:p>
    <w:p w:rsidR="00CA449C" w:rsidP="00CA449C" w14:paraId="6B238DA2" w14:textId="0FD206A5">
      <w:pPr>
        <w:rPr>
          <w:sz w:val="24"/>
        </w:rPr>
      </w:pPr>
      <w:r w:rsidRPr="00CA449C">
        <w:rPr>
          <w:sz w:val="24"/>
        </w:rPr>
        <w:t>Section 73.1212(a) of the Commission’s rules, which implements section 317(a)(1) of the Act, further provides in part:</w:t>
      </w:r>
    </w:p>
    <w:p w:rsidR="008F7C43" w:rsidRPr="00CA449C" w:rsidP="00CA449C" w14:paraId="0755AB88" w14:textId="77777777">
      <w:pPr>
        <w:rPr>
          <w:sz w:val="24"/>
        </w:rPr>
      </w:pPr>
    </w:p>
    <w:p w:rsidR="00CA449C" w:rsidP="008F7C43" w14:paraId="4DFD5DE3" w14:textId="11B39C13">
      <w:pPr>
        <w:ind w:left="720"/>
        <w:rPr>
          <w:sz w:val="24"/>
        </w:rPr>
      </w:pPr>
      <w:r w:rsidRPr="00CA449C">
        <w:rPr>
          <w:sz w:val="24"/>
        </w:rPr>
        <w:t>When a broadcast station transmits any matter for which money, service, or other valuable consideration is either directly or indirectly paid or promised to, or charged or accepted by such station, the station, at the time of the broadcast, shall announce: (1) That such matter is sponsored, paid for, or furnished, either in whole or in part, and (2) By whom or on whose behalf such consideration was supplied . . . .</w:t>
      </w:r>
      <w:r>
        <w:rPr>
          <w:sz w:val="24"/>
          <w:vertAlign w:val="superscript"/>
        </w:rPr>
        <w:footnoteReference w:id="4"/>
      </w:r>
      <w:r w:rsidRPr="00CA449C">
        <w:rPr>
          <w:sz w:val="24"/>
        </w:rPr>
        <w:t xml:space="preserve">  </w:t>
      </w:r>
    </w:p>
    <w:p w:rsidR="0072638D" w:rsidP="008F7C43" w14:paraId="327733BC" w14:textId="3D3C053F">
      <w:pPr>
        <w:ind w:left="720"/>
        <w:rPr>
          <w:sz w:val="24"/>
        </w:rPr>
      </w:pPr>
    </w:p>
    <w:p w:rsidR="0072638D" w:rsidRPr="0072638D" w:rsidP="0072638D" w14:paraId="42A228D7" w14:textId="323AE3C7">
      <w:pPr>
        <w:numPr>
          <w:ilvl w:val="0"/>
          <w:numId w:val="7"/>
        </w:numPr>
        <w:rPr>
          <w:b/>
          <w:bCs/>
          <w:sz w:val="24"/>
        </w:rPr>
      </w:pPr>
      <w:r>
        <w:rPr>
          <w:b/>
          <w:bCs/>
          <w:sz w:val="24"/>
        </w:rPr>
        <w:t>Section 507 Reporting Obligations and Broadcasters’ Reasonable Diligence Obligations</w:t>
      </w:r>
    </w:p>
    <w:p w:rsidR="00930ECF" w:rsidP="00F96F63" w14:paraId="542B3EC0" w14:textId="7CA22DBC">
      <w:pPr>
        <w:rPr>
          <w:sz w:val="24"/>
        </w:rPr>
      </w:pPr>
    </w:p>
    <w:p w:rsidR="000E3955" w:rsidP="00F96F63" w14:paraId="4349E37A" w14:textId="157B123E">
      <w:pPr>
        <w:rPr>
          <w:sz w:val="24"/>
        </w:rPr>
      </w:pPr>
      <w:r w:rsidRPr="004830E6">
        <w:rPr>
          <w:sz w:val="24"/>
        </w:rPr>
        <w:t xml:space="preserve">Section 507 of the Act establishes a reporting scheme designed to ensure that broadcast licensees receive </w:t>
      </w:r>
      <w:r w:rsidR="00AB560F">
        <w:rPr>
          <w:sz w:val="24"/>
        </w:rPr>
        <w:t xml:space="preserve">advance </w:t>
      </w:r>
      <w:r w:rsidRPr="004830E6">
        <w:rPr>
          <w:sz w:val="24"/>
        </w:rPr>
        <w:t xml:space="preserve">notice </w:t>
      </w:r>
      <w:r w:rsidR="0072638D">
        <w:rPr>
          <w:sz w:val="24"/>
        </w:rPr>
        <w:t xml:space="preserve">when </w:t>
      </w:r>
      <w:r w:rsidRPr="004830E6">
        <w:rPr>
          <w:sz w:val="24"/>
        </w:rPr>
        <w:t xml:space="preserve">consideration </w:t>
      </w:r>
      <w:r w:rsidR="0072638D">
        <w:rPr>
          <w:sz w:val="24"/>
        </w:rPr>
        <w:t>is paid</w:t>
      </w:r>
      <w:r w:rsidRPr="004830E6">
        <w:rPr>
          <w:sz w:val="24"/>
        </w:rPr>
        <w:t xml:space="preserve"> or promised in exchange for the inclusion of program</w:t>
      </w:r>
      <w:r w:rsidR="0072638D">
        <w:rPr>
          <w:sz w:val="24"/>
        </w:rPr>
        <w:t xml:space="preserve"> material in a broadcast.</w:t>
      </w:r>
      <w:r>
        <w:rPr>
          <w:rStyle w:val="FootnoteReference"/>
        </w:rPr>
        <w:footnoteReference w:id="5"/>
      </w:r>
      <w:r w:rsidRPr="004830E6">
        <w:rPr>
          <w:sz w:val="24"/>
        </w:rPr>
        <w:t xml:space="preserve"> </w:t>
      </w:r>
      <w:r w:rsidR="00AB560F">
        <w:rPr>
          <w:sz w:val="24"/>
        </w:rPr>
        <w:t xml:space="preserve"> </w:t>
      </w:r>
      <w:r w:rsidR="00916F31">
        <w:rPr>
          <w:sz w:val="24"/>
        </w:rPr>
        <w:t>Under section 507,</w:t>
      </w:r>
      <w:r w:rsidRPr="00916F31" w:rsidR="00916F31">
        <w:rPr>
          <w:sz w:val="24"/>
        </w:rPr>
        <w:t xml:space="preserve"> information must be provided up the chain of production and distribution</w:t>
      </w:r>
      <w:r w:rsidR="00916F31">
        <w:rPr>
          <w:sz w:val="24"/>
        </w:rPr>
        <w:t xml:space="preserve"> to the licensee</w:t>
      </w:r>
      <w:r w:rsidRPr="00916F31" w:rsidR="00916F31">
        <w:rPr>
          <w:sz w:val="24"/>
        </w:rPr>
        <w:t xml:space="preserve"> before the time of broadcast</w:t>
      </w:r>
      <w:r w:rsidR="00916F31">
        <w:rPr>
          <w:sz w:val="24"/>
        </w:rPr>
        <w:t xml:space="preserve"> in order to enable the licensee to air the required sponsorship identification announcement disclosing that the material was broadcast in exchange for consideration.</w:t>
      </w:r>
      <w:r>
        <w:rPr>
          <w:rStyle w:val="FootnoteReference"/>
        </w:rPr>
        <w:footnoteReference w:id="6"/>
      </w:r>
      <w:r w:rsidR="00916F31">
        <w:rPr>
          <w:sz w:val="24"/>
        </w:rPr>
        <w:t xml:space="preserve">    </w:t>
      </w:r>
    </w:p>
    <w:p w:rsidR="000E3955" w:rsidP="00F96F63" w14:paraId="5050EADD" w14:textId="77777777">
      <w:pPr>
        <w:rPr>
          <w:sz w:val="24"/>
        </w:rPr>
      </w:pPr>
    </w:p>
    <w:p w:rsidR="008F7C43" w:rsidP="00F96F63" w14:paraId="74C18160" w14:textId="49142778">
      <w:pPr>
        <w:rPr>
          <w:sz w:val="24"/>
        </w:rPr>
      </w:pPr>
      <w:r>
        <w:rPr>
          <w:sz w:val="24"/>
        </w:rPr>
        <w:t>Broadcasters have the obligation to</w:t>
      </w:r>
      <w:r w:rsidR="00776B92">
        <w:rPr>
          <w:sz w:val="24"/>
        </w:rPr>
        <w:t xml:space="preserve"> exercise reasonable diligence </w:t>
      </w:r>
      <w:r w:rsidR="00102C04">
        <w:rPr>
          <w:sz w:val="24"/>
        </w:rPr>
        <w:t xml:space="preserve">to </w:t>
      </w:r>
      <w:r w:rsidR="0072638D">
        <w:rPr>
          <w:sz w:val="24"/>
        </w:rPr>
        <w:t>obtain the</w:t>
      </w:r>
      <w:r w:rsidR="0020313C">
        <w:rPr>
          <w:sz w:val="24"/>
        </w:rPr>
        <w:t xml:space="preserve"> information</w:t>
      </w:r>
      <w:r w:rsidR="0072638D">
        <w:rPr>
          <w:sz w:val="24"/>
        </w:rPr>
        <w:t xml:space="preserve"> required by section 507 and </w:t>
      </w:r>
      <w:r w:rsidR="00916F31">
        <w:rPr>
          <w:sz w:val="24"/>
        </w:rPr>
        <w:t xml:space="preserve">to </w:t>
      </w:r>
      <w:r w:rsidR="00AB560F">
        <w:rPr>
          <w:sz w:val="24"/>
        </w:rPr>
        <w:t>provide</w:t>
      </w:r>
      <w:r w:rsidR="0072638D">
        <w:rPr>
          <w:sz w:val="24"/>
        </w:rPr>
        <w:t xml:space="preserve"> the required sponsorship disclosures.  </w:t>
      </w:r>
      <w:r>
        <w:rPr>
          <w:sz w:val="24"/>
        </w:rPr>
        <w:t xml:space="preserve"> </w:t>
      </w:r>
    </w:p>
    <w:p w:rsidR="008F7C43" w:rsidP="00F96F63" w14:paraId="2AC885F8" w14:textId="69C84D96">
      <w:pPr>
        <w:rPr>
          <w:sz w:val="24"/>
        </w:rPr>
      </w:pPr>
    </w:p>
    <w:p w:rsidR="008F7C43" w:rsidP="00F96F63" w14:paraId="4455732C" w14:textId="0DB140CB">
      <w:pPr>
        <w:rPr>
          <w:sz w:val="24"/>
        </w:rPr>
      </w:pPr>
      <w:r>
        <w:rPr>
          <w:sz w:val="24"/>
        </w:rPr>
        <w:t>Section 317(c) of the Act provides:</w:t>
      </w:r>
    </w:p>
    <w:p w:rsidR="008F7C43" w:rsidP="00F96F63" w14:paraId="640F5A20" w14:textId="3C01682C">
      <w:pPr>
        <w:rPr>
          <w:sz w:val="24"/>
        </w:rPr>
      </w:pPr>
    </w:p>
    <w:p w:rsidR="008F7C43" w:rsidP="008F7C43" w14:paraId="149451EE" w14:textId="542A0BD0">
      <w:pPr>
        <w:ind w:left="720"/>
        <w:rPr>
          <w:sz w:val="24"/>
        </w:rPr>
      </w:pPr>
      <w:r w:rsidRPr="008F7C43">
        <w:rPr>
          <w:sz w:val="24"/>
        </w:rPr>
        <w:t>The licensee of each radio station shall exercise reasonable diligence to obtain from its employees, and from other persons with whom it deals directly in connection with any program or program matter for broadcast, information to enable such licensee to make the announcement required by this section.</w:t>
      </w:r>
      <w:r>
        <w:rPr>
          <w:rStyle w:val="FootnoteReference"/>
        </w:rPr>
        <w:footnoteReference w:id="7"/>
      </w:r>
    </w:p>
    <w:p w:rsidR="00916F31" w:rsidP="008F7C43" w14:paraId="645E5C18" w14:textId="12FFFABC">
      <w:pPr>
        <w:ind w:left="720"/>
        <w:rPr>
          <w:sz w:val="24"/>
        </w:rPr>
      </w:pPr>
    </w:p>
    <w:p w:rsidR="00214052" w:rsidRPr="00214052" w:rsidP="00214052" w14:paraId="5FADB86B" w14:textId="253B0FA5">
      <w:pPr>
        <w:rPr>
          <w:sz w:val="24"/>
        </w:rPr>
      </w:pPr>
      <w:r>
        <w:rPr>
          <w:sz w:val="24"/>
        </w:rPr>
        <w:t>Section 73.1212(b) of the Commission’s rules</w:t>
      </w:r>
      <w:r>
        <w:rPr>
          <w:sz w:val="24"/>
        </w:rPr>
        <w:t xml:space="preserve"> contains a similar provision implementing </w:t>
      </w:r>
      <w:r w:rsidR="0020313C">
        <w:rPr>
          <w:sz w:val="24"/>
        </w:rPr>
        <w:t xml:space="preserve">licensees’ </w:t>
      </w:r>
      <w:r>
        <w:rPr>
          <w:sz w:val="24"/>
        </w:rPr>
        <w:t xml:space="preserve">reasonable diligence obligations of </w:t>
      </w:r>
      <w:r>
        <w:rPr>
          <w:sz w:val="24"/>
        </w:rPr>
        <w:t>section 317(c) of the Act</w:t>
      </w:r>
      <w:r>
        <w:rPr>
          <w:sz w:val="24"/>
        </w:rPr>
        <w:t>.</w:t>
      </w:r>
      <w:r>
        <w:rPr>
          <w:rStyle w:val="FootnoteReference"/>
        </w:rPr>
        <w:footnoteReference w:id="8"/>
      </w:r>
      <w:r>
        <w:rPr>
          <w:sz w:val="24"/>
        </w:rPr>
        <w:t xml:space="preserve">  </w:t>
      </w:r>
    </w:p>
    <w:p w:rsidR="008F7C43" w:rsidP="00F96F63" w14:paraId="1D064511" w14:textId="29F86601">
      <w:pPr>
        <w:rPr>
          <w:sz w:val="24"/>
        </w:rPr>
      </w:pPr>
    </w:p>
    <w:p w:rsidR="00F97641" w:rsidRPr="00F97641" w:rsidP="00F97641" w14:paraId="41DAA8EA" w14:textId="447D4EAE">
      <w:pPr>
        <w:rPr>
          <w:b/>
          <w:sz w:val="24"/>
        </w:rPr>
      </w:pPr>
      <w:r w:rsidRPr="00F97641">
        <w:rPr>
          <w:b/>
          <w:sz w:val="24"/>
        </w:rPr>
        <w:t xml:space="preserve">What are the consequences </w:t>
      </w:r>
      <w:r w:rsidR="009B570E">
        <w:rPr>
          <w:b/>
          <w:sz w:val="24"/>
        </w:rPr>
        <w:t>of</w:t>
      </w:r>
      <w:r w:rsidRPr="00F97641">
        <w:rPr>
          <w:b/>
          <w:sz w:val="24"/>
        </w:rPr>
        <w:t xml:space="preserve"> violating the </w:t>
      </w:r>
      <w:r w:rsidR="009B570E">
        <w:rPr>
          <w:b/>
          <w:sz w:val="24"/>
        </w:rPr>
        <w:t>Sponsorship Identification Laws</w:t>
      </w:r>
      <w:r w:rsidRPr="00F97641">
        <w:rPr>
          <w:b/>
          <w:sz w:val="24"/>
        </w:rPr>
        <w:t>?</w:t>
      </w:r>
    </w:p>
    <w:p w:rsidR="00F97641" w:rsidRPr="00F97641" w:rsidP="00F97641" w14:paraId="7C8EF1A5" w14:textId="77777777">
      <w:pPr>
        <w:rPr>
          <w:b/>
          <w:sz w:val="24"/>
        </w:rPr>
      </w:pPr>
    </w:p>
    <w:p w:rsidR="00F97641" w:rsidP="00F97641" w14:paraId="396DF481" w14:textId="443AF833">
      <w:pPr>
        <w:rPr>
          <w:sz w:val="24"/>
        </w:rPr>
      </w:pPr>
      <w:r w:rsidRPr="00F97641">
        <w:rPr>
          <w:sz w:val="24"/>
        </w:rPr>
        <w:t xml:space="preserve">Failure to comply with the </w:t>
      </w:r>
      <w:r>
        <w:rPr>
          <w:sz w:val="24"/>
        </w:rPr>
        <w:t>Sponsorship Identification Laws</w:t>
      </w:r>
      <w:r w:rsidRPr="00F97641">
        <w:rPr>
          <w:sz w:val="24"/>
        </w:rPr>
        <w:t xml:space="preserve"> may subject a violator to sanctions including, but not limited to, </w:t>
      </w:r>
      <w:r w:rsidRPr="009F08AB" w:rsidR="009F08AB">
        <w:rPr>
          <w:sz w:val="24"/>
        </w:rPr>
        <w:t>imprisonment</w:t>
      </w:r>
      <w:r>
        <w:rPr>
          <w:sz w:val="24"/>
          <w:vertAlign w:val="superscript"/>
        </w:rPr>
        <w:footnoteReference w:id="9"/>
      </w:r>
      <w:r w:rsidR="009F08AB">
        <w:rPr>
          <w:sz w:val="24"/>
        </w:rPr>
        <w:t xml:space="preserve"> and/or </w:t>
      </w:r>
      <w:r w:rsidRPr="00F97641">
        <w:rPr>
          <w:sz w:val="24"/>
        </w:rPr>
        <w:t>substantial monetary forfeitures</w:t>
      </w:r>
      <w:r>
        <w:rPr>
          <w:sz w:val="24"/>
        </w:rPr>
        <w:t>.</w:t>
      </w:r>
      <w:r>
        <w:rPr>
          <w:rStyle w:val="FootnoteReference"/>
        </w:rPr>
        <w:footnoteReference w:id="10"/>
      </w:r>
      <w:r w:rsidR="00E00C8B">
        <w:rPr>
          <w:sz w:val="24"/>
        </w:rPr>
        <w:t xml:space="preserve">  </w:t>
      </w:r>
    </w:p>
    <w:p w:rsidR="000E3955" w:rsidP="00F97641" w14:paraId="7508B3BF" w14:textId="43E3AAB0">
      <w:pPr>
        <w:rPr>
          <w:sz w:val="24"/>
        </w:rPr>
      </w:pPr>
    </w:p>
    <w:p w:rsidR="000E3955" w:rsidRPr="000E3955" w:rsidP="000E3955" w14:paraId="6A5D1EC3" w14:textId="77777777">
      <w:pPr>
        <w:rPr>
          <w:b/>
          <w:sz w:val="24"/>
        </w:rPr>
      </w:pPr>
      <w:r w:rsidRPr="000E3955">
        <w:rPr>
          <w:b/>
          <w:sz w:val="24"/>
        </w:rPr>
        <w:t>Need more information?</w:t>
      </w:r>
    </w:p>
    <w:p w:rsidR="000E3955" w:rsidRPr="000E3955" w:rsidP="000E3955" w14:paraId="11720E7C" w14:textId="77777777">
      <w:pPr>
        <w:rPr>
          <w:b/>
          <w:sz w:val="24"/>
        </w:rPr>
      </w:pPr>
    </w:p>
    <w:p w:rsidR="000E3955" w:rsidRPr="000E3955" w:rsidP="000E3955" w14:paraId="5FA2773F" w14:textId="619718BC">
      <w:pPr>
        <w:rPr>
          <w:sz w:val="24"/>
        </w:rPr>
      </w:pPr>
      <w:bookmarkStart w:id="4" w:name="_Hlk66365407"/>
      <w:r w:rsidRPr="000E3955">
        <w:rPr>
          <w:sz w:val="24"/>
        </w:rPr>
        <w:t xml:space="preserve">Media inquiries should be directed to </w:t>
      </w:r>
      <w:r w:rsidR="005E53DD">
        <w:rPr>
          <w:sz w:val="24"/>
        </w:rPr>
        <w:t xml:space="preserve">Katie </w:t>
      </w:r>
      <w:r w:rsidR="005E53DD">
        <w:rPr>
          <w:sz w:val="24"/>
        </w:rPr>
        <w:t>Gorscak</w:t>
      </w:r>
      <w:r w:rsidRPr="000E3955">
        <w:rPr>
          <w:sz w:val="24"/>
        </w:rPr>
        <w:t xml:space="preserve"> of the Office of Media Relations at: (202) 418-</w:t>
      </w:r>
      <w:r w:rsidR="009630DB">
        <w:rPr>
          <w:sz w:val="24"/>
        </w:rPr>
        <w:t>2156</w:t>
      </w:r>
      <w:r w:rsidRPr="000E3955">
        <w:rPr>
          <w:sz w:val="24"/>
        </w:rPr>
        <w:t>, or by e-mail, at:</w:t>
      </w:r>
      <w:r w:rsidR="00DC1C36">
        <w:rPr>
          <w:sz w:val="24"/>
        </w:rPr>
        <w:t xml:space="preserve"> </w:t>
      </w:r>
      <w:r w:rsidRPr="000E3955">
        <w:rPr>
          <w:sz w:val="24"/>
        </w:rPr>
        <w:t xml:space="preserve"> </w:t>
      </w:r>
      <w:hyperlink r:id="rId5" w:history="1">
        <w:r w:rsidR="00045F51">
          <w:rPr>
            <w:rStyle w:val="Hyperlink"/>
          </w:rPr>
          <w:t>Katie.Gorscak@fcc.gov</w:t>
        </w:r>
      </w:hyperlink>
      <w:r w:rsidRPr="000E3955">
        <w:rPr>
          <w:sz w:val="24"/>
        </w:rPr>
        <w:t>.</w:t>
      </w:r>
      <w:bookmarkEnd w:id="4"/>
      <w:r w:rsidRPr="000E3955">
        <w:rPr>
          <w:sz w:val="24"/>
        </w:rPr>
        <w:t xml:space="preserve">  Questions about </w:t>
      </w:r>
      <w:r>
        <w:rPr>
          <w:sz w:val="24"/>
        </w:rPr>
        <w:t xml:space="preserve">broadcasters’ sponsorship identification disclosure </w:t>
      </w:r>
      <w:r w:rsidRPr="006961D1">
        <w:rPr>
          <w:sz w:val="24"/>
        </w:rPr>
        <w:t xml:space="preserve">obligations should be directed to </w:t>
      </w:r>
      <w:r w:rsidRPr="006961D1" w:rsidR="006961D1">
        <w:rPr>
          <w:sz w:val="24"/>
        </w:rPr>
        <w:t>Investigation</w:t>
      </w:r>
      <w:r w:rsidR="008D4C8E">
        <w:rPr>
          <w:sz w:val="24"/>
        </w:rPr>
        <w:t>s</w:t>
      </w:r>
      <w:r w:rsidRPr="006961D1" w:rsidR="006961D1">
        <w:rPr>
          <w:sz w:val="24"/>
        </w:rPr>
        <w:t xml:space="preserve"> and Hearings Division</w:t>
      </w:r>
      <w:r w:rsidRPr="006961D1">
        <w:rPr>
          <w:sz w:val="24"/>
        </w:rPr>
        <w:t xml:space="preserve"> of the Enforcement Bureau at: (202) 418-</w:t>
      </w:r>
      <w:r w:rsidRPr="006961D1" w:rsidR="006961D1">
        <w:rPr>
          <w:sz w:val="24"/>
        </w:rPr>
        <w:t>1420</w:t>
      </w:r>
      <w:r w:rsidRPr="006961D1">
        <w:rPr>
          <w:sz w:val="24"/>
        </w:rPr>
        <w:t xml:space="preserve">, or by e-mail, </w:t>
      </w:r>
      <w:hyperlink r:id="rId6" w:history="1">
        <w:r w:rsidRPr="006961D1" w:rsidR="006961D1">
          <w:rPr>
            <w:rStyle w:val="Hyperlink"/>
            <w:sz w:val="24"/>
            <w:szCs w:val="24"/>
          </w:rPr>
          <w:t>EnforcementBureau-IHD@fcc.gov</w:t>
        </w:r>
      </w:hyperlink>
      <w:r w:rsidRPr="006961D1">
        <w:rPr>
          <w:sz w:val="24"/>
          <w:szCs w:val="24"/>
        </w:rPr>
        <w:t xml:space="preserve">.  For additional information regarding the Sponsorship Identification Laws, please visit </w:t>
      </w:r>
      <w:hyperlink r:id="rId7" w:history="1">
        <w:r w:rsidRPr="006961D1">
          <w:rPr>
            <w:rStyle w:val="Hyperlink"/>
            <w:sz w:val="24"/>
            <w:szCs w:val="24"/>
          </w:rPr>
          <w:t>https://www.fcc.gov/enforcement/orders/1835</w:t>
        </w:r>
      </w:hyperlink>
      <w:r w:rsidRPr="006961D1">
        <w:rPr>
          <w:sz w:val="24"/>
          <w:szCs w:val="24"/>
        </w:rPr>
        <w:t>.  To request materials</w:t>
      </w:r>
      <w:r w:rsidRPr="000E3955">
        <w:rPr>
          <w:sz w:val="24"/>
        </w:rPr>
        <w:t xml:space="preserve"> in accessible formats for people with disabilities (Braille, large print, electronic files, or audio format), send an e-mail to </w:t>
      </w:r>
      <w:hyperlink r:id="rId8" w:history="1">
        <w:r w:rsidRPr="000E3955">
          <w:rPr>
            <w:rStyle w:val="Hyperlink"/>
            <w:sz w:val="24"/>
          </w:rPr>
          <w:t>fcc504@fcc.gov</w:t>
        </w:r>
      </w:hyperlink>
      <w:r w:rsidRPr="000E3955">
        <w:rPr>
          <w:sz w:val="24"/>
        </w:rPr>
        <w:t xml:space="preserve"> or call the Consumer &amp; Governmental Affairs Bureau at 202-418-0530 (voice).  </w:t>
      </w:r>
    </w:p>
    <w:p w:rsidR="000E3955" w:rsidRPr="000E3955" w:rsidP="000E3955" w14:paraId="76C5A1AC" w14:textId="77777777">
      <w:pPr>
        <w:rPr>
          <w:sz w:val="24"/>
        </w:rPr>
      </w:pPr>
    </w:p>
    <w:p w:rsidR="000E3955" w:rsidRPr="000E3955" w:rsidP="000E3955" w14:paraId="16D83202" w14:textId="77777777">
      <w:pPr>
        <w:ind w:left="5040"/>
        <w:rPr>
          <w:sz w:val="24"/>
        </w:rPr>
      </w:pPr>
      <w:r w:rsidRPr="000E3955">
        <w:rPr>
          <w:sz w:val="24"/>
        </w:rPr>
        <w:t>Issued by:  Chief, Enforcement Bureau</w:t>
      </w:r>
    </w:p>
    <w:bookmarkEnd w:id="0"/>
    <w:p w:rsidR="000E3955" w:rsidRPr="00930ECF" w:rsidP="00F97641" w14:paraId="1017E899"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ED4F6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AF254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7AF" w:rsidRPr="006961D1" w:rsidP="006961D1" w14:paraId="3CBA00D7" w14:textId="5C5EA853">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3A57AF" w14:paraId="306FDF88" w14:textId="4B6A55B2">
    <w:pPr>
      <w:pStyle w:val="Footer"/>
      <w:tabs>
        <w:tab w:val="clear" w:pos="8640"/>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3A33" w14:paraId="6F00B3BE" w14:textId="77777777">
      <w:r>
        <w:separator/>
      </w:r>
    </w:p>
  </w:footnote>
  <w:footnote w:type="continuationSeparator" w:id="1">
    <w:p w:rsidR="00CB3A33" w:rsidRPr="00045F51" w:rsidP="00045F51" w14:paraId="5806F74E" w14:textId="77777777">
      <w:pPr>
        <w:rPr>
          <w:sz w:val="20"/>
        </w:rPr>
      </w:pPr>
      <w:r>
        <w:rPr>
          <w:sz w:val="20"/>
        </w:rPr>
        <w:t xml:space="preserve">(Continued from previous page)  </w:t>
      </w:r>
      <w:r>
        <w:rPr>
          <w:sz w:val="20"/>
        </w:rPr>
        <w:separator/>
      </w:r>
    </w:p>
  </w:footnote>
  <w:footnote w:type="continuationNotice" w:id="2">
    <w:p w:rsidR="00CB3A33" w:rsidP="00910F12" w14:paraId="22B13C7F" w14:textId="77777777">
      <w:pPr>
        <w:jc w:val="right"/>
        <w:rPr>
          <w:sz w:val="20"/>
        </w:rPr>
      </w:pPr>
      <w:r>
        <w:rPr>
          <w:sz w:val="20"/>
        </w:rPr>
        <w:t>(continued….)</w:t>
      </w:r>
    </w:p>
  </w:footnote>
  <w:footnote w:id="3">
    <w:p w:rsidR="00CA449C" w:rsidRPr="003F6A38" w:rsidP="00CA449C" w14:paraId="0C07A5CF" w14:textId="77777777">
      <w:pPr>
        <w:pStyle w:val="FootnoteText"/>
      </w:pPr>
      <w:r w:rsidRPr="003F6A38">
        <w:rPr>
          <w:rStyle w:val="FootnoteReference"/>
        </w:rPr>
        <w:footnoteRef/>
      </w:r>
      <w:r w:rsidRPr="003F6A38">
        <w:t xml:space="preserve"> 47 U.S.C. § 317(a)(1).  </w:t>
      </w:r>
    </w:p>
  </w:footnote>
  <w:footnote w:id="4">
    <w:p w:rsidR="00CA449C" w:rsidRPr="003F6A38" w:rsidP="00CA449C" w14:paraId="1C70AF99" w14:textId="77777777">
      <w:pPr>
        <w:pStyle w:val="FootnoteText"/>
      </w:pPr>
      <w:r w:rsidRPr="003F6A38">
        <w:rPr>
          <w:rStyle w:val="FootnoteReference"/>
        </w:rPr>
        <w:footnoteRef/>
      </w:r>
      <w:r w:rsidRPr="003F6A38">
        <w:t xml:space="preserve"> </w:t>
      </w:r>
      <w:bookmarkStart w:id="2" w:name="_Hlk64970996"/>
      <w:r w:rsidRPr="003F6A38">
        <w:t>47 CFR § 73.1212(a).</w:t>
      </w:r>
      <w:bookmarkEnd w:id="2"/>
    </w:p>
  </w:footnote>
  <w:footnote w:id="5">
    <w:p w:rsidR="00214052" w14:paraId="693416AA" w14:textId="0F6B5B89">
      <w:pPr>
        <w:pStyle w:val="FootnoteText"/>
      </w:pPr>
      <w:r>
        <w:rPr>
          <w:rStyle w:val="FootnoteReference"/>
        </w:rPr>
        <w:footnoteRef/>
      </w:r>
      <w:r>
        <w:t xml:space="preserve"> 47 U.S.C. § 508(a)-(c).</w:t>
      </w:r>
    </w:p>
  </w:footnote>
  <w:footnote w:id="6">
    <w:p w:rsidR="009B570E" w:rsidRPr="009B570E" w14:paraId="2D779FE7" w14:textId="11CB7CCA">
      <w:pPr>
        <w:pStyle w:val="FootnoteText"/>
      </w:pPr>
      <w:r>
        <w:rPr>
          <w:rStyle w:val="FootnoteReference"/>
        </w:rPr>
        <w:footnoteRef/>
      </w:r>
      <w:r>
        <w:t xml:space="preserve"> </w:t>
      </w:r>
      <w:r>
        <w:rPr>
          <w:i/>
          <w:iCs/>
        </w:rPr>
        <w:t xml:space="preserve">See </w:t>
      </w:r>
      <w:bookmarkStart w:id="3" w:name="_Hlk64975496"/>
      <w:r>
        <w:t>47</w:t>
      </w:r>
      <w:r w:rsidR="00F969E2">
        <w:t xml:space="preserve"> U.S.C. § 317</w:t>
      </w:r>
      <w:bookmarkEnd w:id="3"/>
      <w:r w:rsidR="00F969E2">
        <w:t>(b); 47</w:t>
      </w:r>
      <w:r>
        <w:t xml:space="preserve"> CFR § 73</w:t>
      </w:r>
      <w:r w:rsidR="00E00C8B">
        <w:t>,</w:t>
      </w:r>
      <w:r>
        <w:t xml:space="preserve">1212(c) (requiring the licensee to air a sponsorship identification announcement when it receives a section 507 report that consideration was paid or promised to an individual or entity in the chain of production in exchange for broadcast of the material).  </w:t>
      </w:r>
    </w:p>
  </w:footnote>
  <w:footnote w:id="7">
    <w:p w:rsidR="00311618" w14:paraId="6C141C00" w14:textId="216D36A0">
      <w:pPr>
        <w:pStyle w:val="FootnoteText"/>
      </w:pPr>
      <w:r>
        <w:rPr>
          <w:rStyle w:val="FootnoteReference"/>
        </w:rPr>
        <w:footnoteRef/>
      </w:r>
      <w:r>
        <w:t xml:space="preserve"> 47 U.S.C. § 317(c).</w:t>
      </w:r>
    </w:p>
  </w:footnote>
  <w:footnote w:id="8">
    <w:p w:rsidR="00214052" w14:paraId="17D81012" w14:textId="4AC969CE">
      <w:pPr>
        <w:pStyle w:val="FootnoteText"/>
      </w:pPr>
      <w:r>
        <w:rPr>
          <w:rStyle w:val="FootnoteReference"/>
        </w:rPr>
        <w:footnoteRef/>
      </w:r>
      <w:r>
        <w:t xml:space="preserve"> </w:t>
      </w:r>
      <w:r w:rsidRPr="00214052">
        <w:t>47 CFR § 73.1212(</w:t>
      </w:r>
      <w:r>
        <w:t>b</w:t>
      </w:r>
      <w:r w:rsidRPr="00214052">
        <w:t>).</w:t>
      </w:r>
    </w:p>
  </w:footnote>
  <w:footnote w:id="9">
    <w:p w:rsidR="009F08AB" w:rsidP="009F08AB" w14:paraId="570D9CB5" w14:textId="77777777">
      <w:pPr>
        <w:pStyle w:val="FootnoteText"/>
      </w:pPr>
      <w:r>
        <w:rPr>
          <w:rStyle w:val="FootnoteReference"/>
        </w:rPr>
        <w:footnoteRef/>
      </w:r>
      <w:r>
        <w:t xml:space="preserve"> 47 U.S.C. § 508(g).</w:t>
      </w:r>
    </w:p>
  </w:footnote>
  <w:footnote w:id="10">
    <w:p w:rsidR="00F97641" w:rsidRPr="00776B92" w14:paraId="12F71119" w14:textId="7345DEB2">
      <w:pPr>
        <w:pStyle w:val="FootnoteText"/>
      </w:pPr>
      <w:r>
        <w:rPr>
          <w:rStyle w:val="FootnoteReference"/>
        </w:rPr>
        <w:footnoteRef/>
      </w:r>
      <w:r>
        <w:t xml:space="preserve"> </w:t>
      </w:r>
      <w:r>
        <w:rPr>
          <w:i/>
          <w:iCs/>
        </w:rPr>
        <w:t xml:space="preserve">See, e.g., </w:t>
      </w:r>
      <w:r w:rsidR="00776B92">
        <w:rPr>
          <w:i/>
          <w:iCs/>
        </w:rPr>
        <w:t xml:space="preserve">Cumulus Radio LLC </w:t>
      </w:r>
      <w:r w:rsidRPr="00776B92" w:rsidR="00776B92">
        <w:rPr>
          <w:i/>
          <w:iCs/>
        </w:rPr>
        <w:t>et al.</w:t>
      </w:r>
      <w:r w:rsidR="00776B92">
        <w:rPr>
          <w:i/>
          <w:iCs/>
        </w:rPr>
        <w:t xml:space="preserve">, </w:t>
      </w:r>
      <w:r w:rsidR="00776B92">
        <w:t xml:space="preserve">Forfeiture Order, FCC 21-19, 2021 WL 146813 (Jan. </w:t>
      </w:r>
      <w:r w:rsidR="009004B6">
        <w:t>14</w:t>
      </w:r>
      <w:r w:rsidR="00776B92">
        <w:t>, 2021) (forfeiture paid) (imposing a $23</w:t>
      </w:r>
      <w:r w:rsidR="00786653">
        <w:t>3</w:t>
      </w:r>
      <w:r w:rsidR="00776B92">
        <w:t xml:space="preserve">,000 forfeiture for </w:t>
      </w:r>
      <w:r w:rsidR="00786653">
        <w:t>26 new violations of the Sponsorship Identification Laws and Cumulus’s failure to timely report certain of those violations as required by a 2016 Consent Decree that resolved violations of the Sponsorship Identification Laws</w:t>
      </w:r>
      <w:r w:rsidR="00311618">
        <w:t>);</w:t>
      </w:r>
      <w:r w:rsidRPr="006F38B9" w:rsidR="00311618">
        <w:rPr>
          <w:i/>
          <w:snapToGrid w:val="0"/>
          <w:kern w:val="28"/>
          <w:sz w:val="22"/>
        </w:rPr>
        <w:t xml:space="preserve"> </w:t>
      </w:r>
      <w:r w:rsidRPr="006F38B9" w:rsidR="006F38B9">
        <w:rPr>
          <w:i/>
        </w:rPr>
        <w:t>Sinclair Broadcast Group, Inc.</w:t>
      </w:r>
      <w:r w:rsidRPr="006F38B9" w:rsidR="006F38B9">
        <w:t xml:space="preserve">, Notice of Apparent Liability for Forfeiture, 32 FCC </w:t>
      </w:r>
      <w:r w:rsidRPr="006F38B9" w:rsidR="006F38B9">
        <w:t>Rcd</w:t>
      </w:r>
      <w:r w:rsidRPr="006F38B9" w:rsidR="006F38B9">
        <w:t xml:space="preserve"> 10853 (2017)</w:t>
      </w:r>
      <w:r w:rsidR="006F38B9">
        <w:t xml:space="preserve"> (proposing a $13,</w:t>
      </w:r>
      <w:r w:rsidR="002560CD">
        <w:t>376,280</w:t>
      </w:r>
      <w:r w:rsidR="006F38B9">
        <w:t xml:space="preserve"> forfeiture penalty for</w:t>
      </w:r>
      <w:r w:rsidR="002560CD">
        <w:t xml:space="preserve"> over 1,</w:t>
      </w:r>
      <w:r w:rsidR="009F08AB">
        <w:t>7</w:t>
      </w:r>
      <w:r w:rsidR="002560CD">
        <w:t>00 apparent violations of the Sponsorship Identification Laws)</w:t>
      </w:r>
      <w:r w:rsidR="006F38B9">
        <w:t xml:space="preserve">, </w:t>
      </w:r>
      <w:r w:rsidR="00171F65">
        <w:rPr>
          <w:i/>
          <w:iCs/>
        </w:rPr>
        <w:t>proceeding terminated by</w:t>
      </w:r>
      <w:r w:rsidR="006F38B9">
        <w:t xml:space="preserve"> </w:t>
      </w:r>
      <w:r w:rsidRPr="00171F65" w:rsidR="006F38B9">
        <w:t>Order and Consent Decree</w:t>
      </w:r>
      <w:r w:rsidR="006F38B9">
        <w:t xml:space="preserve">, 35 FCC </w:t>
      </w:r>
      <w:r w:rsidR="006F38B9">
        <w:t>Rcd</w:t>
      </w:r>
      <w:r w:rsidR="006F38B9">
        <w:t xml:space="preserve"> </w:t>
      </w:r>
      <w:r w:rsidR="00196064">
        <w:t>5877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3B380AC" w14:textId="65D3F9BE">
    <w:pPr>
      <w:tabs>
        <w:tab w:val="center" w:pos="4680"/>
        <w:tab w:val="right" w:pos="9360"/>
      </w:tabs>
    </w:pPr>
    <w:r w:rsidRPr="009838BC">
      <w:rPr>
        <w:b/>
      </w:rPr>
      <w:tab/>
      <w:t>Federal Communications Commission</w:t>
    </w:r>
    <w:r w:rsidRPr="009838BC">
      <w:rPr>
        <w:b/>
      </w:rPr>
      <w:tab/>
    </w:r>
    <w:r w:rsidR="00FD13C6">
      <w:rPr>
        <w:b/>
      </w:rPr>
      <w:t>DA 21-</w:t>
    </w:r>
    <w:r w:rsidR="00833201">
      <w:rPr>
        <w:b/>
      </w:rPr>
      <w:t>266</w:t>
    </w:r>
  </w:p>
  <w:p w:rsidR="009838BC" w:rsidRPr="009838BC" w:rsidP="009838BC" w14:paraId="285C20A0" w14:textId="55C3149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15C614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736FFA0" w14:textId="3BB0C85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274903B9" w14:textId="77777777">
                    <w:pPr>
                      <w:rPr>
                        <w:rFonts w:ascii="Arial" w:hAnsi="Arial"/>
                        <w:b/>
                        <w:snapToGrid/>
                      </w:rPr>
                    </w:pPr>
                    <w:r>
                      <w:rPr>
                        <w:rFonts w:ascii="Arial" w:hAnsi="Arial"/>
                        <w:b/>
                      </w:rPr>
                      <w:t>Federal Communications Commission</w:t>
                    </w:r>
                  </w:p>
                  <w:p w:rsidR="00DE0AB8" w:rsidP="00DE0AB8" w14:paraId="37209E82" w14:textId="77777777">
                    <w:pPr>
                      <w:rPr>
                        <w:rFonts w:ascii="Arial" w:hAnsi="Arial"/>
                        <w:b/>
                      </w:rPr>
                    </w:pPr>
                    <w:r>
                      <w:rPr>
                        <w:rFonts w:ascii="Arial" w:hAnsi="Arial"/>
                        <w:b/>
                      </w:rPr>
                      <w:t>45 L Street NE</w:t>
                    </w:r>
                  </w:p>
                  <w:p w:rsidR="009838BC" w:rsidP="00DE0AB8" w14:paraId="796DB3F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48878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3F9746A" w14:textId="350190F0">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AA5AEAF" w14:textId="77777777">
                    <w:pPr>
                      <w:spacing w:before="40"/>
                      <w:jc w:val="right"/>
                      <w:rPr>
                        <w:rFonts w:ascii="Arial" w:hAnsi="Arial"/>
                        <w:b/>
                        <w:sz w:val="16"/>
                      </w:rPr>
                    </w:pPr>
                    <w:r>
                      <w:rPr>
                        <w:rFonts w:ascii="Arial" w:hAnsi="Arial"/>
                        <w:b/>
                        <w:sz w:val="16"/>
                      </w:rPr>
                      <w:t>News Media Information 202 / 418-0500</w:t>
                    </w:r>
                  </w:p>
                  <w:p w:rsidR="009838BC" w:rsidP="009838BC" w14:paraId="312B478B"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646467EA" w14:textId="77777777">
                    <w:pPr>
                      <w:jc w:val="right"/>
                    </w:pPr>
                    <w:r>
                      <w:rPr>
                        <w:rFonts w:ascii="Arial" w:hAnsi="Arial"/>
                        <w:b/>
                        <w:sz w:val="16"/>
                      </w:rPr>
                      <w:t>TTY: 1-888-835-5322</w:t>
                    </w:r>
                  </w:p>
                </w:txbxContent>
              </v:textbox>
            </v:shape>
          </w:pict>
        </mc:Fallback>
      </mc:AlternateContent>
    </w:r>
  </w:p>
  <w:p w:rsidR="006F7393" w:rsidRPr="009838BC" w:rsidP="009838BC" w14:paraId="43F3F7C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EE3FB8"/>
    <w:multiLevelType w:val="hybridMultilevel"/>
    <w:tmpl w:val="C40812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30"/>
    <w:rsid w:val="000012E6"/>
    <w:rsid w:val="000072CE"/>
    <w:rsid w:val="00013A8B"/>
    <w:rsid w:val="00020967"/>
    <w:rsid w:val="00021445"/>
    <w:rsid w:val="00030F6E"/>
    <w:rsid w:val="00036039"/>
    <w:rsid w:val="00037F90"/>
    <w:rsid w:val="00045F51"/>
    <w:rsid w:val="00056230"/>
    <w:rsid w:val="000875BF"/>
    <w:rsid w:val="00096D8C"/>
    <w:rsid w:val="000B10A7"/>
    <w:rsid w:val="000C0B65"/>
    <w:rsid w:val="000E1891"/>
    <w:rsid w:val="000E3955"/>
    <w:rsid w:val="000E3D42"/>
    <w:rsid w:val="000E5884"/>
    <w:rsid w:val="00102C04"/>
    <w:rsid w:val="0010422B"/>
    <w:rsid w:val="00122BD5"/>
    <w:rsid w:val="00171F65"/>
    <w:rsid w:val="001918B7"/>
    <w:rsid w:val="00195164"/>
    <w:rsid w:val="00196064"/>
    <w:rsid w:val="001979D9"/>
    <w:rsid w:val="001D6BCF"/>
    <w:rsid w:val="001E01CA"/>
    <w:rsid w:val="0020313C"/>
    <w:rsid w:val="002060D9"/>
    <w:rsid w:val="00214052"/>
    <w:rsid w:val="00226822"/>
    <w:rsid w:val="002516B8"/>
    <w:rsid w:val="002560CD"/>
    <w:rsid w:val="00260594"/>
    <w:rsid w:val="00285017"/>
    <w:rsid w:val="002A2D2E"/>
    <w:rsid w:val="002F12FC"/>
    <w:rsid w:val="00311618"/>
    <w:rsid w:val="00343749"/>
    <w:rsid w:val="00350531"/>
    <w:rsid w:val="00357D50"/>
    <w:rsid w:val="003925DC"/>
    <w:rsid w:val="003A4CD7"/>
    <w:rsid w:val="003A57AF"/>
    <w:rsid w:val="003B0550"/>
    <w:rsid w:val="003B694F"/>
    <w:rsid w:val="003F171C"/>
    <w:rsid w:val="003F6A38"/>
    <w:rsid w:val="00412FC5"/>
    <w:rsid w:val="00422276"/>
    <w:rsid w:val="004242F1"/>
    <w:rsid w:val="00431CF9"/>
    <w:rsid w:val="004445D1"/>
    <w:rsid w:val="00445A00"/>
    <w:rsid w:val="00451B0F"/>
    <w:rsid w:val="004552CB"/>
    <w:rsid w:val="0046125F"/>
    <w:rsid w:val="0048022D"/>
    <w:rsid w:val="004830E6"/>
    <w:rsid w:val="00487524"/>
    <w:rsid w:val="00491BE8"/>
    <w:rsid w:val="00496106"/>
    <w:rsid w:val="004C12D0"/>
    <w:rsid w:val="004C2EE3"/>
    <w:rsid w:val="004E0D11"/>
    <w:rsid w:val="004E4A22"/>
    <w:rsid w:val="00511968"/>
    <w:rsid w:val="0055614C"/>
    <w:rsid w:val="005C74FB"/>
    <w:rsid w:val="005D3CC0"/>
    <w:rsid w:val="005E53DD"/>
    <w:rsid w:val="00607BA5"/>
    <w:rsid w:val="00626EB6"/>
    <w:rsid w:val="006327B2"/>
    <w:rsid w:val="006353A3"/>
    <w:rsid w:val="00655D03"/>
    <w:rsid w:val="00683F84"/>
    <w:rsid w:val="006961D1"/>
    <w:rsid w:val="006A6A81"/>
    <w:rsid w:val="006B1877"/>
    <w:rsid w:val="006B588C"/>
    <w:rsid w:val="006E26AF"/>
    <w:rsid w:val="006F38B9"/>
    <w:rsid w:val="006F7393"/>
    <w:rsid w:val="0070224F"/>
    <w:rsid w:val="00703920"/>
    <w:rsid w:val="007115F7"/>
    <w:rsid w:val="0072638D"/>
    <w:rsid w:val="00776B92"/>
    <w:rsid w:val="00785689"/>
    <w:rsid w:val="00786653"/>
    <w:rsid w:val="0079754B"/>
    <w:rsid w:val="007A1E6D"/>
    <w:rsid w:val="007D0D06"/>
    <w:rsid w:val="00810662"/>
    <w:rsid w:val="00822CE0"/>
    <w:rsid w:val="00831548"/>
    <w:rsid w:val="00833201"/>
    <w:rsid w:val="00837C62"/>
    <w:rsid w:val="00841AB1"/>
    <w:rsid w:val="008635D3"/>
    <w:rsid w:val="008B6B89"/>
    <w:rsid w:val="008C22FD"/>
    <w:rsid w:val="008D0CDD"/>
    <w:rsid w:val="008D1DF8"/>
    <w:rsid w:val="008D4C8E"/>
    <w:rsid w:val="008D6ADC"/>
    <w:rsid w:val="008F7C43"/>
    <w:rsid w:val="009004B6"/>
    <w:rsid w:val="00910F12"/>
    <w:rsid w:val="00916F31"/>
    <w:rsid w:val="00926503"/>
    <w:rsid w:val="00930ECF"/>
    <w:rsid w:val="0093667A"/>
    <w:rsid w:val="009630DB"/>
    <w:rsid w:val="009838BC"/>
    <w:rsid w:val="009B570E"/>
    <w:rsid w:val="009F08AB"/>
    <w:rsid w:val="00A06529"/>
    <w:rsid w:val="00A45F4F"/>
    <w:rsid w:val="00A600A9"/>
    <w:rsid w:val="00A866AC"/>
    <w:rsid w:val="00AA55B7"/>
    <w:rsid w:val="00AA5B9E"/>
    <w:rsid w:val="00AB2407"/>
    <w:rsid w:val="00AB53DF"/>
    <w:rsid w:val="00AB560F"/>
    <w:rsid w:val="00AD6C17"/>
    <w:rsid w:val="00B07E5C"/>
    <w:rsid w:val="00B1620E"/>
    <w:rsid w:val="00B20363"/>
    <w:rsid w:val="00B326E3"/>
    <w:rsid w:val="00B811F7"/>
    <w:rsid w:val="00BA5DC6"/>
    <w:rsid w:val="00BA6196"/>
    <w:rsid w:val="00BC6D8C"/>
    <w:rsid w:val="00C16487"/>
    <w:rsid w:val="00C16AF2"/>
    <w:rsid w:val="00C34006"/>
    <w:rsid w:val="00C426B1"/>
    <w:rsid w:val="00C55A29"/>
    <w:rsid w:val="00C771B7"/>
    <w:rsid w:val="00C82B6B"/>
    <w:rsid w:val="00C90D6A"/>
    <w:rsid w:val="00CA449C"/>
    <w:rsid w:val="00CB3A33"/>
    <w:rsid w:val="00CC72B6"/>
    <w:rsid w:val="00D0218D"/>
    <w:rsid w:val="00D216CD"/>
    <w:rsid w:val="00D347F9"/>
    <w:rsid w:val="00D35AA1"/>
    <w:rsid w:val="00D37849"/>
    <w:rsid w:val="00D63E8B"/>
    <w:rsid w:val="00D67F6E"/>
    <w:rsid w:val="00DA2529"/>
    <w:rsid w:val="00DB130A"/>
    <w:rsid w:val="00DC10A1"/>
    <w:rsid w:val="00DC1C36"/>
    <w:rsid w:val="00DC655F"/>
    <w:rsid w:val="00DD7EBD"/>
    <w:rsid w:val="00DE0AB8"/>
    <w:rsid w:val="00DF62B6"/>
    <w:rsid w:val="00E00C8B"/>
    <w:rsid w:val="00E03A76"/>
    <w:rsid w:val="00E07225"/>
    <w:rsid w:val="00E155B7"/>
    <w:rsid w:val="00E5409F"/>
    <w:rsid w:val="00E55446"/>
    <w:rsid w:val="00E56A9C"/>
    <w:rsid w:val="00E66AE3"/>
    <w:rsid w:val="00E747D7"/>
    <w:rsid w:val="00EC0185"/>
    <w:rsid w:val="00F021FA"/>
    <w:rsid w:val="00F57ACA"/>
    <w:rsid w:val="00F62E97"/>
    <w:rsid w:val="00F64209"/>
    <w:rsid w:val="00F71021"/>
    <w:rsid w:val="00F86E0D"/>
    <w:rsid w:val="00F93BF5"/>
    <w:rsid w:val="00F969E2"/>
    <w:rsid w:val="00F96F63"/>
    <w:rsid w:val="00F97641"/>
    <w:rsid w:val="00FD13C6"/>
    <w:rsid w:val="00FE4F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4A206E7-3C46-4742-B3A0-E73656DD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 + Italic,Footnote Text Char Char,Footnote Text Char Char Char,Footnote Text Char Char Char Char Char,Footnote Text Char1,Footnote Text Char1 Char,Footnote Text Char1 Char Char Char,Styl,Style 5 Char Char,f,fn,ft,rrfootnote Char 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0E3955"/>
    <w:rPr>
      <w:color w:val="605E5C"/>
      <w:shd w:val="clear" w:color="auto" w:fill="E1DFDD"/>
    </w:rPr>
  </w:style>
  <w:style w:type="character" w:styleId="CommentReference">
    <w:name w:val="annotation reference"/>
    <w:basedOn w:val="DefaultParagraphFont"/>
    <w:uiPriority w:val="99"/>
    <w:semiHidden/>
    <w:unhideWhenUsed/>
    <w:rsid w:val="0072638D"/>
    <w:rPr>
      <w:sz w:val="16"/>
      <w:szCs w:val="16"/>
    </w:rPr>
  </w:style>
  <w:style w:type="paragraph" w:styleId="CommentText">
    <w:name w:val="annotation text"/>
    <w:basedOn w:val="Normal"/>
    <w:link w:val="CommentTextChar"/>
    <w:uiPriority w:val="99"/>
    <w:unhideWhenUsed/>
    <w:rsid w:val="0072638D"/>
    <w:rPr>
      <w:sz w:val="20"/>
    </w:rPr>
  </w:style>
  <w:style w:type="character" w:customStyle="1" w:styleId="CommentTextChar">
    <w:name w:val="Comment Text Char"/>
    <w:basedOn w:val="DefaultParagraphFont"/>
    <w:link w:val="CommentText"/>
    <w:uiPriority w:val="99"/>
    <w:rsid w:val="0072638D"/>
    <w:rPr>
      <w:snapToGrid w:val="0"/>
      <w:kern w:val="28"/>
    </w:rPr>
  </w:style>
  <w:style w:type="paragraph" w:styleId="CommentSubject">
    <w:name w:val="annotation subject"/>
    <w:basedOn w:val="CommentText"/>
    <w:next w:val="CommentText"/>
    <w:link w:val="CommentSubjectChar"/>
    <w:uiPriority w:val="99"/>
    <w:semiHidden/>
    <w:unhideWhenUsed/>
    <w:rsid w:val="0072638D"/>
    <w:rPr>
      <w:b/>
      <w:bCs/>
    </w:rPr>
  </w:style>
  <w:style w:type="character" w:customStyle="1" w:styleId="CommentSubjectChar">
    <w:name w:val="Comment Subject Char"/>
    <w:basedOn w:val="CommentTextChar"/>
    <w:link w:val="CommentSubject"/>
    <w:uiPriority w:val="99"/>
    <w:semiHidden/>
    <w:rsid w:val="0072638D"/>
    <w:rPr>
      <w:b/>
      <w:bCs/>
      <w:snapToGrid w:val="0"/>
      <w:kern w:val="28"/>
    </w:rPr>
  </w:style>
  <w:style w:type="paragraph" w:styleId="BalloonText">
    <w:name w:val="Balloon Text"/>
    <w:basedOn w:val="Normal"/>
    <w:link w:val="BalloonTextChar"/>
    <w:uiPriority w:val="99"/>
    <w:semiHidden/>
    <w:unhideWhenUsed/>
    <w:rsid w:val="00726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38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ie.Gorscak@fcc.gov" TargetMode="External" /><Relationship Id="rId6" Type="http://schemas.openxmlformats.org/officeDocument/2006/relationships/hyperlink" Target="mailto:EnforcementBureau-IHD@fcc.gov" TargetMode="External" /><Relationship Id="rId7" Type="http://schemas.openxmlformats.org/officeDocument/2006/relationships/hyperlink" Target="https://www.fcc.gov/enforcement/orders/1835" TargetMode="External" /><Relationship Id="rId8" Type="http://schemas.openxmlformats.org/officeDocument/2006/relationships/hyperlink" Target="file:///C:\Users\Christopher.Sova\AppData\Local\Microsoft\Windows\INetCache\Content.Outlook\Y8OY4LWL\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