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460FD29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80EF83E" w14:textId="77777777">
      <w:pPr>
        <w:pStyle w:val="StyleBoldCentered"/>
      </w:pPr>
      <w:r>
        <w:t>F</w:t>
      </w:r>
      <w:r>
        <w:rPr>
          <w:caps w:val="0"/>
        </w:rPr>
        <w:t>ederal Communications Commission</w:t>
      </w:r>
    </w:p>
    <w:p w:rsidR="004C2EE3" w:rsidP="00096D8C" w14:paraId="2156595D" w14:textId="77777777">
      <w:pPr>
        <w:pStyle w:val="StyleBoldCentered"/>
      </w:pPr>
      <w:r>
        <w:rPr>
          <w:caps w:val="0"/>
        </w:rPr>
        <w:t>Washington, D.C. 20554</w:t>
      </w:r>
    </w:p>
    <w:p w:rsidR="004C2EE3" w:rsidP="0070224F" w14:paraId="08AEFB69" w14:textId="77777777"/>
    <w:tbl>
      <w:tblPr>
        <w:tblW w:w="0" w:type="auto"/>
        <w:tblLayout w:type="fixed"/>
        <w:tblLook w:val="0000"/>
      </w:tblPr>
      <w:tblGrid>
        <w:gridCol w:w="4698"/>
        <w:gridCol w:w="630"/>
        <w:gridCol w:w="4248"/>
      </w:tblGrid>
      <w:tr w14:paraId="2D199382" w14:textId="77777777">
        <w:tblPrEx>
          <w:tblW w:w="0" w:type="auto"/>
          <w:tblLayout w:type="fixed"/>
          <w:tblLook w:val="0000"/>
        </w:tblPrEx>
        <w:tc>
          <w:tcPr>
            <w:tcW w:w="4698" w:type="dxa"/>
          </w:tcPr>
          <w:p w:rsidR="004C2EE3" w14:paraId="3BEFAE95" w14:textId="77777777">
            <w:pPr>
              <w:tabs>
                <w:tab w:val="center" w:pos="4680"/>
              </w:tabs>
              <w:suppressAutoHyphens/>
              <w:rPr>
                <w:spacing w:val="-2"/>
              </w:rPr>
            </w:pPr>
            <w:r>
              <w:rPr>
                <w:spacing w:val="-2"/>
              </w:rPr>
              <w:t>In the Matter of</w:t>
            </w:r>
          </w:p>
          <w:p w:rsidR="004C2EE3" w14:paraId="75094FE2" w14:textId="77777777">
            <w:pPr>
              <w:tabs>
                <w:tab w:val="center" w:pos="4680"/>
              </w:tabs>
              <w:suppressAutoHyphens/>
              <w:rPr>
                <w:spacing w:val="-2"/>
              </w:rPr>
            </w:pPr>
          </w:p>
          <w:p w:rsidR="004A3C48" w:rsidP="009F2562" w14:paraId="014A956E" w14:textId="77777777">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00161160">
              <w:rPr>
                <w:spacing w:val="-2"/>
              </w:rPr>
              <w:t>(</w:t>
            </w:r>
            <w:r w:rsidR="00D62637">
              <w:rPr>
                <w:spacing w:val="-2"/>
              </w:rPr>
              <w:t>Albany</w:t>
            </w:r>
            <w:r w:rsidR="00161160">
              <w:rPr>
                <w:spacing w:val="-2"/>
              </w:rPr>
              <w:t xml:space="preserve">, </w:t>
            </w:r>
            <w:r w:rsidR="00D62637">
              <w:rPr>
                <w:spacing w:val="-2"/>
              </w:rPr>
              <w:t>Georgia</w:t>
            </w:r>
            <w:r w:rsidRPr="00E208EC" w:rsidR="00E208EC">
              <w:rPr>
                <w:spacing w:val="-2"/>
              </w:rPr>
              <w:t>)</w:t>
            </w:r>
          </w:p>
          <w:p w:rsidR="004C2EE3" w:rsidRPr="007115F7" w:rsidP="009F2562" w14:paraId="2553480C" w14:textId="77777777">
            <w:pPr>
              <w:tabs>
                <w:tab w:val="center" w:pos="4680"/>
              </w:tabs>
              <w:suppressAutoHyphens/>
              <w:rPr>
                <w:spacing w:val="-2"/>
              </w:rPr>
            </w:pPr>
          </w:p>
        </w:tc>
        <w:tc>
          <w:tcPr>
            <w:tcW w:w="630" w:type="dxa"/>
          </w:tcPr>
          <w:p w:rsidR="004C2EE3" w14:paraId="06FFB8D9" w14:textId="77777777">
            <w:pPr>
              <w:tabs>
                <w:tab w:val="center" w:pos="4680"/>
              </w:tabs>
              <w:suppressAutoHyphens/>
              <w:rPr>
                <w:b/>
                <w:spacing w:val="-2"/>
              </w:rPr>
            </w:pPr>
            <w:r>
              <w:rPr>
                <w:b/>
                <w:spacing w:val="-2"/>
              </w:rPr>
              <w:t>)</w:t>
            </w:r>
          </w:p>
          <w:p w:rsidR="004C2EE3" w14:paraId="1B631C90" w14:textId="77777777">
            <w:pPr>
              <w:tabs>
                <w:tab w:val="center" w:pos="4680"/>
              </w:tabs>
              <w:suppressAutoHyphens/>
              <w:rPr>
                <w:b/>
                <w:spacing w:val="-2"/>
              </w:rPr>
            </w:pPr>
            <w:r>
              <w:rPr>
                <w:b/>
                <w:spacing w:val="-2"/>
              </w:rPr>
              <w:t>)</w:t>
            </w:r>
          </w:p>
          <w:p w:rsidR="004C2EE3" w14:paraId="444B733A" w14:textId="77777777">
            <w:pPr>
              <w:tabs>
                <w:tab w:val="center" w:pos="4680"/>
              </w:tabs>
              <w:suppressAutoHyphens/>
              <w:rPr>
                <w:b/>
                <w:spacing w:val="-2"/>
              </w:rPr>
            </w:pPr>
            <w:r>
              <w:rPr>
                <w:b/>
                <w:spacing w:val="-2"/>
              </w:rPr>
              <w:t>)</w:t>
            </w:r>
          </w:p>
          <w:p w:rsidR="004C2EE3" w14:paraId="1D904F07" w14:textId="77777777">
            <w:pPr>
              <w:tabs>
                <w:tab w:val="center" w:pos="4680"/>
              </w:tabs>
              <w:suppressAutoHyphens/>
              <w:rPr>
                <w:b/>
                <w:spacing w:val="-2"/>
              </w:rPr>
            </w:pPr>
            <w:r>
              <w:rPr>
                <w:b/>
                <w:spacing w:val="-2"/>
              </w:rPr>
              <w:t>)</w:t>
            </w:r>
          </w:p>
          <w:p w:rsidR="004A3C48" w:rsidRPr="009F2562" w14:paraId="44347E55" w14:textId="77777777">
            <w:pPr>
              <w:tabs>
                <w:tab w:val="center" w:pos="4680"/>
              </w:tabs>
              <w:suppressAutoHyphens/>
              <w:rPr>
                <w:b/>
                <w:spacing w:val="-2"/>
              </w:rPr>
            </w:pPr>
            <w:r>
              <w:rPr>
                <w:b/>
                <w:spacing w:val="-2"/>
              </w:rPr>
              <w:t>)</w:t>
            </w:r>
          </w:p>
        </w:tc>
        <w:tc>
          <w:tcPr>
            <w:tcW w:w="4248" w:type="dxa"/>
          </w:tcPr>
          <w:p w:rsidR="004C2EE3" w14:paraId="2CDF64F6" w14:textId="77777777">
            <w:pPr>
              <w:tabs>
                <w:tab w:val="center" w:pos="4680"/>
              </w:tabs>
              <w:suppressAutoHyphens/>
              <w:rPr>
                <w:spacing w:val="-2"/>
              </w:rPr>
            </w:pPr>
          </w:p>
          <w:p w:rsidR="004C2EE3" w14:paraId="1131024B" w14:textId="77777777">
            <w:pPr>
              <w:pStyle w:val="TOAHeading"/>
              <w:tabs>
                <w:tab w:val="center" w:pos="4680"/>
                <w:tab w:val="clear" w:pos="9360"/>
              </w:tabs>
              <w:rPr>
                <w:spacing w:val="-2"/>
              </w:rPr>
            </w:pPr>
          </w:p>
          <w:p w:rsidR="009F2562" w:rsidRPr="009F2562" w:rsidP="009F2562" w14:paraId="2031B151" w14:textId="27301FBE">
            <w:pPr>
              <w:pStyle w:val="TOAHeading"/>
              <w:tabs>
                <w:tab w:val="center" w:pos="4680"/>
              </w:tabs>
              <w:rPr>
                <w:spacing w:val="-2"/>
              </w:rPr>
            </w:pPr>
            <w:r w:rsidRPr="009F2562">
              <w:rPr>
                <w:spacing w:val="-2"/>
              </w:rPr>
              <w:t>MB Docket No. 21-</w:t>
            </w:r>
            <w:r w:rsidR="007028A8">
              <w:rPr>
                <w:spacing w:val="-2"/>
              </w:rPr>
              <w:t>70</w:t>
            </w:r>
          </w:p>
          <w:p w:rsidR="004C2EE3" w:rsidP="009F2562" w14:paraId="2D6C4180" w14:textId="21F67A1D">
            <w:pPr>
              <w:tabs>
                <w:tab w:val="center" w:pos="4680"/>
              </w:tabs>
              <w:suppressAutoHyphens/>
              <w:rPr>
                <w:spacing w:val="-2"/>
              </w:rPr>
            </w:pPr>
            <w:r w:rsidRPr="009F2562">
              <w:rPr>
                <w:spacing w:val="-2"/>
              </w:rPr>
              <w:t>RM-</w:t>
            </w:r>
            <w:r w:rsidR="0032122C">
              <w:rPr>
                <w:spacing w:val="-2"/>
              </w:rPr>
              <w:t>11</w:t>
            </w:r>
            <w:bookmarkStart w:id="0" w:name="_GoBack"/>
            <w:bookmarkEnd w:id="0"/>
            <w:r w:rsidR="007028A8">
              <w:rPr>
                <w:spacing w:val="-2"/>
              </w:rPr>
              <w:t>886</w:t>
            </w:r>
          </w:p>
        </w:tc>
      </w:tr>
    </w:tbl>
    <w:p w:rsidR="00841AB1" w:rsidP="00F021FA" w14:paraId="493CAB0E" w14:textId="77777777">
      <w:pPr>
        <w:pStyle w:val="StyleBoldCentered"/>
      </w:pPr>
      <w:r>
        <w:t>Notice of proposed rulemaking</w:t>
      </w:r>
    </w:p>
    <w:p w:rsidR="004C2EE3" w14:paraId="377B2735" w14:textId="77777777">
      <w:pPr>
        <w:tabs>
          <w:tab w:val="left" w:pos="-720"/>
        </w:tabs>
        <w:suppressAutoHyphens/>
        <w:spacing w:line="227" w:lineRule="auto"/>
        <w:rPr>
          <w:spacing w:val="-2"/>
        </w:rPr>
      </w:pPr>
    </w:p>
    <w:p w:rsidR="004C2EE3" w:rsidP="00133F79" w14:paraId="0A9BDE0B" w14:textId="507C384B">
      <w:pPr>
        <w:tabs>
          <w:tab w:val="left" w:pos="720"/>
          <w:tab w:val="right" w:pos="9360"/>
        </w:tabs>
        <w:suppressAutoHyphens/>
        <w:spacing w:line="227" w:lineRule="auto"/>
        <w:rPr>
          <w:b/>
          <w:spacing w:val="-2"/>
        </w:rPr>
      </w:pPr>
      <w:r>
        <w:rPr>
          <w:b/>
          <w:spacing w:val="-2"/>
        </w:rPr>
        <w:t xml:space="preserve">Adopted:  </w:t>
      </w:r>
      <w:r w:rsidR="009E10E8">
        <w:rPr>
          <w:b/>
          <w:spacing w:val="-2"/>
        </w:rPr>
        <w:t xml:space="preserve">March </w:t>
      </w:r>
      <w:r w:rsidR="007028A8">
        <w:rPr>
          <w:b/>
          <w:spacing w:val="-2"/>
        </w:rPr>
        <w:t>4</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E10E8">
        <w:rPr>
          <w:b/>
          <w:spacing w:val="-2"/>
        </w:rPr>
        <w:t xml:space="preserve">March </w:t>
      </w:r>
      <w:r w:rsidR="007028A8">
        <w:rPr>
          <w:b/>
          <w:spacing w:val="-2"/>
        </w:rPr>
        <w:t>4</w:t>
      </w:r>
      <w:r w:rsidR="009F2562">
        <w:rPr>
          <w:b/>
          <w:spacing w:val="-2"/>
        </w:rPr>
        <w:t>, 2021</w:t>
      </w:r>
    </w:p>
    <w:p w:rsidR="009F2562" w:rsidP="00133F79" w14:paraId="18A211E8" w14:textId="77777777">
      <w:pPr>
        <w:tabs>
          <w:tab w:val="left" w:pos="720"/>
          <w:tab w:val="right" w:pos="9360"/>
        </w:tabs>
        <w:suppressAutoHyphens/>
        <w:spacing w:line="227" w:lineRule="auto"/>
        <w:rPr>
          <w:b/>
          <w:spacing w:val="-2"/>
        </w:rPr>
      </w:pPr>
    </w:p>
    <w:p w:rsidR="009F2562" w:rsidRPr="001E1C45" w:rsidP="009F2562" w14:paraId="1C95B6D1"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369338FB"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48FDD2D8" w14:textId="77777777"/>
    <w:p w:rsidR="00412FC5" w:rsidP="000E7316" w14:paraId="4C8E8441"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12749F03" w14:textId="77777777">
      <w:pPr>
        <w:rPr>
          <w:spacing w:val="-2"/>
        </w:rPr>
      </w:pPr>
    </w:p>
    <w:p w:rsidR="003B6FA0" w:rsidP="000E7316" w14:paraId="1F04F110" w14:textId="77777777">
      <w:pPr>
        <w:pStyle w:val="Heading1"/>
        <w:keepNext w:val="0"/>
        <w:suppressAutoHyphens w:val="0"/>
      </w:pPr>
      <w:r>
        <w:t>Introduction</w:t>
      </w:r>
    </w:p>
    <w:p w:rsidR="009F2562" w:rsidRPr="009F2562" w:rsidP="000E7316" w14:paraId="1BA0A46B" w14:textId="2B1CA038">
      <w:pPr>
        <w:pStyle w:val="ParaNum"/>
      </w:pPr>
      <w:r w:rsidRPr="00E208EC">
        <w:t xml:space="preserve">The </w:t>
      </w:r>
      <w:r w:rsidR="00787DB6">
        <w:t>Video Division</w:t>
      </w:r>
      <w:r w:rsidR="009E10E8">
        <w:t>, Media Bureau</w:t>
      </w:r>
      <w:r w:rsidRPr="00E208EC">
        <w:t xml:space="preserve"> has before it a petition for rulemaking filed November 27, 2020 by </w:t>
      </w:r>
      <w:r w:rsidR="00D62637">
        <w:t>WFXL</w:t>
      </w:r>
      <w:r w:rsidR="00C60BBF">
        <w:t xml:space="preserve"> Licensee, LLC</w:t>
      </w:r>
      <w:r w:rsidRPr="00E208EC">
        <w:t xml:space="preserve"> (</w:t>
      </w:r>
      <w:r w:rsidR="00BA0BA9">
        <w:t>Licensee</w:t>
      </w:r>
      <w:r w:rsidRPr="00E208EC">
        <w:t xml:space="preserve">), the licensee of </w:t>
      </w:r>
      <w:r w:rsidR="00D62637">
        <w:t>WFXL</w:t>
      </w:r>
      <w:r w:rsidR="001A5237">
        <w:t xml:space="preserve"> (</w:t>
      </w:r>
      <w:r w:rsidR="001617F4">
        <w:t>FOX</w:t>
      </w:r>
      <w:r w:rsidR="001A5237">
        <w:t>)</w:t>
      </w:r>
      <w:r w:rsidRPr="00E208EC">
        <w:t xml:space="preserve">, channel </w:t>
      </w:r>
      <w:r w:rsidR="00D62637">
        <w:t>12</w:t>
      </w:r>
      <w:r w:rsidRPr="00E208EC">
        <w:t xml:space="preserve">, </w:t>
      </w:r>
      <w:r w:rsidR="00D62637">
        <w:t>Albany</w:t>
      </w:r>
      <w:r w:rsidR="00C60BBF">
        <w:t xml:space="preserve">, </w:t>
      </w:r>
      <w:r w:rsidR="00D62637">
        <w:t>Georgia</w:t>
      </w:r>
      <w:r w:rsidRPr="00E208EC">
        <w:t>.</w:t>
      </w:r>
      <w:r>
        <w:rPr>
          <w:rStyle w:val="FootnoteReference"/>
        </w:rPr>
        <w:footnoteReference w:id="3"/>
      </w:r>
      <w:r w:rsidRPr="00E208EC">
        <w:t xml:space="preserve"> </w:t>
      </w:r>
      <w:r w:rsidR="00BA0BA9">
        <w:t xml:space="preserve"> The Licensee</w:t>
      </w:r>
      <w:r w:rsidRPr="00E208EC">
        <w:t xml:space="preserve"> requests the substitution of channel </w:t>
      </w:r>
      <w:r w:rsidR="00BD5289">
        <w:t>2</w:t>
      </w:r>
      <w:r w:rsidR="00D62637">
        <w:t>9</w:t>
      </w:r>
      <w:r w:rsidRPr="00E208EC">
        <w:t xml:space="preserve"> for channel </w:t>
      </w:r>
      <w:r w:rsidR="00D62637">
        <w:t>12</w:t>
      </w:r>
      <w:r w:rsidRPr="00E208EC">
        <w:t xml:space="preserve"> at </w:t>
      </w:r>
      <w:r w:rsidR="00D62637">
        <w:t>Albany</w:t>
      </w:r>
      <w:r w:rsidR="00C60BBF">
        <w:t xml:space="preserve">, </w:t>
      </w:r>
      <w:r w:rsidR="00D62637">
        <w:t>Georgia</w:t>
      </w:r>
      <w:r w:rsidR="000E7316">
        <w:t>,</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7CD059C9" w14:textId="77777777">
      <w:pPr>
        <w:pStyle w:val="Heading1"/>
        <w:keepNext w:val="0"/>
        <w:suppressAutoHyphens w:val="0"/>
      </w:pPr>
      <w:r>
        <w:t>Background</w:t>
      </w:r>
    </w:p>
    <w:p w:rsidR="009F2562" w:rsidP="000E7316" w14:paraId="601167B5" w14:textId="25245CAF">
      <w:pPr>
        <w:pStyle w:val="ParaNum"/>
        <w:widowControl/>
      </w:pPr>
      <w:r w:rsidRPr="00E208EC">
        <w:t xml:space="preserve">In support of its channel substitution request, </w:t>
      </w:r>
      <w:r w:rsidR="00BD5289">
        <w:t>the Licensee</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to UHF channels.”</w:t>
      </w:r>
      <w:r>
        <w:rPr>
          <w:vertAlign w:val="superscript"/>
        </w:rPr>
        <w:footnoteReference w:id="5"/>
      </w:r>
      <w:r w:rsidRPr="00E208EC">
        <w:t xml:space="preserve">  According to </w:t>
      </w:r>
      <w:r w:rsidR="00DE7BB3">
        <w:t>the Licensee</w:t>
      </w:r>
      <w:r w:rsidRPr="00E208EC">
        <w:t>, “</w:t>
      </w:r>
      <w:r w:rsidR="00BD5289">
        <w:t>WFXL</w:t>
      </w:r>
      <w:r w:rsidR="003B5AC1">
        <w:t xml:space="preserve"> has received numerous complaints from viewers unable to receive </w:t>
      </w:r>
      <w:r w:rsidR="003B5AC1">
        <w:t>that Station’s over-the-air signal</w:t>
      </w:r>
      <w:r w:rsidR="00E509E7">
        <w:t>, despite being able to receive signals from other station,”</w:t>
      </w:r>
      <w:r>
        <w:rPr>
          <w:rStyle w:val="FootnoteReference"/>
        </w:rPr>
        <w:footnoteReference w:id="6"/>
      </w:r>
      <w:r w:rsidR="0063593A">
        <w:t xml:space="preserve"> </w:t>
      </w:r>
      <w:r w:rsidR="00E509E7">
        <w:t>and that its channel substitution proposal “will result in more effective building penetration for indoor antenna reception and will also greatly improve the Station’s ability to provide ATSC 3.0 service to homes, vehicles, and portable devices . . ..”</w:t>
      </w:r>
      <w:r>
        <w:rPr>
          <w:rStyle w:val="FootnoteReference"/>
        </w:rPr>
        <w:footnoteReference w:id="7"/>
      </w:r>
      <w:r w:rsidRPr="00E208EC">
        <w:t xml:space="preserve"> </w:t>
      </w:r>
      <w:r w:rsidR="001F2E5A">
        <w:t xml:space="preserve"> </w:t>
      </w:r>
      <w:r w:rsidR="009C02D6">
        <w:t xml:space="preserve"> </w:t>
      </w:r>
      <w:r w:rsidR="0063593A">
        <w:t>T</w:t>
      </w:r>
      <w:r w:rsidR="009C02D6">
        <w:t xml:space="preserve">he Licensee </w:t>
      </w:r>
      <w:r w:rsidR="0063593A">
        <w:t xml:space="preserve">also </w:t>
      </w:r>
      <w:r w:rsidR="009C02D6">
        <w:t xml:space="preserve">submitted additional analysis, using the Commission’s </w:t>
      </w:r>
      <w:r w:rsidRPr="00494BBF" w:rsidR="009C02D6">
        <w:rPr>
          <w:i/>
          <w:iCs/>
        </w:rPr>
        <w:t>TVStudy</w:t>
      </w:r>
      <w:r w:rsidR="009C02D6">
        <w:rPr>
          <w:i/>
          <w:iCs/>
        </w:rPr>
        <w:t xml:space="preserve"> </w:t>
      </w:r>
      <w:r w:rsidR="009C02D6">
        <w:t>software analysis program, demonstrating that it will continue to serve all of the population located within the licensed channel 12 contour.</w:t>
      </w:r>
      <w:r>
        <w:rPr>
          <w:rStyle w:val="FootnoteReference"/>
        </w:rPr>
        <w:footnoteReference w:id="8"/>
      </w:r>
      <w:r w:rsidR="009C02D6">
        <w:t xml:space="preserve">  </w:t>
      </w:r>
      <w:r w:rsidR="00DE7BB3">
        <w:t>The Licensee</w:t>
      </w:r>
      <w:r w:rsidRPr="00E208EC">
        <w:t xml:space="preserve"> further states that</w:t>
      </w:r>
      <w:r w:rsidR="0081046E">
        <w:t xml:space="preserve"> there are three other FOX-affiliated stations which provide a signal to  portion</w:t>
      </w:r>
      <w:r w:rsidR="009C02D6">
        <w:t>s</w:t>
      </w:r>
      <w:r w:rsidR="0081046E">
        <w:t xml:space="preserve"> of the licensed channel 12 facility.</w:t>
      </w:r>
      <w:r>
        <w:rPr>
          <w:rStyle w:val="FootnoteReference"/>
        </w:rPr>
        <w:footnoteReference w:id="9"/>
      </w:r>
      <w:r w:rsidR="0081046E">
        <w:t xml:space="preserve"> </w:t>
      </w:r>
    </w:p>
    <w:p w:rsidR="006F1759" w:rsidP="000E7316" w14:paraId="16C475FB" w14:textId="77777777">
      <w:pPr>
        <w:pStyle w:val="Heading1"/>
        <w:keepNext w:val="0"/>
        <w:suppressAutoHyphens w:val="0"/>
      </w:pPr>
      <w:r w:rsidRPr="009F2562">
        <w:t>Discussion</w:t>
      </w:r>
      <w:r>
        <w:t xml:space="preserve">  </w:t>
      </w:r>
    </w:p>
    <w:p w:rsidR="00E208EC" w:rsidRPr="00E208EC" w:rsidP="000E7316" w14:paraId="09EECEE4" w14:textId="4207E10E">
      <w:pPr>
        <w:pStyle w:val="ParaNum"/>
      </w:pPr>
      <w:r w:rsidRPr="00E208EC">
        <w:t xml:space="preserve">We believe that the </w:t>
      </w:r>
      <w:r w:rsidR="001854A3">
        <w:t>Licensee’s</w:t>
      </w:r>
      <w:r w:rsidR="009E136D">
        <w:t xml:space="preserve"> </w:t>
      </w:r>
      <w:r w:rsidRPr="00E208EC">
        <w:t xml:space="preserve">channel substitution proposal warrants consideration.  Channel </w:t>
      </w:r>
      <w:r w:rsidR="001617F4">
        <w:t>29</w:t>
      </w:r>
      <w:r w:rsidRPr="00E208EC">
        <w:t xml:space="preserve"> can be substituted for channel </w:t>
      </w:r>
      <w:r w:rsidR="0003725D">
        <w:t>12</w:t>
      </w:r>
      <w:r w:rsidRPr="00E208EC" w:rsidR="00311E3F">
        <w:t xml:space="preserve"> </w:t>
      </w:r>
      <w:r w:rsidRPr="00E208EC">
        <w:t>at</w:t>
      </w:r>
      <w:r w:rsidR="0003725D">
        <w:t xml:space="preserve"> </w:t>
      </w:r>
      <w:r w:rsidR="00D62637">
        <w:t>Albany</w:t>
      </w:r>
      <w:r w:rsidR="0003725D">
        <w:t xml:space="preserve">, </w:t>
      </w:r>
      <w:r w:rsidR="00D62637">
        <w:t>Georgia</w:t>
      </w:r>
      <w:r w:rsidRPr="00E208EC">
        <w:t>, as proposed, in compliance with the principal community coverage requirements of section 73.625(a) of the Commission’s rules</w:t>
      </w:r>
      <w:r w:rsidR="009E10E8">
        <w:t xml:space="preserve"> (rules)</w:t>
      </w:r>
      <w:r w:rsidR="000E7316">
        <w:t>,</w:t>
      </w:r>
      <w:r>
        <w:rPr>
          <w:vertAlign w:val="superscript"/>
        </w:rPr>
        <w:footnoteReference w:id="10"/>
      </w:r>
      <w:r w:rsidRPr="00E208EC">
        <w:t xml:space="preserve"> at coordinates</w:t>
      </w:r>
      <w:r w:rsidR="0003725D">
        <w:t xml:space="preserve"> </w:t>
      </w:r>
      <w:r w:rsidR="001617F4">
        <w:t>31</w:t>
      </w:r>
      <w:r w:rsidR="00896190">
        <w:t>-</w:t>
      </w:r>
      <w:r w:rsidR="001617F4">
        <w:t>19</w:t>
      </w:r>
      <w:r w:rsidR="00896190">
        <w:t>-</w:t>
      </w:r>
      <w:r w:rsidR="001617F4">
        <w:t>5</w:t>
      </w:r>
      <w:r w:rsidR="008D74A0">
        <w:t>3</w:t>
      </w:r>
      <w:r w:rsidR="00896190">
        <w:t>.0</w:t>
      </w:r>
      <w:r w:rsidRPr="00E208EC">
        <w:t xml:space="preserve"> N and </w:t>
      </w:r>
      <w:r w:rsidR="0003725D">
        <w:t>8</w:t>
      </w:r>
      <w:r w:rsidR="001617F4">
        <w:t>3</w:t>
      </w:r>
      <w:r w:rsidR="00896190">
        <w:t>-5</w:t>
      </w:r>
      <w:r w:rsidR="001617F4">
        <w:t>1</w:t>
      </w:r>
      <w:r w:rsidR="00896190">
        <w:t>-</w:t>
      </w:r>
      <w:r w:rsidR="001617F4">
        <w:t>43</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11"/>
      </w:r>
      <w:r w:rsidRPr="00E208EC">
        <w:t xml:space="preserve">  We propose to substitute channel </w:t>
      </w:r>
      <w:r w:rsidR="00D62637">
        <w:t>29</w:t>
      </w:r>
      <w:r w:rsidR="003532A0">
        <w:t xml:space="preserve"> </w:t>
      </w:r>
      <w:r w:rsidRPr="00E208EC">
        <w:t xml:space="preserve">for channel </w:t>
      </w:r>
      <w:r w:rsidR="0003725D">
        <w:t>12</w:t>
      </w:r>
      <w:r w:rsidRPr="00E208EC">
        <w:t xml:space="preserve"> for</w:t>
      </w:r>
      <w:r w:rsidRPr="00E208EC" w:rsidR="008248C2">
        <w:t xml:space="preserve"> </w:t>
      </w:r>
      <w:r w:rsidR="00D62637">
        <w:t xml:space="preserve">WFXL </w:t>
      </w:r>
      <w:r w:rsidRPr="00E208EC">
        <w:t>with the following specifications:</w:t>
      </w:r>
    </w:p>
    <w:p w:rsidR="00E208EC" w:rsidRPr="00E208EC" w:rsidP="000E7316" w14:paraId="2983B6DA"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0E7316" w14:paraId="3D0AA19C" w14:textId="77777777">
      <w:pPr>
        <w:pStyle w:val="ParaNum"/>
        <w:numPr>
          <w:ilvl w:val="0"/>
          <w:numId w:val="0"/>
        </w:numPr>
        <w:ind w:firstLine="720"/>
      </w:pPr>
      <w:r>
        <w:t>Albany</w:t>
      </w:r>
      <w:r w:rsidR="00B90C9B">
        <w:t xml:space="preserve">, </w:t>
      </w:r>
      <w:r>
        <w:t>Georgia</w:t>
      </w:r>
      <w:r w:rsidRPr="00E208EC" w:rsidR="00C27AF2">
        <w:tab/>
      </w:r>
      <w:r w:rsidR="007C16F4">
        <w:tab/>
      </w:r>
      <w:r w:rsidR="001617F4">
        <w:t>2</w:t>
      </w:r>
      <w:r w:rsidR="00115578">
        <w:t>9</w:t>
      </w:r>
      <w:r w:rsidRPr="00E208EC" w:rsidR="00C27AF2">
        <w:tab/>
      </w:r>
      <w:r w:rsidRPr="00E208EC" w:rsidR="00C27AF2">
        <w:tab/>
      </w:r>
      <w:r w:rsidR="001617F4">
        <w:t>10</w:t>
      </w:r>
      <w:r w:rsidR="0003725D">
        <w:t>00</w:t>
      </w:r>
      <w:r w:rsidRPr="00E208EC" w:rsidR="00C27AF2">
        <w:tab/>
      </w:r>
      <w:r w:rsidRPr="00E208EC" w:rsidR="00C27AF2">
        <w:tab/>
      </w:r>
      <w:r w:rsidRPr="00E208EC" w:rsidR="00C27AF2">
        <w:tab/>
      </w:r>
      <w:r w:rsidR="001617F4">
        <w:t>253</w:t>
      </w:r>
    </w:p>
    <w:p w:rsidR="00E208EC" w:rsidRPr="005D3FB0" w:rsidP="000E7316" w14:paraId="5BE6C466" w14:textId="77777777">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2"/>
      </w:r>
      <w:r>
        <w:t xml:space="preserve"> for the community listed below, to read as follows:</w:t>
      </w:r>
    </w:p>
    <w:p w:rsidR="00E208EC" w:rsidP="000E7316" w14:paraId="3F095805" w14:textId="77777777">
      <w:pPr>
        <w:pStyle w:val="AppNum"/>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0E7316" w14:paraId="64827EEC"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45368">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0E7316" w14:paraId="7D4C0C08"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Albany</w:t>
      </w:r>
      <w:r w:rsidR="00B90C9B">
        <w:rPr>
          <w:rFonts w:ascii="Times New Roman" w:hAnsi="Times New Roman"/>
          <w:spacing w:val="-3"/>
          <w:sz w:val="22"/>
          <w:szCs w:val="22"/>
        </w:rPr>
        <w:t xml:space="preserve">, </w:t>
      </w:r>
      <w:r>
        <w:rPr>
          <w:rFonts w:ascii="Times New Roman" w:hAnsi="Times New Roman"/>
          <w:spacing w:val="-3"/>
          <w:sz w:val="22"/>
          <w:szCs w:val="22"/>
        </w:rPr>
        <w:t>Georgia</w:t>
      </w:r>
      <w:r w:rsidR="00C27AF2">
        <w:rPr>
          <w:rFonts w:ascii="Times New Roman" w:hAnsi="Times New Roman"/>
          <w:spacing w:val="-3"/>
          <w:sz w:val="22"/>
          <w:szCs w:val="22"/>
        </w:rPr>
        <w:tab/>
      </w:r>
      <w:r w:rsidR="00B90C9B">
        <w:rPr>
          <w:rFonts w:ascii="Times New Roman" w:hAnsi="Times New Roman"/>
          <w:spacing w:val="-3"/>
          <w:sz w:val="22"/>
          <w:szCs w:val="22"/>
        </w:rPr>
        <w:tab/>
      </w:r>
      <w:r w:rsidR="001617F4">
        <w:rPr>
          <w:rFonts w:ascii="Times New Roman" w:hAnsi="Times New Roman"/>
          <w:spacing w:val="-3"/>
          <w:sz w:val="22"/>
          <w:szCs w:val="22"/>
        </w:rPr>
        <w:tab/>
      </w:r>
      <w:r w:rsidR="00115578">
        <w:rPr>
          <w:rFonts w:ascii="Times New Roman" w:hAnsi="Times New Roman"/>
          <w:spacing w:val="-3"/>
          <w:sz w:val="22"/>
          <w:szCs w:val="22"/>
        </w:rPr>
        <w:tab/>
      </w:r>
      <w:r w:rsidR="000B2D1D">
        <w:rPr>
          <w:rFonts w:ascii="Times New Roman" w:hAnsi="Times New Roman"/>
          <w:spacing w:val="-3"/>
          <w:sz w:val="22"/>
          <w:szCs w:val="22"/>
        </w:rPr>
        <w:t>10, 12</w:t>
      </w:r>
      <w:r w:rsidR="00C27AF2">
        <w:rPr>
          <w:rFonts w:ascii="Times New Roman" w:hAnsi="Times New Roman"/>
          <w:spacing w:val="-3"/>
          <w:sz w:val="22"/>
          <w:szCs w:val="22"/>
        </w:rPr>
        <w:tab/>
      </w:r>
      <w:r w:rsidR="0003725D">
        <w:rPr>
          <w:rFonts w:ascii="Times New Roman" w:hAnsi="Times New Roman"/>
          <w:spacing w:val="-3"/>
          <w:sz w:val="22"/>
          <w:szCs w:val="22"/>
        </w:rPr>
        <w:tab/>
      </w:r>
      <w:r w:rsidR="001617F4">
        <w:rPr>
          <w:rFonts w:ascii="Times New Roman" w:hAnsi="Times New Roman"/>
          <w:spacing w:val="-3"/>
          <w:sz w:val="22"/>
          <w:szCs w:val="22"/>
        </w:rPr>
        <w:tab/>
      </w:r>
      <w:r w:rsidR="001617F4">
        <w:rPr>
          <w:rFonts w:ascii="Times New Roman" w:hAnsi="Times New Roman"/>
          <w:spacing w:val="-3"/>
          <w:sz w:val="22"/>
          <w:szCs w:val="22"/>
        </w:rPr>
        <w:tab/>
        <w:t>10, 29</w:t>
      </w:r>
    </w:p>
    <w:bookmarkEnd w:id="2"/>
    <w:p w:rsidR="00787DB6" w:rsidRPr="005E3497" w:rsidP="000E7316" w14:paraId="6976891D" w14:textId="77777777">
      <w:pPr>
        <w:pStyle w:val="Heading1"/>
        <w:keepNext w:val="0"/>
        <w:suppressAutoHyphens w:val="0"/>
      </w:pPr>
      <w:r>
        <w:t>Procedural matters</w:t>
      </w:r>
    </w:p>
    <w:p w:rsidR="00787DB6" w:rsidRPr="009F2562" w:rsidP="000E7316" w14:paraId="03770145"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3"/>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4"/>
      </w:r>
    </w:p>
    <w:p w:rsidR="00787DB6" w:rsidRPr="009F2562" w:rsidP="00377C9D" w14:paraId="07785E7B" w14:textId="77777777">
      <w:pPr>
        <w:pStyle w:val="ParaNum"/>
        <w:keepNext/>
        <w:keepLines/>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377C9D" w14:paraId="2FCD40D1" w14:textId="77777777">
      <w:pPr>
        <w:keepNext/>
        <w:keepLines/>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rsidRPr="009F2562">
        <w:t xml:space="preserve">  </w:t>
      </w:r>
    </w:p>
    <w:p w:rsidR="00787DB6" w:rsidP="00377C9D" w14:paraId="703C6B3D" w14:textId="77777777">
      <w:pPr>
        <w:keepNext/>
        <w:keepLines/>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6"/>
      </w:r>
    </w:p>
    <w:p w:rsidR="00787DB6" w:rsidP="00377C9D" w14:paraId="58EAF0C7" w14:textId="77777777">
      <w:pPr>
        <w:pStyle w:val="ParaNum"/>
        <w:keepNext/>
        <w:keepLines/>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7"/>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8"/>
      </w:r>
    </w:p>
    <w:p w:rsidR="00787DB6" w:rsidRPr="00522221" w:rsidP="00377C9D" w14:paraId="4823F89B" w14:textId="77777777">
      <w:pPr>
        <w:keepNext/>
        <w:keepLines/>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270524E2"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0B64AC06"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30282551" w14:textId="49007DA8">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C2479A">
        <w:rPr>
          <w:szCs w:val="22"/>
        </w:rPr>
        <w:t>.</w:t>
      </w:r>
      <w:r w:rsidRPr="00522221">
        <w:rPr>
          <w:szCs w:val="22"/>
        </w:rPr>
        <w:t>C</w:t>
      </w:r>
      <w:r w:rsidR="00C2479A">
        <w:rPr>
          <w:szCs w:val="22"/>
        </w:rPr>
        <w:t>.</w:t>
      </w:r>
      <w:r w:rsidRPr="00522221">
        <w:rPr>
          <w:szCs w:val="22"/>
        </w:rPr>
        <w:t xml:space="preserve">  20554.</w:t>
      </w:r>
    </w:p>
    <w:p w:rsidR="00787DB6" w:rsidP="000E7316" w14:paraId="0F2C64AD"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D40C1D" w:rsidP="000E7316" w14:paraId="351F08EE"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377C9D" w14:paraId="02A66243" w14:textId="39D3EBEE">
      <w:pPr>
        <w:pStyle w:val="ParaNum"/>
      </w:pPr>
      <w:r w:rsidRPr="005B3D01">
        <w:rPr>
          <w:i/>
          <w:iCs/>
        </w:rPr>
        <w:t>Service.</w:t>
      </w:r>
      <w:r>
        <w:t xml:space="preserve">  Pursuant </w:t>
      </w:r>
      <w:r w:rsidR="007028A8">
        <w:t xml:space="preserve">to </w:t>
      </w:r>
      <w:r>
        <w:t xml:space="preserve">section </w:t>
      </w:r>
      <w:r w:rsidR="00F24E3B">
        <w:t>1</w:t>
      </w:r>
      <w:r>
        <w:t>.</w:t>
      </w:r>
      <w:r w:rsidR="00F24E3B">
        <w:t>4</w:t>
      </w:r>
      <w:r>
        <w:t xml:space="preserve">20 of the </w:t>
      </w:r>
      <w:r w:rsidR="00F24E3B">
        <w:t>r</w:t>
      </w:r>
      <w:r>
        <w:t>ules,</w:t>
      </w:r>
      <w:r>
        <w:rPr>
          <w:rStyle w:val="FootnoteReference"/>
        </w:rPr>
        <w:footnoteReference w:id="20"/>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1"/>
      </w:r>
      <w:r>
        <w:t xml:space="preserve">  Additionally, a copy of such comments should be served on counsel for petitioner, as follows:</w:t>
      </w:r>
    </w:p>
    <w:p w:rsidR="00CE5579" w:rsidP="000E7316" w14:paraId="441468F9" w14:textId="77777777">
      <w:pPr>
        <w:pStyle w:val="ParaNum"/>
        <w:keepNext/>
        <w:keepLines/>
        <w:widowControl/>
        <w:numPr>
          <w:ilvl w:val="0"/>
          <w:numId w:val="0"/>
        </w:numPr>
        <w:spacing w:after="0"/>
        <w:ind w:left="720"/>
      </w:pPr>
      <w:r>
        <w:t>Paul A. Cicelski</w:t>
      </w:r>
      <w:r w:rsidR="00C27AF2">
        <w:t xml:space="preserve">, Esq. </w:t>
      </w:r>
    </w:p>
    <w:p w:rsidR="00CE5579" w:rsidP="000E7316" w14:paraId="5E0C00FC" w14:textId="77777777">
      <w:pPr>
        <w:pStyle w:val="ParaNum"/>
        <w:keepNext/>
        <w:keepLines/>
        <w:widowControl/>
        <w:numPr>
          <w:ilvl w:val="0"/>
          <w:numId w:val="0"/>
        </w:numPr>
        <w:spacing w:after="0"/>
        <w:ind w:left="720"/>
      </w:pPr>
      <w:r>
        <w:t>Lerman</w:t>
      </w:r>
      <w:r>
        <w:t xml:space="preserve"> Senter P</w:t>
      </w:r>
      <w:r w:rsidR="00B90C9B">
        <w:t>LLC</w:t>
      </w:r>
    </w:p>
    <w:p w:rsidR="00CE5579" w:rsidP="000E7316" w14:paraId="0D8E9CF1" w14:textId="77777777">
      <w:pPr>
        <w:pStyle w:val="ParaNum"/>
        <w:keepNext/>
        <w:keepLines/>
        <w:widowControl/>
        <w:numPr>
          <w:ilvl w:val="0"/>
          <w:numId w:val="0"/>
        </w:numPr>
        <w:spacing w:after="0"/>
        <w:ind w:left="720"/>
      </w:pPr>
      <w:r>
        <w:t xml:space="preserve">2001 </w:t>
      </w:r>
      <w:r w:rsidR="00B90C9B">
        <w:t>L</w:t>
      </w:r>
      <w:r>
        <w:t xml:space="preserve"> Street,</w:t>
      </w:r>
      <w:r w:rsidR="00C27AF2">
        <w:t xml:space="preserve"> </w:t>
      </w:r>
      <w:r>
        <w:t xml:space="preserve"> </w:t>
      </w:r>
      <w:r w:rsidR="00C27AF2">
        <w:t>NW</w:t>
      </w:r>
    </w:p>
    <w:p w:rsidR="00CE5579" w:rsidRPr="00CE5579" w:rsidP="000E7316" w14:paraId="3327716A" w14:textId="77777777">
      <w:pPr>
        <w:pStyle w:val="ParaNum"/>
        <w:keepNext/>
        <w:keepLines/>
        <w:widowControl/>
        <w:numPr>
          <w:ilvl w:val="0"/>
          <w:numId w:val="0"/>
        </w:numPr>
        <w:ind w:left="720"/>
      </w:pPr>
      <w:r>
        <w:t>Washington, D.C.  200</w:t>
      </w:r>
      <w:r w:rsidR="00DF5C24">
        <w:t>36</w:t>
      </w:r>
    </w:p>
    <w:p w:rsidR="00787DB6" w:rsidP="000E7316" w14:paraId="0B36BB44"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2"/>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3"/>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4DBAC551"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1309550"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9"/>
      </w:r>
    </w:p>
    <w:p w:rsidR="006F1759" w:rsidRPr="006F1759" w:rsidP="000E7316" w14:paraId="0FDCCC39"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249355F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435695FD" w14:textId="77777777">
      <w:pPr>
        <w:pStyle w:val="Heading1"/>
        <w:keepNext w:val="0"/>
        <w:suppressAutoHyphens w:val="0"/>
      </w:pPr>
      <w:r>
        <w:t>Ordering clauses</w:t>
      </w:r>
    </w:p>
    <w:p w:rsidR="00202AF5" w:rsidRPr="006F1759" w:rsidP="000E7316" w14:paraId="6BC4E4E6"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7B8E2B29" w14:textId="0CEEE309">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 </w:t>
      </w:r>
      <w:r w:rsidRPr="007028A8">
        <w:rPr>
          <w:szCs w:val="22"/>
        </w:rPr>
        <w:t>21-</w:t>
      </w:r>
      <w:r w:rsidR="007028A8">
        <w:rPr>
          <w:szCs w:val="22"/>
        </w:rPr>
        <w:t>70</w:t>
      </w:r>
      <w:r w:rsidRPr="00522221">
        <w:rPr>
          <w:szCs w:val="22"/>
        </w:rPr>
        <w:t xml:space="preserve"> </w:t>
      </w:r>
      <w:r w:rsidR="00787DB6">
        <w:rPr>
          <w:szCs w:val="22"/>
        </w:rPr>
        <w:t xml:space="preserve">and </w:t>
      </w:r>
      <w:r w:rsidRPr="007028A8" w:rsidR="00787DB6">
        <w:rPr>
          <w:szCs w:val="22"/>
        </w:rPr>
        <w:t>RM-</w:t>
      </w:r>
      <w:r w:rsidRPr="007028A8" w:rsidR="00783ACC">
        <w:rPr>
          <w:szCs w:val="22"/>
        </w:rPr>
        <w:t>11</w:t>
      </w:r>
      <w:r w:rsidR="007028A8">
        <w:rPr>
          <w:szCs w:val="22"/>
        </w:rPr>
        <w:t>886</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181ABB68" w14:textId="77777777">
      <w:r>
        <w:tab/>
      </w:r>
      <w:r>
        <w:tab/>
      </w:r>
      <w:r>
        <w:tab/>
      </w:r>
      <w:r>
        <w:tab/>
      </w:r>
      <w:r>
        <w:tab/>
      </w:r>
      <w:r>
        <w:tab/>
        <w:t>FEDERAL COMMUNICATIONS COMMISSION</w:t>
      </w:r>
    </w:p>
    <w:p w:rsidR="009F2562" w:rsidP="000E7316" w14:paraId="549453D4" w14:textId="77777777"/>
    <w:p w:rsidR="009F2562" w:rsidP="000E7316" w14:paraId="5960DE0E" w14:textId="77777777"/>
    <w:p w:rsidR="009F2562" w:rsidP="000E7316" w14:paraId="7433AA75" w14:textId="77777777"/>
    <w:p w:rsidR="009F2562" w:rsidP="000E7316" w14:paraId="7D1F2F81" w14:textId="77777777"/>
    <w:p w:rsidR="009F2562" w:rsidP="000E7316" w14:paraId="306E625F" w14:textId="77777777">
      <w:r>
        <w:tab/>
      </w:r>
      <w:r>
        <w:tab/>
      </w:r>
      <w:r>
        <w:tab/>
      </w:r>
      <w:r>
        <w:tab/>
      </w:r>
      <w:r>
        <w:tab/>
      </w:r>
      <w:r>
        <w:tab/>
      </w:r>
      <w:r w:rsidR="00003FD3">
        <w:t>Barbara A. Kreisman</w:t>
      </w:r>
    </w:p>
    <w:p w:rsidR="009F2562" w:rsidP="000E7316" w14:paraId="15C0AFC1" w14:textId="77777777">
      <w:r>
        <w:tab/>
      </w:r>
      <w:r>
        <w:tab/>
      </w:r>
      <w:r>
        <w:tab/>
      </w:r>
      <w:r>
        <w:tab/>
      </w:r>
      <w:r>
        <w:tab/>
      </w:r>
      <w:r>
        <w:tab/>
      </w:r>
      <w:r w:rsidR="00003FD3">
        <w:t>Chief, Video Division</w:t>
      </w:r>
    </w:p>
    <w:p w:rsidR="00003FD3" w:rsidRPr="009F2562" w:rsidP="000E7316" w14:paraId="1C233F67"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983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BE1B5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3CD30B2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713A3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0F44266A" w14:textId="77777777">
      <w:r>
        <w:separator/>
      </w:r>
    </w:p>
  </w:footnote>
  <w:footnote w:type="continuationSeparator" w:id="1">
    <w:p w:rsidR="00F52BAB" w:rsidP="00C721AC" w14:paraId="5CD1C339"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59095FCC" w14:textId="77777777">
      <w:pPr>
        <w:jc w:val="right"/>
        <w:rPr>
          <w:sz w:val="20"/>
        </w:rPr>
      </w:pPr>
      <w:r>
        <w:rPr>
          <w:sz w:val="20"/>
        </w:rPr>
        <w:t>(continued….)</w:t>
      </w:r>
    </w:p>
  </w:footnote>
  <w:footnote w:id="3">
    <w:p w:rsidR="003B6FA0" w:rsidP="004A2A44" w14:paraId="23BC5763" w14:textId="75C2ECDF">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BD5289">
        <w:t>WFX</w:t>
      </w:r>
      <w:r w:rsidR="008D74A0">
        <w:t>L</w:t>
      </w:r>
      <w:r w:rsidR="00BD5289">
        <w:t xml:space="preserve"> Licensee, LLC</w:t>
      </w:r>
      <w:r w:rsidRPr="00273EA0" w:rsidR="00EA0CA8">
        <w:t xml:space="preserve"> for Rulemaking (filed Nov. 27, 2020)</w:t>
      </w:r>
      <w:r w:rsidRPr="00273EA0" w:rsidR="00897354">
        <w:t>, LMS File No</w:t>
      </w:r>
      <w:r w:rsidRPr="00273EA0" w:rsidR="001F2E5A">
        <w:t xml:space="preserve">. </w:t>
      </w:r>
      <w:r w:rsidRPr="00273EA0" w:rsidR="00AA6025">
        <w:t>0000</w:t>
      </w:r>
      <w:r w:rsidR="00BD5289">
        <w:t>127633</w:t>
      </w:r>
      <w:r w:rsidR="00242C1F">
        <w:t xml:space="preserve"> (Petition)</w:t>
      </w:r>
      <w:r w:rsidR="00BF05D9">
        <w:t xml:space="preserve">.  </w:t>
      </w:r>
      <w:r w:rsidR="00242C1F">
        <w:t>The Licensee</w:t>
      </w:r>
      <w:r w:rsidR="00BF05D9">
        <w:t xml:space="preserve"> amended its petition on February 1</w:t>
      </w:r>
      <w:r w:rsidR="00195439">
        <w:t>9</w:t>
      </w:r>
      <w:r w:rsidR="00BF05D9">
        <w:t xml:space="preserve">, 2021 to provide additional information </w:t>
      </w:r>
      <w:r w:rsidR="008B79AE">
        <w:t>reg</w:t>
      </w:r>
      <w:r w:rsidR="008D74A0">
        <w:t>a</w:t>
      </w:r>
      <w:r w:rsidR="008B79AE">
        <w:t>rding</w:t>
      </w:r>
      <w:r w:rsidR="00C2479A">
        <w:t xml:space="preserve"> predicted loss population figures</w:t>
      </w:r>
      <w:r w:rsidRPr="00273EA0" w:rsidR="00AA6025">
        <w:t xml:space="preserve"> </w:t>
      </w:r>
      <w:r w:rsidRPr="00273EA0" w:rsidR="00EA0CA8">
        <w:t>(</w:t>
      </w:r>
      <w:r w:rsidR="00BF05D9">
        <w:t xml:space="preserve">Amended </w:t>
      </w:r>
      <w:r w:rsidR="00195439">
        <w:t>Engineering Statement</w:t>
      </w:r>
      <w:r w:rsidRPr="00273EA0" w:rsidR="00EA0CA8">
        <w:t xml:space="preserve">). </w:t>
      </w:r>
    </w:p>
  </w:footnote>
  <w:footnote w:id="4">
    <w:p w:rsidR="009F2562" w:rsidRPr="00F11D79" w:rsidP="004A2A44" w14:paraId="0B712A4A" w14:textId="77777777">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0F700AA3" w14:textId="64B3D1E4">
      <w:pPr>
        <w:pStyle w:val="FootnoteText"/>
        <w:widowControl w:val="0"/>
      </w:pPr>
      <w:r w:rsidRPr="008B497D">
        <w:rPr>
          <w:rStyle w:val="FootnoteReference"/>
        </w:rPr>
        <w:footnoteRef/>
      </w:r>
      <w:r w:rsidRPr="008B497D">
        <w:t xml:space="preserve"> </w:t>
      </w:r>
      <w:r w:rsidR="00692E04">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825703">
        <w:t xml:space="preserve"> and </w:t>
      </w:r>
      <w:r w:rsidR="00021511">
        <w:t xml:space="preserve"> </w:t>
      </w:r>
      <w:r w:rsidR="00021511">
        <w:rPr>
          <w:i/>
          <w:iCs/>
        </w:rPr>
        <w:t>Amendment of Parts 73 and 74 of the Commission’s Rules to Establish Rules for Digital Low Power Television, Television Translator, and Television Booster Stations and to Amend Rules for Digital Class A Television Stations</w:t>
      </w:r>
      <w:r w:rsidR="00021511">
        <w:t xml:space="preserve">, MB Docket No. 03-185, Second Report and Order, 25 FCC </w:t>
      </w:r>
      <w:r w:rsidR="00021511">
        <w:t>Rcd</w:t>
      </w:r>
      <w:r w:rsidR="00021511">
        <w:t xml:space="preserve"> 10732, 10750, para. 37 (2011).  </w:t>
      </w:r>
      <w:r w:rsidR="00021511">
        <w:rPr>
          <w:i/>
          <w:iCs/>
        </w:rPr>
        <w:t>See also</w:t>
      </w:r>
      <w:r w:rsidR="00021511">
        <w:t xml:space="preserve"> Petition at 3</w:t>
      </w:r>
      <w:r w:rsidR="009E10E8">
        <w:t xml:space="preserve"> (</w:t>
      </w:r>
      <w:r w:rsidR="00021511">
        <w:t>regarding dipole antenna lengths needed to receive VHF and UHF signals on mobile devices using ATSC 3.0 technology</w:t>
      </w:r>
      <w:r w:rsidR="009E10E8">
        <w:t>)</w:t>
      </w:r>
      <w:r w:rsidR="00C27F85">
        <w:t xml:space="preserve"> and Engineering Statement at 3</w:t>
      </w:r>
      <w:r w:rsidR="009E10E8">
        <w:t xml:space="preserve"> (</w:t>
      </w:r>
      <w:r w:rsidR="00C27F85">
        <w:t>indicating that WFX</w:t>
      </w:r>
      <w:r w:rsidR="008D74A0">
        <w:t>L</w:t>
      </w:r>
      <w:r w:rsidR="00C27F85">
        <w:t xml:space="preserve"> will likely be precluded from using ATSC 3.0 technology on channel 12 to portable and mobile users of these services</w:t>
      </w:r>
      <w:r w:rsidR="009E10E8">
        <w:t>)</w:t>
      </w:r>
      <w:r w:rsidR="00C27F85">
        <w:t xml:space="preserve">.  </w:t>
      </w:r>
    </w:p>
  </w:footnote>
  <w:footnote w:id="6">
    <w:p w:rsidR="00E509E7" w14:paraId="5854DA11" w14:textId="77777777">
      <w:pPr>
        <w:pStyle w:val="FootnoteText"/>
      </w:pPr>
      <w:r>
        <w:rPr>
          <w:rStyle w:val="FootnoteReference"/>
        </w:rPr>
        <w:footnoteRef/>
      </w:r>
      <w:r>
        <w:t xml:space="preserve"> Petition at 2.</w:t>
      </w:r>
    </w:p>
  </w:footnote>
  <w:footnote w:id="7">
    <w:p w:rsidR="00E509E7" w14:paraId="4A3EA99F" w14:textId="77777777">
      <w:pPr>
        <w:pStyle w:val="FootnoteText"/>
      </w:pPr>
      <w:r>
        <w:rPr>
          <w:rStyle w:val="FootnoteReference"/>
        </w:rPr>
        <w:footnoteRef/>
      </w:r>
      <w:r>
        <w:t xml:space="preserve"> </w:t>
      </w:r>
      <w:r w:rsidRPr="00E509E7">
        <w:rPr>
          <w:i/>
          <w:iCs/>
        </w:rPr>
        <w:t>Id</w:t>
      </w:r>
      <w:r>
        <w:t>.</w:t>
      </w:r>
    </w:p>
  </w:footnote>
  <w:footnote w:id="8">
    <w:p w:rsidR="009C02D6" w:rsidP="009C02D6" w14:paraId="60FE24BB" w14:textId="77777777">
      <w:pPr>
        <w:pStyle w:val="FootnoteText"/>
      </w:pPr>
      <w:r>
        <w:rPr>
          <w:rStyle w:val="FootnoteReference"/>
        </w:rPr>
        <w:footnoteRef/>
      </w:r>
      <w:r>
        <w:t xml:space="preserve"> Amended Engineering Statement at 2.</w:t>
      </w:r>
    </w:p>
  </w:footnote>
  <w:footnote w:id="9">
    <w:p w:rsidR="0081046E" w14:paraId="10D41053" w14:textId="77777777">
      <w:pPr>
        <w:pStyle w:val="FootnoteText"/>
      </w:pPr>
      <w:r>
        <w:rPr>
          <w:rStyle w:val="FootnoteReference"/>
        </w:rPr>
        <w:footnoteRef/>
      </w:r>
      <w:r>
        <w:t xml:space="preserve"> </w:t>
      </w:r>
      <w:r w:rsidRPr="009C02D6" w:rsidR="009C02D6">
        <w:rPr>
          <w:i/>
          <w:iCs/>
        </w:rPr>
        <w:t>Id.</w:t>
      </w:r>
    </w:p>
  </w:footnote>
  <w:footnote w:id="10">
    <w:p w:rsidR="00E208EC" w:rsidRPr="00BE3330" w:rsidP="004A2A44" w14:paraId="64BDB9AD" w14:textId="77777777">
      <w:pPr>
        <w:pStyle w:val="FootnoteText"/>
        <w:widowControl w:val="0"/>
      </w:pPr>
      <w:r>
        <w:rPr>
          <w:rStyle w:val="FootnoteReference"/>
        </w:rPr>
        <w:footnoteRef/>
      </w:r>
      <w:r>
        <w:t xml:space="preserve"> 47 CFR § 73.625(a).</w:t>
      </w:r>
      <w:bookmarkStart w:id="1" w:name="SR;334"/>
      <w:bookmarkEnd w:id="1"/>
    </w:p>
  </w:footnote>
  <w:footnote w:id="11">
    <w:p w:rsidR="00E208EC" w:rsidP="004A2A44" w14:paraId="5D890BB8" w14:textId="77777777">
      <w:pPr>
        <w:pStyle w:val="FootnoteText"/>
        <w:widowControl w:val="0"/>
      </w:pPr>
      <w:r w:rsidRPr="003F7A73">
        <w:rPr>
          <w:rStyle w:val="FootnoteReference"/>
        </w:rPr>
        <w:footnoteRef/>
      </w:r>
      <w:r w:rsidRPr="003F7A73">
        <w:t xml:space="preserve"> 47 CFR §§ 73.616, 73.623.</w:t>
      </w:r>
    </w:p>
  </w:footnote>
  <w:footnote w:id="12">
    <w:p w:rsidR="00E208EC" w:rsidP="004A2A44" w14:paraId="6D9384EE" w14:textId="77777777">
      <w:pPr>
        <w:pStyle w:val="FootnoteText"/>
        <w:widowControl w:val="0"/>
      </w:pPr>
      <w:r>
        <w:rPr>
          <w:rStyle w:val="FootnoteReference"/>
        </w:rPr>
        <w:footnoteRef/>
      </w:r>
      <w:r>
        <w:t xml:space="preserve"> 47 CFR § 73.622(</w:t>
      </w:r>
      <w:r>
        <w:t>i</w:t>
      </w:r>
      <w:r>
        <w:t>).</w:t>
      </w:r>
    </w:p>
  </w:footnote>
  <w:footnote w:id="13">
    <w:p w:rsidR="00C43C45" w14:paraId="4F5F9EAA"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4">
    <w:p w:rsidR="0025083E" w14:paraId="2256B182" w14:textId="77777777">
      <w:pPr>
        <w:pStyle w:val="FootnoteText"/>
      </w:pPr>
      <w:r>
        <w:rPr>
          <w:rStyle w:val="FootnoteReference"/>
        </w:rPr>
        <w:footnoteRef/>
      </w:r>
      <w:r>
        <w:t xml:space="preserve"> </w:t>
      </w:r>
      <w:r w:rsidRPr="0025083E">
        <w:t>47 CFR § 1.420(j).</w:t>
      </w:r>
    </w:p>
  </w:footnote>
  <w:footnote w:id="15">
    <w:p w:rsidR="00787DB6" w:rsidP="004A2A44" w14:paraId="72E48238"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6">
    <w:p w:rsidR="00787DB6" w:rsidP="004A2A44" w14:paraId="43648ED0" w14:textId="77777777">
      <w:pPr>
        <w:pStyle w:val="FootnoteText"/>
        <w:widowControl w:val="0"/>
      </w:pPr>
      <w:r>
        <w:rPr>
          <w:rStyle w:val="FootnoteReference"/>
        </w:rPr>
        <w:footnoteRef/>
      </w:r>
      <w:r>
        <w:t xml:space="preserve"> </w:t>
      </w:r>
      <w:r w:rsidRPr="005F375B">
        <w:t>47 CFR § 1.420(</w:t>
      </w:r>
      <w:r>
        <w:t>g)(2)</w:t>
      </w:r>
      <w:r w:rsidRPr="005F375B">
        <w:t>.</w:t>
      </w:r>
    </w:p>
  </w:footnote>
  <w:footnote w:id="17">
    <w:p w:rsidR="00787DB6" w:rsidP="004A2A44" w14:paraId="03C78DC5" w14:textId="77777777">
      <w:pPr>
        <w:pStyle w:val="FootnoteText"/>
        <w:widowControl w:val="0"/>
      </w:pPr>
      <w:r>
        <w:rPr>
          <w:rStyle w:val="FootnoteReference"/>
        </w:rPr>
        <w:footnoteRef/>
      </w:r>
      <w:r>
        <w:t xml:space="preserve"> </w:t>
      </w:r>
      <w:r w:rsidRPr="003B6FA0">
        <w:t>47 CFR §§ 1.415, 1.419,</w:t>
      </w:r>
      <w:r>
        <w:t xml:space="preserve"> and 1.420.</w:t>
      </w:r>
    </w:p>
  </w:footnote>
  <w:footnote w:id="18">
    <w:p w:rsidR="00787DB6" w:rsidRPr="006F1759" w:rsidP="004A2A44" w14:paraId="199667A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9">
    <w:p w:rsidR="00787DB6" w:rsidP="004A2A44" w14:paraId="3A1253A5"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0">
    <w:p w:rsidR="00787DB6" w:rsidP="004A2A44" w14:paraId="6C1FB7B5" w14:textId="77777777">
      <w:pPr>
        <w:pStyle w:val="FootnoteText"/>
        <w:widowControl w:val="0"/>
      </w:pPr>
      <w:r>
        <w:rPr>
          <w:rStyle w:val="FootnoteReference"/>
        </w:rPr>
        <w:footnoteRef/>
      </w:r>
      <w:r>
        <w:t xml:space="preserve"> 47 CFR § </w:t>
      </w:r>
      <w:r w:rsidR="00810450">
        <w:t>1</w:t>
      </w:r>
      <w:r>
        <w:t>.</w:t>
      </w:r>
      <w:r w:rsidR="00810450">
        <w:t>4</w:t>
      </w:r>
      <w:r>
        <w:t>20.</w:t>
      </w:r>
    </w:p>
  </w:footnote>
  <w:footnote w:id="21">
    <w:p w:rsidR="00787DB6" w:rsidP="004A2A44" w14:paraId="17D781A2"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2">
    <w:p w:rsidR="00787DB6" w:rsidRPr="00522221" w:rsidP="004A2A44" w14:paraId="4194E67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3">
    <w:p w:rsidR="00787DB6" w:rsidP="004A2A44" w14:paraId="085A2911" w14:textId="77777777">
      <w:pPr>
        <w:pStyle w:val="FootnoteText"/>
        <w:widowControl w:val="0"/>
      </w:pPr>
      <w:r>
        <w:rPr>
          <w:rStyle w:val="FootnoteReference"/>
        </w:rPr>
        <w:footnoteRef/>
      </w:r>
      <w:r>
        <w:t xml:space="preserve"> 47 CFR § 1.1208.</w:t>
      </w:r>
    </w:p>
  </w:footnote>
  <w:footnote w:id="24">
    <w:p w:rsidR="00787DB6" w:rsidP="004A2A44" w14:paraId="05E62FBF" w14:textId="77777777">
      <w:pPr>
        <w:pStyle w:val="FootnoteText"/>
        <w:widowControl w:val="0"/>
      </w:pPr>
      <w:r>
        <w:rPr>
          <w:rStyle w:val="FootnoteReference"/>
        </w:rPr>
        <w:footnoteRef/>
      </w:r>
      <w:r>
        <w:t xml:space="preserve"> 47 CFR § 1.1204(a)(10).</w:t>
      </w:r>
    </w:p>
  </w:footnote>
  <w:footnote w:id="25">
    <w:p w:rsidR="00787DB6" w:rsidP="004A2A44" w14:paraId="6AC25933"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6">
    <w:p w:rsidR="00003FD3" w:rsidP="004A2A44" w14:paraId="3CE4D6D0"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7">
    <w:p w:rsidR="00003FD3" w:rsidP="004A2A44" w14:paraId="3211C8DF"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8">
    <w:p w:rsidR="000A72DA" w:rsidP="004A2A44" w14:paraId="6F53EEA5"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9">
    <w:p w:rsidR="000A72DA" w:rsidP="004A2A44" w14:paraId="01F735C4"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18D3C56" w14:textId="2BA43938">
    <w:pPr>
      <w:pStyle w:val="Header"/>
      <w:rPr>
        <w:b w:val="0"/>
      </w:rPr>
    </w:pPr>
    <w:r>
      <w:tab/>
      <w:t>Federal Communications Commission</w:t>
    </w:r>
    <w:r>
      <w:tab/>
    </w:r>
    <w:r w:rsidR="004A2A44">
      <w:t>DA</w:t>
    </w:r>
    <w:r w:rsidR="00BF05D9">
      <w:t xml:space="preserve"> 21-</w:t>
    </w:r>
    <w:r w:rsidR="007028A8">
      <w:t>267</w:t>
    </w:r>
  </w:p>
  <w:p w:rsidR="00D25FB5" w14:paraId="4250784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423E4C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BA6F89" w14:textId="70A025F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7028A8">
      <w:rPr>
        <w:spacing w:val="-2"/>
      </w:rPr>
      <w:t>267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36039"/>
    <w:rsid w:val="0003725D"/>
    <w:rsid w:val="00037F90"/>
    <w:rsid w:val="00043719"/>
    <w:rsid w:val="00044E4A"/>
    <w:rsid w:val="000716A9"/>
    <w:rsid w:val="000875BF"/>
    <w:rsid w:val="00096D8C"/>
    <w:rsid w:val="000A72DA"/>
    <w:rsid w:val="000B2D1D"/>
    <w:rsid w:val="000C0B65"/>
    <w:rsid w:val="000C7622"/>
    <w:rsid w:val="000D7B7B"/>
    <w:rsid w:val="000E05FE"/>
    <w:rsid w:val="000E3D42"/>
    <w:rsid w:val="000E7316"/>
    <w:rsid w:val="00113A6F"/>
    <w:rsid w:val="00115578"/>
    <w:rsid w:val="00122BD5"/>
    <w:rsid w:val="001317A9"/>
    <w:rsid w:val="00133F79"/>
    <w:rsid w:val="00134EA3"/>
    <w:rsid w:val="00161160"/>
    <w:rsid w:val="001617F4"/>
    <w:rsid w:val="001659A0"/>
    <w:rsid w:val="001740B7"/>
    <w:rsid w:val="001854A3"/>
    <w:rsid w:val="00193681"/>
    <w:rsid w:val="00194A66"/>
    <w:rsid w:val="00195439"/>
    <w:rsid w:val="00196157"/>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42C1F"/>
    <w:rsid w:val="00245368"/>
    <w:rsid w:val="0025083E"/>
    <w:rsid w:val="00273EA0"/>
    <w:rsid w:val="00275CF5"/>
    <w:rsid w:val="00282422"/>
    <w:rsid w:val="0028301F"/>
    <w:rsid w:val="00285017"/>
    <w:rsid w:val="002A2D2E"/>
    <w:rsid w:val="002C00E8"/>
    <w:rsid w:val="002C2A5E"/>
    <w:rsid w:val="002D72B9"/>
    <w:rsid w:val="003002F5"/>
    <w:rsid w:val="00311E3F"/>
    <w:rsid w:val="0031233E"/>
    <w:rsid w:val="00315FEE"/>
    <w:rsid w:val="00316968"/>
    <w:rsid w:val="0032122C"/>
    <w:rsid w:val="00325DF6"/>
    <w:rsid w:val="00327A95"/>
    <w:rsid w:val="00331D74"/>
    <w:rsid w:val="003356E8"/>
    <w:rsid w:val="00341BB1"/>
    <w:rsid w:val="00343749"/>
    <w:rsid w:val="00343F5A"/>
    <w:rsid w:val="00345D82"/>
    <w:rsid w:val="00351EF5"/>
    <w:rsid w:val="00352A67"/>
    <w:rsid w:val="003532A0"/>
    <w:rsid w:val="003660ED"/>
    <w:rsid w:val="00370034"/>
    <w:rsid w:val="00370A81"/>
    <w:rsid w:val="00377C9D"/>
    <w:rsid w:val="00383C9E"/>
    <w:rsid w:val="00386604"/>
    <w:rsid w:val="00390A40"/>
    <w:rsid w:val="003B0550"/>
    <w:rsid w:val="003B2BBE"/>
    <w:rsid w:val="003B5AC1"/>
    <w:rsid w:val="003B694F"/>
    <w:rsid w:val="003B6FA0"/>
    <w:rsid w:val="003F171C"/>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5411"/>
    <w:rsid w:val="0048464E"/>
    <w:rsid w:val="00484F99"/>
    <w:rsid w:val="00493354"/>
    <w:rsid w:val="00494BBF"/>
    <w:rsid w:val="004A2A44"/>
    <w:rsid w:val="004A3C48"/>
    <w:rsid w:val="004A5916"/>
    <w:rsid w:val="004B33FE"/>
    <w:rsid w:val="004C2EE3"/>
    <w:rsid w:val="004C638D"/>
    <w:rsid w:val="004D6FE1"/>
    <w:rsid w:val="004E4A22"/>
    <w:rsid w:val="004F7ED5"/>
    <w:rsid w:val="00506DB1"/>
    <w:rsid w:val="00507BFC"/>
    <w:rsid w:val="00511968"/>
    <w:rsid w:val="00522221"/>
    <w:rsid w:val="00540ED1"/>
    <w:rsid w:val="005411A9"/>
    <w:rsid w:val="00543469"/>
    <w:rsid w:val="00555584"/>
    <w:rsid w:val="0055614C"/>
    <w:rsid w:val="00563090"/>
    <w:rsid w:val="00566D06"/>
    <w:rsid w:val="005757D6"/>
    <w:rsid w:val="005A7F82"/>
    <w:rsid w:val="005B1762"/>
    <w:rsid w:val="005B3D01"/>
    <w:rsid w:val="005D07C4"/>
    <w:rsid w:val="005D3FB0"/>
    <w:rsid w:val="005E14C2"/>
    <w:rsid w:val="005E3497"/>
    <w:rsid w:val="005F32E9"/>
    <w:rsid w:val="005F375B"/>
    <w:rsid w:val="00607BA5"/>
    <w:rsid w:val="0061180A"/>
    <w:rsid w:val="00626EB6"/>
    <w:rsid w:val="0063593A"/>
    <w:rsid w:val="00647E02"/>
    <w:rsid w:val="00655D03"/>
    <w:rsid w:val="00662635"/>
    <w:rsid w:val="006704F5"/>
    <w:rsid w:val="00683388"/>
    <w:rsid w:val="00683F84"/>
    <w:rsid w:val="00692E04"/>
    <w:rsid w:val="00695325"/>
    <w:rsid w:val="006A3717"/>
    <w:rsid w:val="006A4BFB"/>
    <w:rsid w:val="006A6A81"/>
    <w:rsid w:val="006A7A0C"/>
    <w:rsid w:val="006D33F6"/>
    <w:rsid w:val="006F1759"/>
    <w:rsid w:val="006F438A"/>
    <w:rsid w:val="006F7393"/>
    <w:rsid w:val="0070224F"/>
    <w:rsid w:val="007028A8"/>
    <w:rsid w:val="0070751D"/>
    <w:rsid w:val="007115F7"/>
    <w:rsid w:val="00712696"/>
    <w:rsid w:val="00726E82"/>
    <w:rsid w:val="00745508"/>
    <w:rsid w:val="0075166D"/>
    <w:rsid w:val="007524CD"/>
    <w:rsid w:val="00780924"/>
    <w:rsid w:val="00783ACC"/>
    <w:rsid w:val="00785689"/>
    <w:rsid w:val="00785CD8"/>
    <w:rsid w:val="00787DB6"/>
    <w:rsid w:val="0079754B"/>
    <w:rsid w:val="007A0571"/>
    <w:rsid w:val="007A163B"/>
    <w:rsid w:val="007A1E6D"/>
    <w:rsid w:val="007A3BAB"/>
    <w:rsid w:val="007B0EB2"/>
    <w:rsid w:val="007C16F4"/>
    <w:rsid w:val="007D4249"/>
    <w:rsid w:val="00810450"/>
    <w:rsid w:val="0081046E"/>
    <w:rsid w:val="00810B6F"/>
    <w:rsid w:val="00822CE0"/>
    <w:rsid w:val="008248C2"/>
    <w:rsid w:val="00825703"/>
    <w:rsid w:val="00836EF4"/>
    <w:rsid w:val="0084005D"/>
    <w:rsid w:val="00840FF0"/>
    <w:rsid w:val="00841AB1"/>
    <w:rsid w:val="008470CB"/>
    <w:rsid w:val="00847350"/>
    <w:rsid w:val="0087360E"/>
    <w:rsid w:val="00892071"/>
    <w:rsid w:val="00896190"/>
    <w:rsid w:val="00897354"/>
    <w:rsid w:val="0089784D"/>
    <w:rsid w:val="008A58AA"/>
    <w:rsid w:val="008B497D"/>
    <w:rsid w:val="008B6B96"/>
    <w:rsid w:val="008B79AE"/>
    <w:rsid w:val="008C68F1"/>
    <w:rsid w:val="008D74A0"/>
    <w:rsid w:val="008E6B05"/>
    <w:rsid w:val="00916924"/>
    <w:rsid w:val="00921803"/>
    <w:rsid w:val="009243CF"/>
    <w:rsid w:val="00926503"/>
    <w:rsid w:val="00927113"/>
    <w:rsid w:val="00945222"/>
    <w:rsid w:val="00945D64"/>
    <w:rsid w:val="009726D8"/>
    <w:rsid w:val="00985BD1"/>
    <w:rsid w:val="00990D14"/>
    <w:rsid w:val="009A6869"/>
    <w:rsid w:val="009B7B38"/>
    <w:rsid w:val="009C02D6"/>
    <w:rsid w:val="009C6F27"/>
    <w:rsid w:val="009D7308"/>
    <w:rsid w:val="009D7448"/>
    <w:rsid w:val="009E10E8"/>
    <w:rsid w:val="009E136D"/>
    <w:rsid w:val="009F2562"/>
    <w:rsid w:val="009F76DB"/>
    <w:rsid w:val="00A32C3B"/>
    <w:rsid w:val="00A42382"/>
    <w:rsid w:val="00A45F4F"/>
    <w:rsid w:val="00A46B85"/>
    <w:rsid w:val="00A600A9"/>
    <w:rsid w:val="00A66590"/>
    <w:rsid w:val="00A71673"/>
    <w:rsid w:val="00A724A0"/>
    <w:rsid w:val="00A73D10"/>
    <w:rsid w:val="00A779BE"/>
    <w:rsid w:val="00A86487"/>
    <w:rsid w:val="00A929B1"/>
    <w:rsid w:val="00AA55B7"/>
    <w:rsid w:val="00AA5B9E"/>
    <w:rsid w:val="00AA6025"/>
    <w:rsid w:val="00AB2407"/>
    <w:rsid w:val="00AB53DF"/>
    <w:rsid w:val="00AB6B83"/>
    <w:rsid w:val="00AC7242"/>
    <w:rsid w:val="00AF0D12"/>
    <w:rsid w:val="00AF6613"/>
    <w:rsid w:val="00B07E5C"/>
    <w:rsid w:val="00B1464E"/>
    <w:rsid w:val="00B32A7C"/>
    <w:rsid w:val="00B811F7"/>
    <w:rsid w:val="00B90C9B"/>
    <w:rsid w:val="00B97DD3"/>
    <w:rsid w:val="00BA0BA9"/>
    <w:rsid w:val="00BA5DC6"/>
    <w:rsid w:val="00BA6196"/>
    <w:rsid w:val="00BC5600"/>
    <w:rsid w:val="00BC69ED"/>
    <w:rsid w:val="00BC6D8C"/>
    <w:rsid w:val="00BD5289"/>
    <w:rsid w:val="00BE3330"/>
    <w:rsid w:val="00BF05D9"/>
    <w:rsid w:val="00BF1951"/>
    <w:rsid w:val="00C16F3A"/>
    <w:rsid w:val="00C2479A"/>
    <w:rsid w:val="00C256D8"/>
    <w:rsid w:val="00C27AF2"/>
    <w:rsid w:val="00C27ED4"/>
    <w:rsid w:val="00C27F85"/>
    <w:rsid w:val="00C34006"/>
    <w:rsid w:val="00C36B4C"/>
    <w:rsid w:val="00C426B1"/>
    <w:rsid w:val="00C43C45"/>
    <w:rsid w:val="00C60BBF"/>
    <w:rsid w:val="00C66160"/>
    <w:rsid w:val="00C66F10"/>
    <w:rsid w:val="00C721AC"/>
    <w:rsid w:val="00C85F9D"/>
    <w:rsid w:val="00C90D6A"/>
    <w:rsid w:val="00CA247E"/>
    <w:rsid w:val="00CA6D21"/>
    <w:rsid w:val="00CC72B6"/>
    <w:rsid w:val="00CE35EF"/>
    <w:rsid w:val="00CE5579"/>
    <w:rsid w:val="00D0218D"/>
    <w:rsid w:val="00D2014A"/>
    <w:rsid w:val="00D2308F"/>
    <w:rsid w:val="00D2371E"/>
    <w:rsid w:val="00D25FB5"/>
    <w:rsid w:val="00D40C1D"/>
    <w:rsid w:val="00D44223"/>
    <w:rsid w:val="00D62637"/>
    <w:rsid w:val="00D62C5A"/>
    <w:rsid w:val="00D734A5"/>
    <w:rsid w:val="00DA059A"/>
    <w:rsid w:val="00DA2529"/>
    <w:rsid w:val="00DB130A"/>
    <w:rsid w:val="00DB2EBB"/>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270B"/>
    <w:rsid w:val="00E07225"/>
    <w:rsid w:val="00E208EC"/>
    <w:rsid w:val="00E20B16"/>
    <w:rsid w:val="00E24A53"/>
    <w:rsid w:val="00E334A8"/>
    <w:rsid w:val="00E462E9"/>
    <w:rsid w:val="00E509E7"/>
    <w:rsid w:val="00E5257E"/>
    <w:rsid w:val="00E5409F"/>
    <w:rsid w:val="00E560B4"/>
    <w:rsid w:val="00E76017"/>
    <w:rsid w:val="00EA0CA8"/>
    <w:rsid w:val="00EA23F6"/>
    <w:rsid w:val="00EC216A"/>
    <w:rsid w:val="00ED7593"/>
    <w:rsid w:val="00EE6488"/>
    <w:rsid w:val="00EF7BFB"/>
    <w:rsid w:val="00F021FA"/>
    <w:rsid w:val="00F11D79"/>
    <w:rsid w:val="00F14545"/>
    <w:rsid w:val="00F24E3B"/>
    <w:rsid w:val="00F30797"/>
    <w:rsid w:val="00F356C6"/>
    <w:rsid w:val="00F52BAB"/>
    <w:rsid w:val="00F62E97"/>
    <w:rsid w:val="00F64209"/>
    <w:rsid w:val="00F91E0E"/>
    <w:rsid w:val="00F93BF5"/>
    <w:rsid w:val="00FB7347"/>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8A8"/>
    <w:pPr>
      <w:widowControl w:val="0"/>
    </w:pPr>
    <w:rPr>
      <w:snapToGrid w:val="0"/>
      <w:kern w:val="28"/>
      <w:sz w:val="22"/>
    </w:rPr>
  </w:style>
  <w:style w:type="paragraph" w:styleId="Heading1">
    <w:name w:val="heading 1"/>
    <w:basedOn w:val="Normal"/>
    <w:next w:val="ParaNum"/>
    <w:qFormat/>
    <w:rsid w:val="007028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028A8"/>
    <w:pPr>
      <w:keepNext/>
      <w:numPr>
        <w:ilvl w:val="1"/>
        <w:numId w:val="3"/>
      </w:numPr>
      <w:spacing w:after="120"/>
      <w:outlineLvl w:val="1"/>
    </w:pPr>
    <w:rPr>
      <w:b/>
    </w:rPr>
  </w:style>
  <w:style w:type="paragraph" w:styleId="Heading3">
    <w:name w:val="heading 3"/>
    <w:basedOn w:val="Normal"/>
    <w:next w:val="ParaNum"/>
    <w:qFormat/>
    <w:rsid w:val="007028A8"/>
    <w:pPr>
      <w:keepNext/>
      <w:numPr>
        <w:ilvl w:val="2"/>
        <w:numId w:val="3"/>
      </w:numPr>
      <w:tabs>
        <w:tab w:val="left" w:pos="2160"/>
      </w:tabs>
      <w:spacing w:after="120"/>
      <w:outlineLvl w:val="2"/>
    </w:pPr>
    <w:rPr>
      <w:b/>
    </w:rPr>
  </w:style>
  <w:style w:type="paragraph" w:styleId="Heading4">
    <w:name w:val="heading 4"/>
    <w:basedOn w:val="Normal"/>
    <w:next w:val="ParaNum"/>
    <w:qFormat/>
    <w:rsid w:val="007028A8"/>
    <w:pPr>
      <w:keepNext/>
      <w:numPr>
        <w:ilvl w:val="3"/>
        <w:numId w:val="3"/>
      </w:numPr>
      <w:tabs>
        <w:tab w:val="left" w:pos="2880"/>
      </w:tabs>
      <w:spacing w:after="120"/>
      <w:outlineLvl w:val="3"/>
    </w:pPr>
    <w:rPr>
      <w:b/>
    </w:rPr>
  </w:style>
  <w:style w:type="paragraph" w:styleId="Heading5">
    <w:name w:val="heading 5"/>
    <w:basedOn w:val="Normal"/>
    <w:next w:val="ParaNum"/>
    <w:qFormat/>
    <w:rsid w:val="007028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028A8"/>
    <w:pPr>
      <w:numPr>
        <w:ilvl w:val="5"/>
        <w:numId w:val="3"/>
      </w:numPr>
      <w:tabs>
        <w:tab w:val="left" w:pos="4320"/>
      </w:tabs>
      <w:spacing w:after="120"/>
      <w:outlineLvl w:val="5"/>
    </w:pPr>
    <w:rPr>
      <w:b/>
    </w:rPr>
  </w:style>
  <w:style w:type="paragraph" w:styleId="Heading7">
    <w:name w:val="heading 7"/>
    <w:basedOn w:val="Normal"/>
    <w:next w:val="ParaNum"/>
    <w:qFormat/>
    <w:rsid w:val="007028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028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028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028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28A8"/>
  </w:style>
  <w:style w:type="paragraph" w:customStyle="1" w:styleId="ParaNum">
    <w:name w:val="ParaNum"/>
    <w:basedOn w:val="Normal"/>
    <w:link w:val="ParaNumChar1"/>
    <w:rsid w:val="007028A8"/>
    <w:pPr>
      <w:numPr>
        <w:numId w:val="2"/>
      </w:numPr>
      <w:tabs>
        <w:tab w:val="clear" w:pos="1080"/>
        <w:tab w:val="num" w:pos="1440"/>
      </w:tabs>
      <w:spacing w:after="120"/>
    </w:pPr>
  </w:style>
  <w:style w:type="paragraph" w:styleId="EndnoteText">
    <w:name w:val="endnote text"/>
    <w:basedOn w:val="Normal"/>
    <w:semiHidden/>
    <w:rsid w:val="007028A8"/>
    <w:rPr>
      <w:sz w:val="20"/>
    </w:rPr>
  </w:style>
  <w:style w:type="character" w:styleId="EndnoteReference">
    <w:name w:val="endnote reference"/>
    <w:semiHidden/>
    <w:rsid w:val="007028A8"/>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7028A8"/>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7028A8"/>
    <w:rPr>
      <w:rFonts w:ascii="Times New Roman" w:hAnsi="Times New Roman"/>
      <w:dstrike w:val="0"/>
      <w:color w:val="auto"/>
      <w:sz w:val="20"/>
      <w:vertAlign w:val="superscript"/>
    </w:rPr>
  </w:style>
  <w:style w:type="paragraph" w:styleId="TOC1">
    <w:name w:val="toc 1"/>
    <w:basedOn w:val="Normal"/>
    <w:next w:val="Normal"/>
    <w:semiHidden/>
    <w:rsid w:val="007028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028A8"/>
    <w:pPr>
      <w:tabs>
        <w:tab w:val="left" w:pos="720"/>
        <w:tab w:val="right" w:leader="dot" w:pos="9360"/>
      </w:tabs>
      <w:suppressAutoHyphens/>
      <w:ind w:left="720" w:right="720" w:hanging="360"/>
    </w:pPr>
    <w:rPr>
      <w:noProof/>
    </w:rPr>
  </w:style>
  <w:style w:type="paragraph" w:styleId="TOC3">
    <w:name w:val="toc 3"/>
    <w:basedOn w:val="Normal"/>
    <w:next w:val="Normal"/>
    <w:semiHidden/>
    <w:rsid w:val="007028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028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028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028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028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028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028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028A8"/>
    <w:pPr>
      <w:tabs>
        <w:tab w:val="right" w:pos="9360"/>
      </w:tabs>
      <w:suppressAutoHyphens/>
    </w:pPr>
  </w:style>
  <w:style w:type="character" w:customStyle="1" w:styleId="EquationCaption">
    <w:name w:val="_Equation Caption"/>
    <w:rsid w:val="007028A8"/>
  </w:style>
  <w:style w:type="paragraph" w:styleId="Header">
    <w:name w:val="header"/>
    <w:basedOn w:val="Normal"/>
    <w:autoRedefine/>
    <w:rsid w:val="007028A8"/>
    <w:pPr>
      <w:tabs>
        <w:tab w:val="center" w:pos="4680"/>
        <w:tab w:val="right" w:pos="9360"/>
      </w:tabs>
    </w:pPr>
    <w:rPr>
      <w:b/>
    </w:rPr>
  </w:style>
  <w:style w:type="paragraph" w:styleId="Footer">
    <w:name w:val="footer"/>
    <w:basedOn w:val="Normal"/>
    <w:link w:val="FooterChar"/>
    <w:uiPriority w:val="99"/>
    <w:rsid w:val="007028A8"/>
    <w:pPr>
      <w:tabs>
        <w:tab w:val="center" w:pos="4320"/>
        <w:tab w:val="right" w:pos="8640"/>
      </w:tabs>
    </w:pPr>
  </w:style>
  <w:style w:type="character" w:styleId="PageNumber">
    <w:name w:val="page number"/>
    <w:basedOn w:val="DefaultParagraphFont"/>
    <w:rsid w:val="007028A8"/>
  </w:style>
  <w:style w:type="paragraph" w:styleId="BlockText">
    <w:name w:val="Block Text"/>
    <w:basedOn w:val="Normal"/>
    <w:rsid w:val="007028A8"/>
    <w:pPr>
      <w:spacing w:after="240"/>
      <w:ind w:left="1440" w:right="1440"/>
    </w:pPr>
  </w:style>
  <w:style w:type="paragraph" w:customStyle="1" w:styleId="Paratitle">
    <w:name w:val="Para title"/>
    <w:basedOn w:val="Normal"/>
    <w:rsid w:val="007028A8"/>
    <w:pPr>
      <w:tabs>
        <w:tab w:val="center" w:pos="9270"/>
      </w:tabs>
      <w:spacing w:after="240"/>
    </w:pPr>
    <w:rPr>
      <w:spacing w:val="-2"/>
    </w:rPr>
  </w:style>
  <w:style w:type="paragraph" w:customStyle="1" w:styleId="Bullet">
    <w:name w:val="Bullet"/>
    <w:basedOn w:val="Normal"/>
    <w:rsid w:val="007028A8"/>
    <w:pPr>
      <w:tabs>
        <w:tab w:val="left" w:pos="2160"/>
      </w:tabs>
      <w:spacing w:after="220"/>
      <w:ind w:left="2160" w:hanging="720"/>
    </w:pPr>
  </w:style>
  <w:style w:type="paragraph" w:customStyle="1" w:styleId="TableFormat">
    <w:name w:val="TableFormat"/>
    <w:basedOn w:val="Bullet"/>
    <w:rsid w:val="007028A8"/>
    <w:pPr>
      <w:tabs>
        <w:tab w:val="clear" w:pos="2160"/>
        <w:tab w:val="left" w:pos="5040"/>
      </w:tabs>
      <w:ind w:left="5040" w:hanging="3600"/>
    </w:pPr>
  </w:style>
  <w:style w:type="paragraph" w:customStyle="1" w:styleId="TOCTitle">
    <w:name w:val="TOC Title"/>
    <w:basedOn w:val="Normal"/>
    <w:rsid w:val="007028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028A8"/>
    <w:pPr>
      <w:jc w:val="center"/>
    </w:pPr>
    <w:rPr>
      <w:rFonts w:ascii="Times New Roman Bold" w:hAnsi="Times New Roman Bold"/>
      <w:b/>
      <w:bCs/>
      <w:caps/>
      <w:szCs w:val="22"/>
    </w:rPr>
  </w:style>
  <w:style w:type="character" w:styleId="Hyperlink">
    <w:name w:val="Hyperlink"/>
    <w:rsid w:val="007028A8"/>
    <w:rPr>
      <w:color w:val="0000FF"/>
      <w:u w:val="single"/>
    </w:rPr>
  </w:style>
  <w:style w:type="character" w:customStyle="1" w:styleId="FooterChar">
    <w:name w:val="Footer Char"/>
    <w:link w:val="Footer"/>
    <w:uiPriority w:val="99"/>
    <w:rsid w:val="007028A8"/>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