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830A0D"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830A0D" w14:paraId="22A0E4C3" w14:textId="77777777">
      <w:pPr>
        <w:pStyle w:val="StyleBoldCentered"/>
      </w:pPr>
      <w:r>
        <w:t>F</w:t>
      </w:r>
      <w:r>
        <w:rPr>
          <w:caps w:val="0"/>
        </w:rPr>
        <w:t>ederal Communications Commission</w:t>
      </w:r>
    </w:p>
    <w:p w:rsidR="004C2EE3" w:rsidP="00830A0D" w14:paraId="1174C1F8" w14:textId="77777777">
      <w:pPr>
        <w:pStyle w:val="StyleBoldCentered"/>
      </w:pPr>
      <w:r>
        <w:rPr>
          <w:caps w:val="0"/>
        </w:rPr>
        <w:t>Washington, D.C. 20554</w:t>
      </w:r>
    </w:p>
    <w:p w:rsidR="004C2EE3" w:rsidP="00830A0D"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rsidP="0081452B" w14:paraId="7B0629A4" w14:textId="77777777">
            <w:pPr>
              <w:tabs>
                <w:tab w:val="center" w:pos="4680"/>
              </w:tabs>
              <w:rPr>
                <w:spacing w:val="-2"/>
              </w:rPr>
            </w:pPr>
            <w:r>
              <w:rPr>
                <w:spacing w:val="-2"/>
              </w:rPr>
              <w:t>In the Matter of</w:t>
            </w:r>
          </w:p>
          <w:p w:rsidR="004C2EE3" w:rsidP="0081452B" w14:paraId="367869F2" w14:textId="77777777">
            <w:pPr>
              <w:tabs>
                <w:tab w:val="center" w:pos="4680"/>
              </w:tabs>
              <w:rPr>
                <w:spacing w:val="-2"/>
              </w:rPr>
            </w:pPr>
          </w:p>
          <w:p w:rsidR="004A3C48" w:rsidP="0081452B" w14:paraId="206FACCA" w14:textId="3CF372E1">
            <w:pPr>
              <w:tabs>
                <w:tab w:val="center" w:pos="4680"/>
              </w:tab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6C66EA">
              <w:rPr>
                <w:spacing w:val="-2"/>
              </w:rPr>
              <w:t>Toledo, Ohio</w:t>
            </w:r>
            <w:r w:rsidRPr="00E208EC" w:rsidR="00E208EC">
              <w:rPr>
                <w:spacing w:val="-2"/>
              </w:rPr>
              <w:t>)</w:t>
            </w:r>
          </w:p>
          <w:p w:rsidR="004C2EE3" w:rsidRPr="007115F7" w:rsidP="0081452B" w14:paraId="44853C02" w14:textId="1282A029">
            <w:pPr>
              <w:tabs>
                <w:tab w:val="center" w:pos="4680"/>
              </w:tabs>
              <w:rPr>
                <w:spacing w:val="-2"/>
              </w:rPr>
            </w:pPr>
          </w:p>
        </w:tc>
        <w:tc>
          <w:tcPr>
            <w:tcW w:w="630" w:type="dxa"/>
          </w:tcPr>
          <w:p w:rsidR="004C2EE3" w:rsidP="0081452B" w14:paraId="465C036D" w14:textId="77777777">
            <w:pPr>
              <w:tabs>
                <w:tab w:val="center" w:pos="4680"/>
              </w:tabs>
              <w:rPr>
                <w:b/>
                <w:spacing w:val="-2"/>
              </w:rPr>
            </w:pPr>
            <w:r>
              <w:rPr>
                <w:b/>
                <w:spacing w:val="-2"/>
              </w:rPr>
              <w:t>)</w:t>
            </w:r>
          </w:p>
          <w:p w:rsidR="004C2EE3" w:rsidP="0081452B" w14:paraId="52FC3940" w14:textId="77777777">
            <w:pPr>
              <w:tabs>
                <w:tab w:val="center" w:pos="4680"/>
              </w:tabs>
              <w:rPr>
                <w:b/>
                <w:spacing w:val="-2"/>
              </w:rPr>
            </w:pPr>
            <w:r>
              <w:rPr>
                <w:b/>
                <w:spacing w:val="-2"/>
              </w:rPr>
              <w:t>)</w:t>
            </w:r>
          </w:p>
          <w:p w:rsidR="004C2EE3" w:rsidP="0081452B" w14:paraId="312D1F1F" w14:textId="77777777">
            <w:pPr>
              <w:tabs>
                <w:tab w:val="center" w:pos="4680"/>
              </w:tabs>
              <w:rPr>
                <w:b/>
                <w:spacing w:val="-2"/>
              </w:rPr>
            </w:pPr>
            <w:r>
              <w:rPr>
                <w:b/>
                <w:spacing w:val="-2"/>
              </w:rPr>
              <w:t>)</w:t>
            </w:r>
          </w:p>
          <w:p w:rsidR="004C2EE3" w:rsidP="0081452B" w14:paraId="2B0FBE0E" w14:textId="77777777">
            <w:pPr>
              <w:tabs>
                <w:tab w:val="center" w:pos="4680"/>
              </w:tabs>
              <w:rPr>
                <w:b/>
                <w:spacing w:val="-2"/>
              </w:rPr>
            </w:pPr>
            <w:r>
              <w:rPr>
                <w:b/>
                <w:spacing w:val="-2"/>
              </w:rPr>
              <w:t>)</w:t>
            </w:r>
          </w:p>
          <w:p w:rsidR="004A3C48" w:rsidRPr="009F2562" w:rsidP="0081452B" w14:paraId="0F97A235" w14:textId="7E0CB274">
            <w:pPr>
              <w:tabs>
                <w:tab w:val="center" w:pos="4680"/>
              </w:tabs>
              <w:rPr>
                <w:b/>
                <w:spacing w:val="-2"/>
              </w:rPr>
            </w:pPr>
            <w:r>
              <w:rPr>
                <w:b/>
                <w:spacing w:val="-2"/>
              </w:rPr>
              <w:t>)</w:t>
            </w:r>
          </w:p>
        </w:tc>
        <w:tc>
          <w:tcPr>
            <w:tcW w:w="4248" w:type="dxa"/>
          </w:tcPr>
          <w:p w:rsidR="004C2EE3" w:rsidP="0081452B" w14:paraId="47367464" w14:textId="77777777">
            <w:pPr>
              <w:tabs>
                <w:tab w:val="center" w:pos="4680"/>
              </w:tabs>
              <w:rPr>
                <w:spacing w:val="-2"/>
              </w:rPr>
            </w:pPr>
          </w:p>
          <w:p w:rsidR="004C2EE3" w:rsidP="0081452B" w14:paraId="0F1BEF75" w14:textId="77777777">
            <w:pPr>
              <w:pStyle w:val="TOAHeading"/>
              <w:tabs>
                <w:tab w:val="center" w:pos="4680"/>
                <w:tab w:val="clear" w:pos="9360"/>
              </w:tabs>
              <w:suppressAutoHyphens w:val="0"/>
              <w:rPr>
                <w:spacing w:val="-2"/>
              </w:rPr>
            </w:pPr>
          </w:p>
          <w:p w:rsidR="009F2562" w:rsidRPr="009F2562" w:rsidP="0081452B" w14:paraId="7372A6C3" w14:textId="783C1D87">
            <w:pPr>
              <w:pStyle w:val="TOAHeading"/>
              <w:tabs>
                <w:tab w:val="center" w:pos="4680"/>
              </w:tabs>
              <w:suppressAutoHyphens w:val="0"/>
              <w:rPr>
                <w:spacing w:val="-2"/>
              </w:rPr>
            </w:pPr>
            <w:r w:rsidRPr="009F2562">
              <w:rPr>
                <w:spacing w:val="-2"/>
              </w:rPr>
              <w:t>MB Docket No. 21-</w:t>
            </w:r>
            <w:r w:rsidR="005E44F8">
              <w:rPr>
                <w:spacing w:val="-2"/>
              </w:rPr>
              <w:t>73</w:t>
            </w:r>
          </w:p>
          <w:p w:rsidR="004C2EE3" w:rsidP="0081452B" w14:paraId="3DBE07C9" w14:textId="5BC387B5">
            <w:pPr>
              <w:tabs>
                <w:tab w:val="center" w:pos="4680"/>
              </w:tabs>
              <w:rPr>
                <w:spacing w:val="-2"/>
              </w:rPr>
            </w:pPr>
            <w:r w:rsidRPr="009F2562">
              <w:rPr>
                <w:spacing w:val="-2"/>
              </w:rPr>
              <w:t>RM-</w:t>
            </w:r>
            <w:r w:rsidR="005E44F8">
              <w:rPr>
                <w:spacing w:val="-2"/>
              </w:rPr>
              <w:t>11889</w:t>
            </w:r>
          </w:p>
        </w:tc>
      </w:tr>
    </w:tbl>
    <w:p w:rsidR="00841AB1" w:rsidP="00830A0D" w14:paraId="66DA8B09" w14:textId="6E1F5D2D">
      <w:pPr>
        <w:pStyle w:val="StyleBoldCentered"/>
      </w:pPr>
      <w:r>
        <w:t>Notice of proposed rulemaking</w:t>
      </w:r>
    </w:p>
    <w:p w:rsidR="004C2EE3" w:rsidP="0081452B" w14:paraId="6914C331" w14:textId="77777777">
      <w:pPr>
        <w:tabs>
          <w:tab w:val="left" w:pos="-720"/>
        </w:tabs>
        <w:spacing w:line="227" w:lineRule="auto"/>
        <w:rPr>
          <w:spacing w:val="-2"/>
        </w:rPr>
      </w:pPr>
    </w:p>
    <w:p w:rsidR="004C2EE3" w:rsidP="0081452B" w14:paraId="5C91105B" w14:textId="5FA2A4E6">
      <w:pPr>
        <w:tabs>
          <w:tab w:val="left" w:pos="720"/>
          <w:tab w:val="right" w:pos="9360"/>
        </w:tabs>
        <w:spacing w:line="227" w:lineRule="auto"/>
        <w:rPr>
          <w:b/>
          <w:spacing w:val="-2"/>
        </w:rPr>
      </w:pPr>
      <w:r>
        <w:rPr>
          <w:b/>
          <w:spacing w:val="-2"/>
        </w:rPr>
        <w:t xml:space="preserve">Adopted:  </w:t>
      </w:r>
      <w:r w:rsidR="005E44F8">
        <w:rPr>
          <w:b/>
          <w:spacing w:val="-2"/>
        </w:rPr>
        <w:t>March 4</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44F8">
        <w:rPr>
          <w:b/>
          <w:spacing w:val="-2"/>
        </w:rPr>
        <w:t>March 4</w:t>
      </w:r>
      <w:r w:rsidR="009F2562">
        <w:rPr>
          <w:b/>
          <w:spacing w:val="-2"/>
        </w:rPr>
        <w:t>, 2021</w:t>
      </w:r>
    </w:p>
    <w:p w:rsidR="009F2562" w:rsidP="0081452B" w14:paraId="3E06AEA5" w14:textId="2166B8B3">
      <w:pPr>
        <w:tabs>
          <w:tab w:val="left" w:pos="720"/>
          <w:tab w:val="right" w:pos="9360"/>
        </w:tabs>
        <w:spacing w:line="227" w:lineRule="auto"/>
        <w:rPr>
          <w:b/>
          <w:spacing w:val="-2"/>
        </w:rPr>
      </w:pPr>
    </w:p>
    <w:p w:rsidR="009F2562" w:rsidRPr="001E1C45" w:rsidP="0081452B" w14:paraId="300353D6" w14:textId="77777777">
      <w:pPr>
        <w:tabs>
          <w:tab w:val="left" w:pos="720"/>
          <w:tab w:val="left" w:pos="5760"/>
        </w:tabs>
        <w:jc w:val="both"/>
        <w:rPr>
          <w:b/>
          <w:spacing w:val="-3"/>
          <w:kern w:val="0"/>
          <w:szCs w:val="22"/>
        </w:rPr>
      </w:pPr>
      <w:r w:rsidRPr="001E1C45">
        <w:rPr>
          <w:b/>
          <w:spacing w:val="-3"/>
          <w:kern w:val="0"/>
          <w:szCs w:val="22"/>
        </w:rPr>
        <w:t>Comment Date:  [30 day</w:t>
      </w:r>
      <w:bookmarkStart w:id="0" w:name="_GoBack"/>
      <w:bookmarkEnd w:id="0"/>
      <w:r w:rsidRPr="001E1C45">
        <w:rPr>
          <w:b/>
          <w:spacing w:val="-3"/>
          <w:kern w:val="0"/>
          <w:szCs w:val="22"/>
        </w:rPr>
        <w:t>s after date of publication in the Federal Register]</w:t>
      </w:r>
    </w:p>
    <w:p w:rsidR="009F2562" w:rsidRPr="009F2562" w:rsidP="0081452B" w14:paraId="7CC86CD0" w14:textId="0C8869C4">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830A0D" w14:paraId="442D5FEE" w14:textId="77777777"/>
    <w:p w:rsidR="00412FC5" w:rsidP="00830A0D" w14:paraId="7E6CFF97" w14:textId="1FCCA375">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6F515A" w:rsidP="00830A0D" w14:paraId="08A781BF" w14:textId="1D291F61">
      <w:pPr>
        <w:rPr>
          <w:spacing w:val="-2"/>
        </w:rPr>
      </w:pPr>
    </w:p>
    <w:p w:rsidR="009F2562" w:rsidRPr="005F6624" w:rsidP="00830A0D" w14:paraId="7564BA14" w14:textId="0FD1C912">
      <w:pPr>
        <w:pStyle w:val="Heading1"/>
        <w:keepNext w:val="0"/>
        <w:suppressAutoHyphens w:val="0"/>
      </w:pPr>
      <w:r>
        <w:t>INTRODUCTION</w:t>
      </w:r>
    </w:p>
    <w:p w:rsidR="009F2562" w:rsidP="00830A0D" w14:paraId="58356F15" w14:textId="2A5BE8D4">
      <w:pPr>
        <w:pStyle w:val="ParaNum"/>
      </w:pPr>
      <w:r w:rsidRPr="00E208EC">
        <w:t xml:space="preserve">The </w:t>
      </w:r>
      <w:r w:rsidR="006B3800">
        <w:t>Video Division</w:t>
      </w:r>
      <w:r w:rsidR="007A48EA">
        <w:t>, Media Bureau</w:t>
      </w:r>
      <w:r w:rsidRPr="00E208EC">
        <w:t xml:space="preserve"> has before it a petition for rulemaking filed </w:t>
      </w:r>
      <w:r w:rsidR="006C66EA">
        <w:t>November 27</w:t>
      </w:r>
      <w:r w:rsidRPr="00E208EC">
        <w:t xml:space="preserve">, 2020 by </w:t>
      </w:r>
      <w:r w:rsidRPr="006C66EA" w:rsidR="006C66EA">
        <w:t>Dominion Broadcasting, Inc. (</w:t>
      </w:r>
      <w:r w:rsidR="006C66EA">
        <w:t>Licensee</w:t>
      </w:r>
      <w:r w:rsidRPr="006C66EA" w:rsidR="006C66EA">
        <w:t>), the licensee of WLMB (IND), channel 5, Toledo, Ohio</w:t>
      </w:r>
      <w:r w:rsidR="006C66EA">
        <w:t xml:space="preserve"> (WLMB or Station)</w:t>
      </w:r>
      <w:r w:rsidRPr="00E208EC">
        <w:t>.</w:t>
      </w:r>
      <w:r>
        <w:rPr>
          <w:rStyle w:val="FootnoteReference"/>
        </w:rPr>
        <w:footnoteReference w:id="3"/>
      </w:r>
      <w:r w:rsidRPr="00E208EC">
        <w:t xml:space="preserve">  Licensee requests the substitution of channel </w:t>
      </w:r>
      <w:r w:rsidR="005F6624">
        <w:t>35</w:t>
      </w:r>
      <w:r w:rsidRPr="00E208EC">
        <w:t xml:space="preserve"> for channel </w:t>
      </w:r>
      <w:r w:rsidR="005F6624">
        <w:t>5</w:t>
      </w:r>
      <w:r w:rsidRPr="00E208EC">
        <w:t xml:space="preserve"> at</w:t>
      </w:r>
      <w:r w:rsidR="005F6624">
        <w:t xml:space="preserve"> Toledo, Ohio,</w:t>
      </w:r>
      <w:r w:rsidRPr="00E208EC">
        <w:t xml:space="preserve"> in the DTV Table of Allotments.</w:t>
      </w:r>
      <w:r>
        <w:rPr>
          <w:rStyle w:val="FootnoteReference"/>
        </w:rPr>
        <w:footnoteReference w:id="4"/>
      </w:r>
      <w:r w:rsidRPr="009F2562">
        <w:t xml:space="preserve"> </w:t>
      </w:r>
    </w:p>
    <w:p w:rsidR="006F515A" w:rsidRPr="009F2562" w:rsidP="0081452B" w14:paraId="19D96A0D" w14:textId="4F460417">
      <w:pPr>
        <w:pStyle w:val="Heading1"/>
        <w:keepNext w:val="0"/>
        <w:suppressAutoHyphens w:val="0"/>
      </w:pPr>
      <w:r>
        <w:t>BACKGROUND</w:t>
      </w:r>
    </w:p>
    <w:p w:rsidR="006D16FA" w:rsidP="00D10E7F" w14:paraId="28738416" w14:textId="5B85CBE3">
      <w:pPr>
        <w:pStyle w:val="ParaNum"/>
        <w:widowControl/>
      </w:pPr>
      <w:r w:rsidRPr="00E208EC">
        <w:t xml:space="preserve">In support of its channel substitution request, Licensee </w:t>
      </w:r>
      <w:r w:rsidR="00F345ED">
        <w:t>states that</w:t>
      </w:r>
      <w:r w:rsidR="00F867E9">
        <w:t>,</w:t>
      </w:r>
      <w:r w:rsidR="00F345ED">
        <w:t xml:space="preserve"> </w:t>
      </w:r>
      <w:r w:rsidR="00F867E9">
        <w:t xml:space="preserve">since the Station transitioned to channel 5 in 2008 in conjunction with the Commission’s digital television transition, it has regularly received complaints from viewers unable to receive the </w:t>
      </w:r>
      <w:r w:rsidR="005F6624">
        <w:t>S</w:t>
      </w:r>
      <w:r w:rsidR="00F867E9">
        <w:t>tation’s over-the-air signal.</w:t>
      </w:r>
      <w:r>
        <w:rPr>
          <w:rStyle w:val="FootnoteReference"/>
        </w:rPr>
        <w:footnoteReference w:id="5"/>
      </w:r>
      <w:r w:rsidR="00FE57CA">
        <w:t xml:space="preserve"> </w:t>
      </w:r>
      <w:r>
        <w:t xml:space="preserve"> Licensee states that these issues have “</w:t>
      </w:r>
      <w:r w:rsidR="00F867E9">
        <w:t>continued unabated</w:t>
      </w:r>
      <w:r>
        <w:t>”</w:t>
      </w:r>
      <w:r w:rsidR="00F867E9">
        <w:t xml:space="preserve"> </w:t>
      </w:r>
      <w:r>
        <w:t xml:space="preserve">for </w:t>
      </w:r>
      <w:r w:rsidR="005F6624">
        <w:t>twelve</w:t>
      </w:r>
      <w:r w:rsidR="00F867E9">
        <w:t xml:space="preserve"> years</w:t>
      </w:r>
      <w:r>
        <w:t>.</w:t>
      </w:r>
      <w:r>
        <w:rPr>
          <w:rStyle w:val="FootnoteReference"/>
        </w:rPr>
        <w:footnoteReference w:id="6"/>
      </w:r>
      <w:r w:rsidR="00F867E9">
        <w:t xml:space="preserve"> </w:t>
      </w:r>
      <w:r w:rsidR="005F6624">
        <w:t xml:space="preserve"> </w:t>
      </w:r>
      <w:r>
        <w:t xml:space="preserve">Licensee </w:t>
      </w:r>
      <w:r w:rsidR="001207BF">
        <w:t xml:space="preserve">further </w:t>
      </w:r>
      <w:r>
        <w:t>states that it “has been forced to constantly scramble to retain viewers with a variety of methods, some costly.”</w:t>
      </w:r>
      <w:r>
        <w:rPr>
          <w:rStyle w:val="FootnoteReference"/>
        </w:rPr>
        <w:footnoteReference w:id="7"/>
      </w:r>
      <w:r w:rsidRPr="006D16FA">
        <w:t xml:space="preserve"> </w:t>
      </w:r>
      <w:r w:rsidR="009B25C4">
        <w:t xml:space="preserve"> </w:t>
      </w:r>
      <w:r>
        <w:t xml:space="preserve">Licensee maintains that these propagation problems have put WLMB at a distinct competitive disadvantage to the other stations broadcasting in the Toledo market. </w:t>
      </w:r>
      <w:r w:rsidR="007A48EA">
        <w:t xml:space="preserve"> </w:t>
      </w:r>
      <w:r>
        <w:t xml:space="preserve">Licensee </w:t>
      </w:r>
      <w:r w:rsidR="007A48EA">
        <w:t xml:space="preserve">states </w:t>
      </w:r>
      <w:r>
        <w:t xml:space="preserve">that the Commission has long since </w:t>
      </w:r>
      <w:r>
        <w:t>recognized that “VHF channels have certain characteristics that have posed</w:t>
      </w:r>
      <w:r w:rsidR="006C1DF5">
        <w:t xml:space="preserve"> </w:t>
      </w:r>
      <w:r>
        <w:t>challenges for their use in providing digital television service</w:t>
      </w:r>
      <w:r w:rsidR="006C1DF5">
        <w:t xml:space="preserve">” and that </w:t>
      </w:r>
      <w:r>
        <w:t>the Station</w:t>
      </w:r>
      <w:r w:rsidR="006C1DF5">
        <w:t>’s</w:t>
      </w:r>
      <w:r>
        <w:t xml:space="preserve"> </w:t>
      </w:r>
      <w:r w:rsidR="006C1DF5">
        <w:t>experience is no different</w:t>
      </w:r>
      <w:r>
        <w:t>.</w:t>
      </w:r>
      <w:r>
        <w:rPr>
          <w:rStyle w:val="FootnoteReference"/>
        </w:rPr>
        <w:footnoteReference w:id="8"/>
      </w:r>
    </w:p>
    <w:p w:rsidR="00F345ED" w:rsidP="006C1DF5" w14:paraId="16142476" w14:textId="36EBADDD">
      <w:pPr>
        <w:pStyle w:val="ParaNum"/>
      </w:pPr>
      <w:r>
        <w:t>To remedy its propagation problems, Licensee proposes substituting UHF channel 35 for VHF channel 5</w:t>
      </w:r>
      <w:r w:rsidR="006C1DF5">
        <w:t>.</w:t>
      </w:r>
      <w:r>
        <w:t xml:space="preserve"> </w:t>
      </w:r>
      <w:r w:rsidR="006C1DF5">
        <w:t xml:space="preserve">Licensee provides an </w:t>
      </w:r>
      <w:r>
        <w:t>Engineering Statement</w:t>
      </w:r>
      <w:r w:rsidR="006C1DF5">
        <w:t xml:space="preserve"> that it claims </w:t>
      </w:r>
      <w:r>
        <w:t>confirms that</w:t>
      </w:r>
      <w:r w:rsidR="005F6624">
        <w:t>,</w:t>
      </w:r>
      <w:r>
        <w:t xml:space="preserve"> with WLMB’s proposed parameters, including a</w:t>
      </w:r>
      <w:r w:rsidR="006C1DF5">
        <w:t xml:space="preserve"> </w:t>
      </w:r>
      <w:r>
        <w:t xml:space="preserve">375 kW ERP, </w:t>
      </w:r>
      <w:r w:rsidR="006C1DF5">
        <w:t>c</w:t>
      </w:r>
      <w:r>
        <w:t xml:space="preserve">hannel 35 can be substituted for </w:t>
      </w:r>
      <w:r w:rsidR="009B25C4">
        <w:t>c</w:t>
      </w:r>
      <w:r>
        <w:t>hannel 5 at Toledo, Ohio, in compliance with</w:t>
      </w:r>
      <w:r w:rsidR="006C1DF5">
        <w:t xml:space="preserve"> </w:t>
      </w:r>
      <w:r>
        <w:t>the Commission’s rules</w:t>
      </w:r>
      <w:r w:rsidR="006C1DF5">
        <w:t>.</w:t>
      </w:r>
      <w:r>
        <w:rPr>
          <w:rStyle w:val="FootnoteReference"/>
        </w:rPr>
        <w:footnoteReference w:id="9"/>
      </w:r>
      <w:r>
        <w:t xml:space="preserve"> </w:t>
      </w:r>
      <w:r w:rsidR="005F6624">
        <w:t xml:space="preserve"> </w:t>
      </w:r>
      <w:r w:rsidR="006C1DF5">
        <w:t xml:space="preserve">Licensee </w:t>
      </w:r>
      <w:r w:rsidR="007A48EA">
        <w:t xml:space="preserve">states </w:t>
      </w:r>
      <w:r w:rsidR="006C1DF5">
        <w:t xml:space="preserve">that </w:t>
      </w:r>
      <w:r>
        <w:t>the proposed facility would continue to provide a</w:t>
      </w:r>
      <w:r w:rsidR="006C1DF5">
        <w:t xml:space="preserve"> </w:t>
      </w:r>
      <w:r>
        <w:t>principal community contour completely covering WLMB’s community of license and would</w:t>
      </w:r>
      <w:r w:rsidR="006C1DF5">
        <w:t xml:space="preserve"> </w:t>
      </w:r>
      <w:r>
        <w:t>not cause impermissible interference to any station.</w:t>
      </w:r>
      <w:r>
        <w:rPr>
          <w:rStyle w:val="FootnoteReference"/>
        </w:rPr>
        <w:footnoteReference w:id="10"/>
      </w:r>
    </w:p>
    <w:p w:rsidR="00396101" w:rsidP="009B25C4" w14:paraId="5ECD377A" w14:textId="1C940A01">
      <w:pPr>
        <w:pStyle w:val="ParaNum"/>
      </w:pPr>
      <w:r>
        <w:t xml:space="preserve">Licensee </w:t>
      </w:r>
      <w:r w:rsidR="007A48EA">
        <w:t>contends</w:t>
      </w:r>
      <w:r>
        <w:t xml:space="preserve"> that </w:t>
      </w:r>
      <w:r w:rsidR="005F6624">
        <w:t>t</w:t>
      </w:r>
      <w:r>
        <w:t xml:space="preserve">he Engineering Statement also confirms that WLMB’s </w:t>
      </w:r>
      <w:r w:rsidR="009B25C4">
        <w:t>c</w:t>
      </w:r>
      <w:r>
        <w:t>hannel 35 contour would be</w:t>
      </w:r>
      <w:r w:rsidR="009B25C4">
        <w:t xml:space="preserve"> </w:t>
      </w:r>
      <w:r>
        <w:t xml:space="preserve">fully contained within the </w:t>
      </w:r>
      <w:r w:rsidR="009B25C4">
        <w:t>S</w:t>
      </w:r>
      <w:r>
        <w:t xml:space="preserve">tation’s existing </w:t>
      </w:r>
      <w:r w:rsidR="009B25C4">
        <w:t>c</w:t>
      </w:r>
      <w:r>
        <w:t xml:space="preserve">hannel 5 contour and would continue to reach </w:t>
      </w:r>
      <w:r w:rsidR="009B25C4">
        <w:t xml:space="preserve">what Licensee characterizes as </w:t>
      </w:r>
      <w:r>
        <w:t>a</w:t>
      </w:r>
      <w:r w:rsidR="009B25C4">
        <w:t xml:space="preserve"> “</w:t>
      </w:r>
      <w:r>
        <w:t>substantial majority</w:t>
      </w:r>
      <w:r w:rsidR="009B25C4">
        <w:t>”</w:t>
      </w:r>
      <w:r>
        <w:t xml:space="preserve"> of the population within the </w:t>
      </w:r>
      <w:r w:rsidR="009B25C4">
        <w:t>S</w:t>
      </w:r>
      <w:r>
        <w:t>tation’s current service area, including fully</w:t>
      </w:r>
      <w:r w:rsidR="009B25C4">
        <w:t xml:space="preserve"> </w:t>
      </w:r>
      <w:r>
        <w:t>covering the City of Toledo.</w:t>
      </w:r>
      <w:r>
        <w:rPr>
          <w:rStyle w:val="FootnoteReference"/>
        </w:rPr>
        <w:footnoteReference w:id="11"/>
      </w:r>
      <w:r>
        <w:t xml:space="preserve"> </w:t>
      </w:r>
      <w:r w:rsidR="005F6624">
        <w:t xml:space="preserve"> </w:t>
      </w:r>
      <w:r w:rsidR="009B25C4">
        <w:t xml:space="preserve">Licensee concedes that </w:t>
      </w:r>
      <w:r>
        <w:t xml:space="preserve">an analysis using the Commission’s </w:t>
      </w:r>
      <w:r>
        <w:t>TVStudy</w:t>
      </w:r>
      <w:r>
        <w:t xml:space="preserve"> indicates</w:t>
      </w:r>
      <w:r w:rsidR="009B25C4">
        <w:t xml:space="preserve"> </w:t>
      </w:r>
      <w:r>
        <w:t xml:space="preserve">that WLMB’s move from </w:t>
      </w:r>
      <w:r w:rsidR="009B25C4">
        <w:t>c</w:t>
      </w:r>
      <w:r>
        <w:t xml:space="preserve">hannel 5 to </w:t>
      </w:r>
      <w:r w:rsidR="009B25C4">
        <w:t>c</w:t>
      </w:r>
      <w:r>
        <w:t>hannel 35 would create a predicted interference-free</w:t>
      </w:r>
      <w:r w:rsidR="009B25C4">
        <w:t xml:space="preserve"> </w:t>
      </w:r>
      <w:r>
        <w:t>population loss of 735,018 persons</w:t>
      </w:r>
      <w:r w:rsidR="009B25C4">
        <w:t>.</w:t>
      </w:r>
      <w:r>
        <w:rPr>
          <w:rStyle w:val="FootnoteReference"/>
        </w:rPr>
        <w:footnoteReference w:id="12"/>
      </w:r>
      <w:r w:rsidR="009B25C4">
        <w:t xml:space="preserve">  However, Licensee maintains</w:t>
      </w:r>
      <w:r>
        <w:t>, the majority of that population is located in the densely</w:t>
      </w:r>
      <w:r w:rsidR="009B25C4">
        <w:t xml:space="preserve"> </w:t>
      </w:r>
      <w:r>
        <w:t xml:space="preserve">populated Detroit metropolitan area, which is outside of the Toledo, Ohio </w:t>
      </w:r>
      <w:r w:rsidR="009B25C4">
        <w:t xml:space="preserve">Nielsen </w:t>
      </w:r>
      <w:r>
        <w:t>D</w:t>
      </w:r>
      <w:r w:rsidR="009B25C4">
        <w:t xml:space="preserve">esignated </w:t>
      </w:r>
      <w:r>
        <w:t>M</w:t>
      </w:r>
      <w:r w:rsidR="009B25C4">
        <w:t xml:space="preserve">arket </w:t>
      </w:r>
      <w:r>
        <w:t>A</w:t>
      </w:r>
      <w:r w:rsidR="009B25C4">
        <w:t>rea (DMA)</w:t>
      </w:r>
      <w:r>
        <w:t>.</w:t>
      </w:r>
      <w:r>
        <w:rPr>
          <w:rStyle w:val="FootnoteReference"/>
        </w:rPr>
        <w:footnoteReference w:id="13"/>
      </w:r>
      <w:r w:rsidR="009B25C4">
        <w:t xml:space="preserve">  </w:t>
      </w:r>
      <w:r>
        <w:t xml:space="preserve">Furthermore, </w:t>
      </w:r>
      <w:r w:rsidR="009B25C4">
        <w:t xml:space="preserve">Licensee continues, </w:t>
      </w:r>
      <w:r>
        <w:t>when terrain limitations and other over-the-air television services are taken</w:t>
      </w:r>
      <w:r w:rsidR="009B25C4">
        <w:t xml:space="preserve"> </w:t>
      </w:r>
      <w:r>
        <w:t>into account, nearly all viewers predicted to lose access to WLMB’s signal would continue to be</w:t>
      </w:r>
      <w:r w:rsidR="009B25C4">
        <w:t xml:space="preserve"> </w:t>
      </w:r>
      <w:r>
        <w:t>“well served”</w:t>
      </w:r>
      <w:r w:rsidR="009B25C4">
        <w:t xml:space="preserve"> as they would </w:t>
      </w:r>
      <w:r>
        <w:t>continue to have access to at least five full power or Class A</w:t>
      </w:r>
      <w:r w:rsidR="009B25C4">
        <w:t xml:space="preserve"> </w:t>
      </w:r>
      <w:r>
        <w:t>television signals.</w:t>
      </w:r>
      <w:r>
        <w:rPr>
          <w:rStyle w:val="FootnoteReference"/>
        </w:rPr>
        <w:footnoteReference w:id="14"/>
      </w:r>
      <w:r w:rsidR="009B25C4">
        <w:t xml:space="preserve">  Licensee calculates that </w:t>
      </w:r>
      <w:r w:rsidR="001207BF">
        <w:t xml:space="preserve">only </w:t>
      </w:r>
      <w:r>
        <w:t>388 people</w:t>
      </w:r>
      <w:r w:rsidR="009B25C4">
        <w:t xml:space="preserve"> </w:t>
      </w:r>
      <w:r>
        <w:t xml:space="preserve">are predicted to live in portions of a </w:t>
      </w:r>
      <w:r w:rsidR="009B25C4">
        <w:t>“</w:t>
      </w:r>
      <w:r>
        <w:t>very</w:t>
      </w:r>
      <w:r w:rsidR="009B25C4">
        <w:t xml:space="preserve"> </w:t>
      </w:r>
      <w:r>
        <w:t>small new loss area</w:t>
      </w:r>
      <w:r w:rsidR="009B25C4">
        <w:t>”</w:t>
      </w:r>
      <w:r>
        <w:t xml:space="preserve"> that would not otherwise be well-served</w:t>
      </w:r>
      <w:r w:rsidR="009B25C4">
        <w:t>.</w:t>
      </w:r>
      <w:r>
        <w:rPr>
          <w:rStyle w:val="FootnoteReference"/>
        </w:rPr>
        <w:footnoteReference w:id="15"/>
      </w:r>
      <w:r w:rsidR="009B25C4">
        <w:t xml:space="preserve">  Licensee </w:t>
      </w:r>
      <w:r w:rsidR="007A48EA">
        <w:t>asserts</w:t>
      </w:r>
      <w:r w:rsidR="009B25C4">
        <w:t xml:space="preserve">, however, that </w:t>
      </w:r>
      <w:r>
        <w:t>even those viewers would not</w:t>
      </w:r>
      <w:r w:rsidR="009B25C4">
        <w:t xml:space="preserve"> </w:t>
      </w:r>
      <w:r>
        <w:t>lose access to their only over-the-air television service, as they continue to receive three full</w:t>
      </w:r>
      <w:r w:rsidR="009B25C4">
        <w:t xml:space="preserve"> </w:t>
      </w:r>
      <w:r>
        <w:t xml:space="preserve">power or Class A </w:t>
      </w:r>
      <w:r w:rsidR="009B25C4">
        <w:t xml:space="preserve">television </w:t>
      </w:r>
      <w:r>
        <w:t>signals.</w:t>
      </w:r>
      <w:r>
        <w:rPr>
          <w:rStyle w:val="FootnoteReference"/>
        </w:rPr>
        <w:footnoteReference w:id="16"/>
      </w:r>
    </w:p>
    <w:p w:rsidR="00396101" w:rsidRPr="006F515A" w:rsidP="00D10E7F" w14:paraId="6D606C2D" w14:textId="76508068">
      <w:pPr>
        <w:pStyle w:val="ParaNum"/>
        <w:widowControl/>
      </w:pPr>
      <w:r>
        <w:t xml:space="preserve">Licensee </w:t>
      </w:r>
      <w:r w:rsidR="007A48EA">
        <w:t xml:space="preserve">claims </w:t>
      </w:r>
      <w:r>
        <w:t xml:space="preserve">that </w:t>
      </w:r>
      <w:r>
        <w:t xml:space="preserve">the Commission will approve </w:t>
      </w:r>
      <w:r>
        <w:t xml:space="preserve">a </w:t>
      </w:r>
      <w:r w:rsidR="00F6534F">
        <w:t xml:space="preserve">proposed </w:t>
      </w:r>
      <w:r>
        <w:t>channel substitution that includes a loss of service</w:t>
      </w:r>
      <w:r>
        <w:t xml:space="preserve"> if </w:t>
      </w:r>
      <w:r>
        <w:t>the</w:t>
      </w:r>
      <w:r w:rsidR="00F6534F">
        <w:t xml:space="preserve"> proposal</w:t>
      </w:r>
      <w:r>
        <w:t xml:space="preserve"> is</w:t>
      </w:r>
      <w:r w:rsidR="00F6534F">
        <w:t xml:space="preserve"> </w:t>
      </w:r>
      <w:r>
        <w:t>“supported by a strong showing of countervailing public interest,” such as offsetting service</w:t>
      </w:r>
      <w:r w:rsidR="00F6534F">
        <w:t xml:space="preserve"> g</w:t>
      </w:r>
      <w:r>
        <w:t>ains</w:t>
      </w:r>
      <w:r w:rsidR="00F6534F">
        <w:t>.</w:t>
      </w:r>
      <w:r>
        <w:rPr>
          <w:rStyle w:val="FootnoteReference"/>
        </w:rPr>
        <w:footnoteReference w:id="17"/>
      </w:r>
      <w:r w:rsidR="00F6534F">
        <w:t xml:space="preserve">  G</w:t>
      </w:r>
      <w:r>
        <w:t>iven the persistent feedback WLMB has received about reception issues within</w:t>
      </w:r>
      <w:r w:rsidR="00F6534F">
        <w:t xml:space="preserve"> </w:t>
      </w:r>
      <w:r>
        <w:t xml:space="preserve">the </w:t>
      </w:r>
      <w:r w:rsidR="00F6534F">
        <w:t>S</w:t>
      </w:r>
      <w:r>
        <w:t xml:space="preserve">tation’s core coverage area, </w:t>
      </w:r>
      <w:r w:rsidR="00F6534F">
        <w:t xml:space="preserve">Licensee maintains that </w:t>
      </w:r>
      <w:r>
        <w:t xml:space="preserve">any </w:t>
      </w:r>
      <w:r w:rsidR="00F6534F">
        <w:t>“</w:t>
      </w:r>
      <w:r>
        <w:t>nominal population loss</w:t>
      </w:r>
      <w:r w:rsidR="00F6534F">
        <w:t>”</w:t>
      </w:r>
      <w:r>
        <w:t xml:space="preserve"> in outlying areas of the station’s</w:t>
      </w:r>
      <w:r w:rsidR="00F6534F">
        <w:t xml:space="preserve"> </w:t>
      </w:r>
      <w:r>
        <w:t xml:space="preserve">contour would be more than outweighed by the substantial improvement in the </w:t>
      </w:r>
      <w:r w:rsidR="00F6534F">
        <w:t>S</w:t>
      </w:r>
      <w:r>
        <w:t>tation’s actual</w:t>
      </w:r>
      <w:r w:rsidR="00F6534F">
        <w:t xml:space="preserve"> </w:t>
      </w:r>
      <w:r>
        <w:t>over-the-air reception within its community of license and in other core portions of its service</w:t>
      </w:r>
      <w:r w:rsidR="00F6534F">
        <w:t xml:space="preserve"> </w:t>
      </w:r>
      <w:r>
        <w:t>area.</w:t>
      </w:r>
      <w:r>
        <w:rPr>
          <w:rStyle w:val="FootnoteReference"/>
        </w:rPr>
        <w:footnoteReference w:id="18"/>
      </w:r>
      <w:r>
        <w:t xml:space="preserve"> </w:t>
      </w:r>
      <w:r w:rsidR="00565229">
        <w:t xml:space="preserve"> </w:t>
      </w:r>
      <w:r w:rsidR="00F6534F">
        <w:t>Licensee concludes that t</w:t>
      </w:r>
      <w:r>
        <w:t xml:space="preserve">he proposed </w:t>
      </w:r>
      <w:r w:rsidR="00F6534F">
        <w:t>substitution of c</w:t>
      </w:r>
      <w:r>
        <w:t xml:space="preserve">hannel 35 </w:t>
      </w:r>
      <w:r>
        <w:t>therefore would serve the public interest by giving</w:t>
      </w:r>
      <w:r w:rsidR="00F6534F">
        <w:t xml:space="preserve"> </w:t>
      </w:r>
      <w:r>
        <w:t>Toledo-area residents greater, more reliable access to WLMB’s free over-the air signal, with few</w:t>
      </w:r>
      <w:r w:rsidR="00F6534F">
        <w:t xml:space="preserve"> </w:t>
      </w:r>
      <w:r>
        <w:t>if any viewers losing access to robust over-the-air service.</w:t>
      </w:r>
      <w:r>
        <w:rPr>
          <w:rStyle w:val="FootnoteReference"/>
        </w:rPr>
        <w:footnoteReference w:id="19"/>
      </w:r>
    </w:p>
    <w:p w:rsidR="006F515A" w:rsidP="0081452B" w14:paraId="750C5FD8" w14:textId="2AF6157F">
      <w:pPr>
        <w:pStyle w:val="Heading1"/>
        <w:keepNext w:val="0"/>
        <w:suppressAutoHyphens w:val="0"/>
      </w:pPr>
      <w:r>
        <w:t>DISCUSSION</w:t>
      </w:r>
    </w:p>
    <w:p w:rsidR="00F6534F" w:rsidP="006C66EA" w14:paraId="3CEF8317" w14:textId="014A2E78">
      <w:pPr>
        <w:pStyle w:val="ParaNum"/>
      </w:pPr>
      <w:r w:rsidRPr="00E208EC">
        <w:t xml:space="preserve">We believe that Licensee’s channel substitution proposal warrants consideration.  Channel </w:t>
      </w:r>
      <w:r w:rsidR="006C66EA">
        <w:t>35</w:t>
      </w:r>
      <w:r w:rsidRPr="00E208EC">
        <w:t xml:space="preserve"> can be substituted for channel </w:t>
      </w:r>
      <w:r w:rsidR="006C66EA">
        <w:t>5</w:t>
      </w:r>
      <w:r w:rsidRPr="00E208EC">
        <w:t xml:space="preserve"> at</w:t>
      </w:r>
      <w:r w:rsidR="001502FD">
        <w:t xml:space="preserve"> </w:t>
      </w:r>
      <w:r w:rsidR="006C66EA">
        <w:t>Toledo, Ohio</w:t>
      </w:r>
      <w:r w:rsidR="000A3526">
        <w:t>,</w:t>
      </w:r>
      <w:r w:rsidRPr="00E208EC">
        <w:t xml:space="preserve"> as proposed, in compliance with the principal community coverage requirements of section 73.625(a) of the Commission’s rules</w:t>
      </w:r>
      <w:r w:rsidR="00830A0D">
        <w:t xml:space="preserve"> (rules</w:t>
      </w:r>
      <w:r w:rsidR="00783AE4">
        <w:t>)</w:t>
      </w:r>
      <w:r w:rsidRPr="00E208EC">
        <w:t>,</w:t>
      </w:r>
      <w:r>
        <w:rPr>
          <w:vertAlign w:val="superscript"/>
        </w:rPr>
        <w:footnoteReference w:id="20"/>
      </w:r>
      <w:r w:rsidRPr="00E208EC">
        <w:t xml:space="preserve"> at coordinates</w:t>
      </w:r>
      <w:r w:rsidR="000C721B">
        <w:t xml:space="preserve"> 41-44-41</w:t>
      </w:r>
      <w:r w:rsidRPr="000A3526" w:rsidR="000A3526">
        <w:t xml:space="preserve"> N and</w:t>
      </w:r>
      <w:r w:rsidR="000C721B">
        <w:t xml:space="preserve"> 084-01-06</w:t>
      </w:r>
      <w:r w:rsidRPr="00E208EC">
        <w:t xml:space="preserve"> W.  In addition, we find that this channel change meets the technical requirements set forth in sections 73.616 and 73.623 of the rules.</w:t>
      </w:r>
      <w:r>
        <w:rPr>
          <w:vertAlign w:val="superscript"/>
        </w:rPr>
        <w:footnoteReference w:id="21"/>
      </w:r>
      <w:r w:rsidRPr="00E208EC">
        <w:t xml:space="preserve"> </w:t>
      </w:r>
      <w:r w:rsidR="00586AF3">
        <w:t>Given its location, we note that Licensee’s proposal is subject to coordination with Canada.</w:t>
      </w:r>
      <w:r w:rsidRPr="00E208EC">
        <w:t xml:space="preserve"> </w:t>
      </w:r>
      <w:r w:rsidR="00586AF3">
        <w:t xml:space="preserve"> </w:t>
      </w:r>
      <w:r w:rsidR="006C66EA">
        <w:t xml:space="preserve">Although substituting channel 35 for channel 5 would result in a loss of service to approximately </w:t>
      </w:r>
      <w:r>
        <w:t xml:space="preserve">735,018 </w:t>
      </w:r>
      <w:r w:rsidR="006C66EA">
        <w:t xml:space="preserve">persons, we </w:t>
      </w:r>
      <w:r>
        <w:t xml:space="preserve">agree with Licensee that </w:t>
      </w:r>
      <w:r w:rsidR="006C66EA">
        <w:t xml:space="preserve">the loss area is </w:t>
      </w:r>
      <w:r>
        <w:t>“</w:t>
      </w:r>
      <w:r w:rsidR="006C66EA">
        <w:t>well</w:t>
      </w:r>
      <w:r>
        <w:t>-</w:t>
      </w:r>
      <w:r w:rsidR="006C66EA">
        <w:t>served</w:t>
      </w:r>
      <w:r>
        <w:t>”</w:t>
      </w:r>
      <w:r w:rsidR="006C66EA">
        <w:t xml:space="preserve"> by </w:t>
      </w:r>
      <w:r w:rsidR="000C721B">
        <w:t xml:space="preserve">at least five </w:t>
      </w:r>
      <w:r w:rsidR="006C66EA">
        <w:t>other television stations.</w:t>
      </w:r>
      <w:r>
        <w:rPr>
          <w:rStyle w:val="FootnoteReference"/>
        </w:rPr>
        <w:footnoteReference w:id="22"/>
      </w:r>
      <w:r w:rsidR="00586AF3">
        <w:t xml:space="preserve">  Further, although Licensee’s proposal would result in a loss of service to approximately </w:t>
      </w:r>
      <w:r w:rsidRPr="00586AF3" w:rsidR="00586AF3">
        <w:t>388 people</w:t>
      </w:r>
      <w:r w:rsidR="00586AF3">
        <w:t xml:space="preserve"> </w:t>
      </w:r>
      <w:r w:rsidRPr="00586AF3" w:rsidR="00586AF3">
        <w:t xml:space="preserve">that would not otherwise be </w:t>
      </w:r>
      <w:r w:rsidR="00586AF3">
        <w:t>“</w:t>
      </w:r>
      <w:r w:rsidRPr="00586AF3" w:rsidR="00586AF3">
        <w:t>well-served</w:t>
      </w:r>
      <w:r w:rsidR="00586AF3">
        <w:t xml:space="preserve">,” we find such a loss area to be </w:t>
      </w:r>
      <w:r w:rsidR="00586AF3">
        <w:rPr>
          <w:i/>
          <w:iCs/>
        </w:rPr>
        <w:t>de minimis</w:t>
      </w:r>
      <w:r w:rsidR="00586AF3">
        <w:t>.</w:t>
      </w:r>
      <w:r>
        <w:rPr>
          <w:rStyle w:val="FootnoteReference"/>
        </w:rPr>
        <w:footnoteReference w:id="23"/>
      </w:r>
    </w:p>
    <w:p w:rsidR="00E208EC" w:rsidRPr="00E208EC" w:rsidP="006C66EA" w14:paraId="6E80C642" w14:textId="0764B139">
      <w:pPr>
        <w:pStyle w:val="ParaNum"/>
      </w:pPr>
      <w:r w:rsidRPr="00E208EC">
        <w:t xml:space="preserve">We propose to substitute channel </w:t>
      </w:r>
      <w:r w:rsidR="006C66EA">
        <w:t>35</w:t>
      </w:r>
      <w:r w:rsidRPr="00E208EC">
        <w:t xml:space="preserve"> for channel </w:t>
      </w:r>
      <w:r w:rsidR="006C66EA">
        <w:t>5</w:t>
      </w:r>
      <w:r w:rsidRPr="00E208EC">
        <w:t xml:space="preserve"> for station </w:t>
      </w:r>
      <w:r w:rsidR="006C66EA">
        <w:t>WLMB</w:t>
      </w:r>
      <w:r w:rsidRPr="00E208EC">
        <w:t xml:space="preserve"> with the following specifications:</w:t>
      </w:r>
    </w:p>
    <w:p w:rsidR="00E208EC" w:rsidRPr="00E208EC" w:rsidP="00830A0D" w14:paraId="5D42D3AD" w14:textId="77777777">
      <w:pPr>
        <w:pStyle w:val="ParaNum"/>
        <w:numPr>
          <w:ilvl w:val="0"/>
          <w:numId w:val="0"/>
        </w:numPr>
        <w:ind w:firstLine="720"/>
      </w:pPr>
      <w:r w:rsidRPr="001F4D9D">
        <w:rPr>
          <w:u w:val="single"/>
        </w:rPr>
        <w:t>City and State</w:t>
      </w:r>
      <w:r w:rsidRPr="00E208EC">
        <w:tab/>
      </w:r>
      <w:r w:rsidRPr="00E208EC">
        <w:tab/>
      </w:r>
      <w:r w:rsidRPr="00E208EC">
        <w:tab/>
      </w:r>
      <w:r w:rsidRPr="001F4D9D">
        <w:rPr>
          <w:u w:val="single"/>
        </w:rPr>
        <w:t>DTV Channel</w:t>
      </w:r>
      <w:r w:rsidRPr="00E208EC">
        <w:tab/>
      </w:r>
      <w:r w:rsidRPr="001F4D9D">
        <w:rPr>
          <w:u w:val="single"/>
        </w:rPr>
        <w:t>DTV Power (kW)</w:t>
      </w:r>
      <w:r w:rsidRPr="00E208EC">
        <w:tab/>
      </w:r>
      <w:r w:rsidRPr="001F4D9D">
        <w:rPr>
          <w:u w:val="single"/>
        </w:rPr>
        <w:t>Antenna HAAT (m)</w:t>
      </w:r>
    </w:p>
    <w:p w:rsidR="00E208EC" w:rsidP="00830A0D" w14:paraId="1728D40F" w14:textId="18F0FA19">
      <w:pPr>
        <w:pStyle w:val="ParaNum"/>
        <w:numPr>
          <w:ilvl w:val="0"/>
          <w:numId w:val="0"/>
        </w:numPr>
        <w:ind w:firstLine="720"/>
      </w:pPr>
      <w:r>
        <w:t>Toledo, Ohio</w:t>
      </w:r>
      <w:r>
        <w:tab/>
      </w:r>
      <w:r w:rsidRPr="00E208EC">
        <w:tab/>
      </w:r>
      <w:r w:rsidRPr="00E208EC">
        <w:tab/>
      </w:r>
      <w:r>
        <w:t>35</w:t>
      </w:r>
      <w:r w:rsidRPr="00E208EC">
        <w:tab/>
      </w:r>
      <w:r w:rsidRPr="00E208EC">
        <w:tab/>
      </w:r>
      <w:r w:rsidR="000C721B">
        <w:t>375</w:t>
      </w:r>
      <w:r w:rsidRPr="00E208EC">
        <w:tab/>
      </w:r>
      <w:r w:rsidRPr="00E208EC">
        <w:tab/>
      </w:r>
      <w:r w:rsidRPr="00E208EC">
        <w:tab/>
      </w:r>
      <w:r w:rsidR="00A323D1">
        <w:t>169.7</w:t>
      </w:r>
    </w:p>
    <w:p w:rsidR="00E208EC" w:rsidRPr="005D3FB0" w:rsidP="00830A0D" w14:paraId="502BBC97" w14:textId="7DCEC901">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24"/>
      </w:r>
      <w:r>
        <w:t xml:space="preserve"> for the community listed below, to read as follows:</w:t>
      </w:r>
    </w:p>
    <w:p w:rsidR="00E208EC" w:rsidP="00830A0D" w14:paraId="38EEE02C" w14:textId="77777777">
      <w:pPr>
        <w:pStyle w:val="AppNum"/>
        <w:numPr>
          <w:ilvl w:val="0"/>
          <w:numId w:val="0"/>
        </w:numPr>
        <w:spacing w:after="240"/>
        <w:ind w:left="4320"/>
        <w:rPr>
          <w:rFonts w:ascii="Times New Roman" w:hAnsi="Times New Roman"/>
          <w:spacing w:val="-3"/>
          <w:sz w:val="22"/>
          <w:szCs w:val="22"/>
          <w:u w:val="single"/>
        </w:rPr>
      </w:pPr>
      <w:r>
        <w:rPr>
          <w:rFonts w:ascii="Times New Roman" w:hAnsi="Times New Roman"/>
          <w:spacing w:val="-3"/>
          <w:sz w:val="22"/>
          <w:szCs w:val="22"/>
          <w:u w:val="single"/>
        </w:rPr>
        <w:t>Channel No.</w:t>
      </w:r>
    </w:p>
    <w:p w:rsidR="00E208EC" w:rsidP="00830A0D"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427D" w:rsidRPr="00E208EC" w:rsidP="0081452B" w14:paraId="585343B5" w14:textId="4E6E15D5">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rPr>
        <w:t>Toledo, Ohio</w:t>
      </w:r>
      <w:r>
        <w:rPr>
          <w:rFonts w:ascii="Times New Roman" w:hAnsi="Times New Roman"/>
          <w:spacing w:val="-3"/>
          <w:sz w:val="22"/>
          <w:szCs w:val="22"/>
        </w:rPr>
        <w:tab/>
      </w:r>
      <w:r w:rsidR="00E208EC">
        <w:rPr>
          <w:rFonts w:ascii="Times New Roman" w:hAnsi="Times New Roman"/>
          <w:spacing w:val="-3"/>
          <w:sz w:val="22"/>
          <w:szCs w:val="22"/>
        </w:rPr>
        <w:tab/>
      </w:r>
      <w:r w:rsidR="00E208EC">
        <w:rPr>
          <w:rFonts w:ascii="Times New Roman" w:hAnsi="Times New Roman"/>
          <w:spacing w:val="-3"/>
          <w:sz w:val="22"/>
          <w:szCs w:val="22"/>
        </w:rPr>
        <w:tab/>
      </w:r>
      <w:r w:rsidRPr="006C66EA">
        <w:rPr>
          <w:rFonts w:ascii="Times New Roman" w:hAnsi="Times New Roman"/>
          <w:spacing w:val="-3"/>
          <w:sz w:val="22"/>
          <w:szCs w:val="22"/>
        </w:rPr>
        <w:t>5, 11, 13, *29, 46, 49</w:t>
      </w:r>
      <w:r w:rsidR="00E208EC">
        <w:rPr>
          <w:rFonts w:ascii="Times New Roman" w:hAnsi="Times New Roman"/>
          <w:spacing w:val="-3"/>
          <w:sz w:val="22"/>
          <w:szCs w:val="22"/>
        </w:rPr>
        <w:tab/>
      </w:r>
      <w:r w:rsidRPr="006C66EA">
        <w:rPr>
          <w:rFonts w:ascii="Times New Roman" w:hAnsi="Times New Roman"/>
          <w:spacing w:val="-3"/>
          <w:sz w:val="22"/>
          <w:szCs w:val="22"/>
        </w:rPr>
        <w:t xml:space="preserve">11, 13, *29, </w:t>
      </w:r>
      <w:r>
        <w:rPr>
          <w:rFonts w:ascii="Times New Roman" w:hAnsi="Times New Roman"/>
          <w:spacing w:val="-3"/>
          <w:sz w:val="22"/>
          <w:szCs w:val="22"/>
        </w:rPr>
        <w:t xml:space="preserve">35, </w:t>
      </w:r>
      <w:r w:rsidRPr="006C66EA">
        <w:rPr>
          <w:rFonts w:ascii="Times New Roman" w:hAnsi="Times New Roman"/>
          <w:spacing w:val="-3"/>
          <w:sz w:val="22"/>
          <w:szCs w:val="22"/>
        </w:rPr>
        <w:t>46, 49</w:t>
      </w:r>
    </w:p>
    <w:p w:rsidR="006F515A" w:rsidP="0081452B" w14:paraId="5BCDBC27" w14:textId="0551D9A8">
      <w:pPr>
        <w:pStyle w:val="Heading1"/>
        <w:keepNext w:val="0"/>
        <w:suppressAutoHyphens w:val="0"/>
      </w:pPr>
      <w:r>
        <w:t>PROCEDURAL MATTERS</w:t>
      </w:r>
    </w:p>
    <w:p w:rsidR="00506F28" w:rsidRPr="009F2562" w:rsidP="00D10E7F" w14:paraId="526026D5" w14:textId="3828FAB9">
      <w:pPr>
        <w:pStyle w:val="ParaNum"/>
        <w:widowControl/>
      </w:pPr>
      <w:r w:rsidRPr="00202AF5">
        <w:rPr>
          <w:i/>
          <w:iCs/>
        </w:rPr>
        <w:t>Showings Required</w:t>
      </w:r>
      <w:r w:rsidRPr="009F2562">
        <w:t xml:space="preserve">.  </w:t>
      </w:r>
      <w:r w:rsidRPr="009F2562">
        <w:t xml:space="preserve">Comments are invited on the proposal discussed in </w:t>
      </w:r>
      <w:r>
        <w:t>this</w:t>
      </w:r>
      <w:r w:rsidRPr="009F2562">
        <w:t xml:space="preserve"> Notice of Proposed Rulemaking</w:t>
      </w:r>
      <w:r>
        <w:t xml:space="preserve"> (</w:t>
      </w:r>
      <w:r w:rsidRPr="00506F28">
        <w:rPr>
          <w:i/>
          <w:iCs/>
        </w:rPr>
        <w:t>NPRM</w:t>
      </w:r>
      <w:r>
        <w:t>)</w:t>
      </w:r>
      <w:r w:rsidRPr="009F2562">
        <w:t xml:space="preserve">.  </w:t>
      </w:r>
      <w:r>
        <w:t>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25"/>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26"/>
      </w:r>
    </w:p>
    <w:p w:rsidR="006F515A" w:rsidRPr="009F2562" w:rsidP="0081452B" w14:paraId="3C7A292D" w14:textId="77777777">
      <w:pPr>
        <w:pStyle w:val="ParaNum"/>
        <w:keepNext/>
        <w:keepLines/>
        <w:widowControl/>
      </w:pPr>
      <w:r w:rsidRPr="00506F28">
        <w:rPr>
          <w:i/>
          <w:iCs/>
        </w:rPr>
        <w:t>Cut-off Protection</w:t>
      </w:r>
      <w:r w:rsidRPr="009F2562">
        <w:t>.  The following procedures will govern the consideration of the filings in this proceeding:</w:t>
      </w:r>
    </w:p>
    <w:p w:rsidR="006F515A" w:rsidRPr="009F2562" w:rsidP="0081452B" w14:paraId="358A66B6" w14:textId="77777777">
      <w:pPr>
        <w:widowControl/>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27"/>
      </w:r>
      <w:r w:rsidRPr="009F2562">
        <w:t xml:space="preserve">  </w:t>
      </w:r>
    </w:p>
    <w:p w:rsidR="006F515A" w:rsidP="0081452B" w14:paraId="199312E9" w14:textId="77777777">
      <w:pPr>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28"/>
      </w:r>
    </w:p>
    <w:p w:rsidR="006F515A" w:rsidP="00783AE4" w14:paraId="3A49305D" w14:textId="1D9506B9">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BD5B3E">
        <w:rPr>
          <w:szCs w:val="22"/>
        </w:rPr>
        <w:t>r</w:t>
      </w:r>
      <w:r w:rsidRPr="00CE5579">
        <w:rPr>
          <w:szCs w:val="22"/>
        </w:rPr>
        <w:t>ules</w:t>
      </w:r>
      <w:r>
        <w:rPr>
          <w:szCs w:val="22"/>
        </w:rPr>
        <w:t>,</w:t>
      </w:r>
      <w:r>
        <w:rPr>
          <w:rStyle w:val="FootnoteReference"/>
          <w:szCs w:val="22"/>
        </w:rPr>
        <w:footnoteReference w:id="29"/>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30"/>
      </w:r>
    </w:p>
    <w:p w:rsidR="006F515A" w:rsidRPr="00522221" w:rsidP="00783AE4" w14:paraId="24D130B6"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6F515A" w:rsidRPr="00331D74" w:rsidP="00783AE4" w14:paraId="08467031" w14:textId="03548C54">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6F515A" w:rsidRPr="00522221" w:rsidP="00783AE4" w14:paraId="79AF139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6F515A" w:rsidP="00783AE4" w14:paraId="4C8F9D69"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6F515A" w:rsidP="00783AE4" w14:paraId="3C96B444" w14:textId="0A3CE1BE">
      <w:pPr>
        <w:numPr>
          <w:ilvl w:val="0"/>
          <w:numId w:val="11"/>
        </w:numPr>
        <w:spacing w:after="120"/>
      </w:pPr>
      <w:bookmarkStart w:id="2" w:name="_Hlk62469034"/>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31"/>
      </w:r>
    </w:p>
    <w:p w:rsidR="006F427D" w:rsidP="00783AE4" w14:paraId="5CACE65A" w14:textId="73AD0BFB">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2"/>
    <w:p w:rsidR="006F515A" w:rsidP="006C66EA" w14:paraId="7B98E5AE" w14:textId="332EEB62">
      <w:pPr>
        <w:pStyle w:val="ParaNum"/>
      </w:pPr>
      <w:r w:rsidRPr="00CE5579">
        <w:rPr>
          <w:i/>
          <w:iCs/>
        </w:rPr>
        <w:t>Service</w:t>
      </w:r>
      <w:r>
        <w:rPr>
          <w:i/>
          <w:iCs/>
        </w:rPr>
        <w:t>.</w:t>
      </w:r>
      <w:r>
        <w:t xml:space="preserve">  Pursuant </w:t>
      </w:r>
      <w:r w:rsidR="005E44F8">
        <w:t xml:space="preserve">to </w:t>
      </w:r>
      <w:r>
        <w:t xml:space="preserve">section </w:t>
      </w:r>
      <w:r w:rsidR="006B3800">
        <w:t>1.4</w:t>
      </w:r>
      <w:r>
        <w:t xml:space="preserve">20 of the </w:t>
      </w:r>
      <w:r w:rsidR="006B3800">
        <w:t>r</w:t>
      </w:r>
      <w:r>
        <w:t>ules,</w:t>
      </w:r>
      <w:r>
        <w:rPr>
          <w:rStyle w:val="FootnoteReference"/>
        </w:rPr>
        <w:footnoteReference w:id="32"/>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33"/>
      </w:r>
      <w:r>
        <w:t xml:space="preserve">  Additionally, a copy of such comments should be served on counsel for petitioner, as follows:</w:t>
      </w:r>
    </w:p>
    <w:p w:rsidR="006C66EA" w:rsidP="006C66EA" w14:paraId="76B7BE34" w14:textId="6286069A">
      <w:pPr>
        <w:pStyle w:val="ParaNum"/>
        <w:numPr>
          <w:ilvl w:val="0"/>
          <w:numId w:val="0"/>
        </w:numPr>
        <w:spacing w:after="0"/>
        <w:ind w:left="720"/>
      </w:pPr>
      <w:r>
        <w:t>Joseph C. Chautin, III, Esq.</w:t>
      </w:r>
    </w:p>
    <w:p w:rsidR="006C66EA" w:rsidP="006C66EA" w14:paraId="0208CE2D" w14:textId="77777777">
      <w:pPr>
        <w:pStyle w:val="ParaNum"/>
        <w:numPr>
          <w:ilvl w:val="0"/>
          <w:numId w:val="0"/>
        </w:numPr>
        <w:spacing w:after="0"/>
        <w:ind w:left="720"/>
      </w:pPr>
      <w:r>
        <w:t xml:space="preserve">Hardy, Carey, </w:t>
      </w:r>
      <w:r>
        <w:t>Chautin</w:t>
      </w:r>
      <w:r>
        <w:t xml:space="preserve"> &amp; </w:t>
      </w:r>
      <w:r>
        <w:t>Balkin</w:t>
      </w:r>
      <w:r>
        <w:t>, LLP</w:t>
      </w:r>
    </w:p>
    <w:p w:rsidR="006C66EA" w:rsidP="006C66EA" w14:paraId="26DA3C70" w14:textId="11AB7DD6">
      <w:pPr>
        <w:pStyle w:val="ParaNum"/>
        <w:numPr>
          <w:ilvl w:val="0"/>
          <w:numId w:val="0"/>
        </w:numPr>
        <w:spacing w:after="0"/>
        <w:ind w:left="720"/>
      </w:pPr>
      <w:r>
        <w:t>1080 West Causeway Approach</w:t>
      </w:r>
    </w:p>
    <w:p w:rsidR="006C66EA" w:rsidP="006C66EA" w14:paraId="7B07436B" w14:textId="1183DD90">
      <w:pPr>
        <w:pStyle w:val="ParaNum"/>
        <w:numPr>
          <w:ilvl w:val="0"/>
          <w:numId w:val="0"/>
        </w:numPr>
        <w:spacing w:after="0"/>
        <w:ind w:left="720"/>
      </w:pPr>
      <w:r w:rsidRPr="006C66EA">
        <w:t>Mandeville, LA 70471</w:t>
      </w:r>
    </w:p>
    <w:p w:rsidR="006C66EA" w:rsidP="006C66EA" w14:paraId="0AD79237" w14:textId="77777777">
      <w:pPr>
        <w:pStyle w:val="ParaNum"/>
        <w:numPr>
          <w:ilvl w:val="0"/>
          <w:numId w:val="0"/>
        </w:numPr>
        <w:spacing w:after="0"/>
        <w:ind w:left="720"/>
      </w:pPr>
    </w:p>
    <w:p w:rsidR="006F515A" w:rsidP="006C66EA" w14:paraId="3E9B69C5" w14:textId="4DDC2605">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506F28" w:rsidR="00BD5B3E">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34"/>
      </w:r>
      <w:r w:rsidRPr="00522221">
        <w:rPr>
          <w:szCs w:val="22"/>
        </w:rPr>
        <w:t xml:space="preserve">  </w:t>
      </w:r>
      <w:r>
        <w:t xml:space="preserve">For purposes of this restricted notice and comment rulemaking proceeding, members of the public are advised that no </w:t>
      </w:r>
      <w:r w:rsidRPr="00506F28">
        <w:rPr>
          <w:i/>
          <w:iCs/>
        </w:rPr>
        <w:t xml:space="preserve">ex </w:t>
      </w:r>
      <w:r w:rsidRPr="00506F28">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35"/>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36"/>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37"/>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6F515A" w:rsidP="00830A0D" w14:paraId="6B356FDF"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6F515A" w:rsidRPr="006F1759" w:rsidP="00830A0D" w14:paraId="7C11BEE3" w14:textId="486F5B2C">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38"/>
      </w:r>
      <w:r>
        <w:t xml:space="preserve"> do not apply to a rulemaking proceeding to amend the DTV Table of Allotments, section 73.622(</w:t>
      </w:r>
      <w:r>
        <w:t>i</w:t>
      </w:r>
      <w:r>
        <w:t xml:space="preserve">) of the </w:t>
      </w:r>
      <w:r w:rsidR="00A10746">
        <w:t>r</w:t>
      </w:r>
      <w:r>
        <w:t>ules.</w:t>
      </w:r>
      <w:r>
        <w:rPr>
          <w:rStyle w:val="FootnoteReference"/>
        </w:rPr>
        <w:footnoteReference w:id="39"/>
      </w:r>
      <w:r>
        <w:t xml:space="preserve">  This document does not contain proposed information collection requirements subject to the Paperwork Reduction Act of 1995.</w:t>
      </w:r>
      <w:r>
        <w:rPr>
          <w:rStyle w:val="FootnoteReference"/>
        </w:rPr>
        <w:footnoteReference w:id="40"/>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41"/>
      </w:r>
    </w:p>
    <w:p w:rsidR="006F515A" w:rsidRPr="006F1759" w:rsidP="00830A0D" w14:paraId="4FD4F47D"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515A" w:rsidRPr="006F1759" w:rsidP="00830A0D" w14:paraId="37B43A26" w14:textId="73099593">
      <w:pPr>
        <w:pStyle w:val="ParaNum"/>
      </w:pPr>
      <w:r w:rsidRPr="00CE5579">
        <w:rPr>
          <w:i/>
          <w:iCs/>
        </w:rPr>
        <w:t>Additional Information</w:t>
      </w:r>
      <w:r>
        <w:t>.  For further information concerning the proceeding listed above, contact Shaun A. Maher, Video Division, Media Bureau, (202) 418-</w:t>
      </w:r>
      <w:r w:rsidR="00E97267">
        <w:t>2324</w:t>
      </w:r>
      <w:r>
        <w:t xml:space="preserve">, </w:t>
      </w:r>
      <w:hyperlink r:id="rId7" w:history="1">
        <w:r w:rsidRPr="002946AC">
          <w:rPr>
            <w:rStyle w:val="Hyperlink"/>
          </w:rPr>
          <w:t>Shaun.Maher@fcc.gov</w:t>
        </w:r>
      </w:hyperlink>
      <w:r>
        <w:t xml:space="preserve">. </w:t>
      </w:r>
    </w:p>
    <w:p w:rsidR="006F515A" w:rsidP="00830A0D" w14:paraId="18279C5F" w14:textId="77777777">
      <w:pPr>
        <w:pStyle w:val="Heading1"/>
        <w:keepNext w:val="0"/>
        <w:suppressAutoHyphens w:val="0"/>
      </w:pPr>
      <w:r>
        <w:t>Ordering clauses</w:t>
      </w:r>
    </w:p>
    <w:p w:rsidR="006F515A" w:rsidRPr="006F1759" w:rsidP="00830A0D" w14:paraId="42A6B6D0" w14:textId="441AD310">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00E97267">
        <w:t>,</w:t>
      </w:r>
      <w:r w:rsidRPr="00CE5579">
        <w:t xml:space="preserve"> </w:t>
      </w:r>
      <w:r w:rsidRPr="009F2562">
        <w:t>and sections 0.61, 0.204(b)</w:t>
      </w:r>
      <w:r>
        <w:t>,</w:t>
      </w:r>
      <w:r w:rsidRPr="009F2562">
        <w:t xml:space="preserve"> and 0.283</w:t>
      </w:r>
      <w:r>
        <w:t xml:space="preserve"> of the </w:t>
      </w:r>
      <w:r w:rsidR="00E97267">
        <w:t>r</w:t>
      </w:r>
      <w:r>
        <w:t>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t xml:space="preserve"> of the </w:t>
      </w:r>
      <w:r w:rsidR="00E97267">
        <w:t>r</w:t>
      </w:r>
      <w:r>
        <w:t>ules</w:t>
      </w:r>
      <w:r w:rsidRPr="009F2562">
        <w:t>,</w:t>
      </w:r>
      <w:r>
        <w:t xml:space="preserve"> 47 CFR § 73.622(</w:t>
      </w:r>
      <w:r>
        <w:t>i</w:t>
      </w:r>
      <w:r>
        <w:t>),</w:t>
      </w:r>
      <w:r w:rsidRPr="009F2562">
        <w:t xml:space="preserve"> as set forth in </w:t>
      </w:r>
      <w:r>
        <w:t>this</w:t>
      </w:r>
      <w:r w:rsidRPr="009F2562">
        <w:t xml:space="preserve"> </w:t>
      </w:r>
      <w:r w:rsidRPr="00506F28" w:rsidR="00E97267">
        <w:rPr>
          <w:i/>
          <w:iCs/>
        </w:rPr>
        <w:t>NPRM</w:t>
      </w:r>
      <w:r>
        <w:t xml:space="preserve">, and </w:t>
      </w:r>
      <w:r w:rsidRPr="006F1759">
        <w:rPr>
          <w:szCs w:val="22"/>
        </w:rPr>
        <w:t xml:space="preserve">this </w:t>
      </w:r>
      <w:r w:rsidRPr="00506F28" w:rsidR="00E97267">
        <w:rPr>
          <w:i/>
          <w:iCs/>
          <w:szCs w:val="22"/>
        </w:rPr>
        <w:t>NPRM</w:t>
      </w:r>
      <w:r w:rsidRPr="006F1759">
        <w:rPr>
          <w:szCs w:val="22"/>
        </w:rPr>
        <w:t xml:space="preserve"> </w:t>
      </w:r>
      <w:r w:rsidRPr="006F1759">
        <w:rPr>
          <w:b/>
          <w:szCs w:val="22"/>
        </w:rPr>
        <w:t xml:space="preserve">IS ADOPTED.  </w:t>
      </w:r>
    </w:p>
    <w:p w:rsidR="006F515A" w:rsidRPr="006F1759" w:rsidP="00830A0D" w14:paraId="10C01C49" w14:textId="109230FC">
      <w:pPr>
        <w:pStyle w:val="ParaNum"/>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sidR="00E97267">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5E44F8">
        <w:rPr>
          <w:szCs w:val="22"/>
        </w:rPr>
        <w:t>73</w:t>
      </w:r>
      <w:r w:rsidRPr="00522221">
        <w:rPr>
          <w:szCs w:val="22"/>
        </w:rPr>
        <w:t xml:space="preserve"> </w:t>
      </w:r>
      <w:r>
        <w:rPr>
          <w:szCs w:val="22"/>
        </w:rPr>
        <w:t>and RM-</w:t>
      </w:r>
      <w:r w:rsidR="005E44F8">
        <w:rPr>
          <w:szCs w:val="22"/>
        </w:rPr>
        <w:t>11889</w:t>
      </w:r>
      <w:r>
        <w:rPr>
          <w:szCs w:val="22"/>
        </w:rPr>
        <w:t xml:space="preserve"> </w:t>
      </w:r>
      <w:r w:rsidRPr="00522221">
        <w:rPr>
          <w:szCs w:val="22"/>
        </w:rPr>
        <w:t xml:space="preserve">on or before thirty (30) days after publication in the </w:t>
      </w:r>
      <w:r w:rsidRPr="0081452B">
        <w:rPr>
          <w:iCs/>
          <w:szCs w:val="22"/>
        </w:rPr>
        <w:t>Federal Register</w:t>
      </w:r>
      <w:r w:rsidRPr="00522221">
        <w:rPr>
          <w:szCs w:val="22"/>
        </w:rPr>
        <w:t xml:space="preserve"> and reply comments on or before forty five (45) days after publication in the </w:t>
      </w:r>
      <w:r w:rsidRPr="0081452B">
        <w:rPr>
          <w:iCs/>
          <w:szCs w:val="22"/>
        </w:rPr>
        <w:t>Federal Register</w:t>
      </w:r>
      <w:r w:rsidRPr="00522221">
        <w:rPr>
          <w:szCs w:val="22"/>
        </w:rPr>
        <w:t>.</w:t>
      </w:r>
    </w:p>
    <w:p w:rsidR="006F515A" w:rsidP="00830A0D" w14:paraId="3509E460" w14:textId="77777777">
      <w:r>
        <w:tab/>
      </w:r>
      <w:r>
        <w:tab/>
      </w:r>
      <w:r>
        <w:tab/>
      </w:r>
      <w:r>
        <w:tab/>
      </w:r>
      <w:r>
        <w:tab/>
      </w:r>
      <w:r>
        <w:tab/>
        <w:t>FEDERAL COMMUNICATIONS COMMISSION</w:t>
      </w:r>
    </w:p>
    <w:p w:rsidR="006F515A" w:rsidP="00830A0D" w14:paraId="578B1821" w14:textId="77777777"/>
    <w:p w:rsidR="006F515A" w:rsidP="00830A0D" w14:paraId="0E29A15A" w14:textId="77777777"/>
    <w:p w:rsidR="006F515A" w:rsidP="00830A0D" w14:paraId="6E1FBABB" w14:textId="77777777"/>
    <w:p w:rsidR="006F515A" w:rsidP="00830A0D" w14:paraId="524B8B3F" w14:textId="77777777"/>
    <w:p w:rsidR="006F515A" w:rsidP="00830A0D" w14:paraId="3729DEB5" w14:textId="77777777">
      <w:r>
        <w:tab/>
      </w:r>
      <w:r>
        <w:tab/>
      </w:r>
      <w:r>
        <w:tab/>
      </w:r>
      <w:r>
        <w:tab/>
      </w:r>
      <w:r>
        <w:tab/>
      </w:r>
      <w:r>
        <w:tab/>
        <w:t>Barbara A. Kreisman</w:t>
      </w:r>
    </w:p>
    <w:p w:rsidR="006F515A" w:rsidP="00830A0D" w14:paraId="5C519208" w14:textId="77777777">
      <w:r>
        <w:tab/>
      </w:r>
      <w:r>
        <w:tab/>
      </w:r>
      <w:r>
        <w:tab/>
      </w:r>
      <w:r>
        <w:tab/>
      </w:r>
      <w:r>
        <w:tab/>
      </w:r>
      <w:r>
        <w:tab/>
        <w:t>Chief, Video Division</w:t>
      </w:r>
    </w:p>
    <w:p w:rsidR="009F2562" w:rsidRPr="009F2562" w:rsidP="00830A0D" w14:paraId="7FB1E2D7" w14:textId="29A6C111">
      <w:r>
        <w:tab/>
      </w:r>
      <w:r>
        <w:tab/>
      </w:r>
      <w:r>
        <w:tab/>
      </w:r>
      <w:r>
        <w:tab/>
      </w:r>
      <w:r>
        <w:tab/>
      </w:r>
      <w:r>
        <w:tab/>
        <w:t>Media Bureau</w:t>
      </w:r>
    </w:p>
    <w:sectPr w:rsidSect="004134DB">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562" w14:paraId="36965032" w14:textId="77777777">
      <w:r>
        <w:separator/>
      </w:r>
    </w:p>
  </w:footnote>
  <w:footnote w:type="continuationSeparator" w:id="1">
    <w:p w:rsidR="009F2562" w:rsidP="00C721AC" w14:paraId="7CD1F1CE" w14:textId="77777777">
      <w:pPr>
        <w:spacing w:before="120"/>
        <w:rPr>
          <w:sz w:val="20"/>
        </w:rPr>
      </w:pPr>
      <w:r>
        <w:rPr>
          <w:sz w:val="20"/>
        </w:rPr>
        <w:t xml:space="preserve">(Continued from previous page)  </w:t>
      </w:r>
      <w:r>
        <w:rPr>
          <w:sz w:val="20"/>
        </w:rPr>
        <w:separator/>
      </w:r>
    </w:p>
  </w:footnote>
  <w:footnote w:type="continuationNotice" w:id="2">
    <w:p w:rsidR="009F2562" w:rsidP="00C721AC" w14:paraId="4CD88200" w14:textId="77777777">
      <w:pPr>
        <w:jc w:val="right"/>
        <w:rPr>
          <w:sz w:val="20"/>
        </w:rPr>
      </w:pPr>
      <w:r>
        <w:rPr>
          <w:sz w:val="20"/>
        </w:rPr>
        <w:t>(continued….)</w:t>
      </w:r>
    </w:p>
  </w:footnote>
  <w:footnote w:id="3">
    <w:p w:rsidR="006F515A" w:rsidRPr="006F515A" w:rsidP="0081452B" w14:paraId="4651CE8B" w14:textId="698E6E9A">
      <w:pPr>
        <w:pStyle w:val="FootnoteText"/>
        <w:widowControl w:val="0"/>
      </w:pPr>
      <w:r>
        <w:rPr>
          <w:rStyle w:val="FootnoteReference"/>
        </w:rPr>
        <w:footnoteRef/>
      </w:r>
      <w:r>
        <w:t xml:space="preserve"> </w:t>
      </w:r>
      <w:r>
        <w:rPr>
          <w:i/>
          <w:iCs/>
        </w:rPr>
        <w:t>See</w:t>
      </w:r>
      <w:r>
        <w:t xml:space="preserve"> Petition for Rulemaking of </w:t>
      </w:r>
      <w:r w:rsidR="006C66EA">
        <w:t>Dominion Broadcasting, Inc.</w:t>
      </w:r>
      <w:r>
        <w:t xml:space="preserve"> (filed </w:t>
      </w:r>
      <w:r w:rsidR="006C66EA">
        <w:t>Nov. 27</w:t>
      </w:r>
      <w:r>
        <w:t>, 2020), LMS File No. 0000012</w:t>
      </w:r>
      <w:r w:rsidR="006C66EA">
        <w:t>7485</w:t>
      </w:r>
      <w:r>
        <w:t xml:space="preserve"> (Petition).</w:t>
      </w:r>
    </w:p>
  </w:footnote>
  <w:footnote w:id="4">
    <w:p w:rsidR="009F2562" w:rsidRPr="009F2562" w:rsidP="00830A0D" w14:paraId="7E3F1A41" w14:textId="4A8BBF21">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C24823" w:rsidR="00C24823">
        <w:rPr>
          <w:rStyle w:val="Emphasis"/>
          <w:sz w:val="20"/>
        </w:rPr>
        <w:t>See</w:t>
      </w:r>
      <w:r w:rsidRPr="00C24823" w:rsidR="00C24823">
        <w:rPr>
          <w:rStyle w:val="Emphasis"/>
          <w:i w:val="0"/>
          <w:iCs w:val="0"/>
          <w:sz w:val="20"/>
        </w:rPr>
        <w:t xml:space="preserve"> Middle Class Tax Relief and Job Creation Act of 2012, Pub. L. No. 112-96, §§ 6402 (codified at 47 U.S.C. § 309(j)(8)(G)), 6403 (codified at 47 U.S.C. § 1452), 126 Stat. 156 (2012) (Spectrum Act); </w:t>
      </w:r>
      <w:r w:rsidRPr="00C24823" w:rsidR="00C24823">
        <w:rPr>
          <w:rStyle w:val="Emphasis"/>
          <w:sz w:val="20"/>
        </w:rPr>
        <w:t>Incentive Auction Closing and Channel Reassignment Public Notice: The Broadcast Television Incentive Auction Closes; Reverse Auction and Forward Auction Results Announced; Final Television Band Channel Assignments Announced; Post-Auction Deadlines Announced</w:t>
      </w:r>
      <w:r w:rsidRPr="00C24823" w:rsidR="00C24823">
        <w:rPr>
          <w:rStyle w:val="Emphasis"/>
          <w:i w:val="0"/>
          <w:iCs w:val="0"/>
          <w:sz w:val="20"/>
        </w:rPr>
        <w:t xml:space="preserve">, GN Docket No. 12-268, Public Notice, 32 FCC </w:t>
      </w:r>
      <w:r w:rsidRPr="00C24823" w:rsidR="00C24823">
        <w:rPr>
          <w:rStyle w:val="Emphasis"/>
          <w:i w:val="0"/>
          <w:iCs w:val="0"/>
          <w:sz w:val="20"/>
        </w:rPr>
        <w:t>Rcd</w:t>
      </w:r>
      <w:r w:rsidRPr="00C24823" w:rsidR="00C24823">
        <w:rPr>
          <w:rStyle w:val="Emphasis"/>
          <w:i w:val="0"/>
          <w:iCs w:val="0"/>
          <w:sz w:val="20"/>
        </w:rPr>
        <w:t xml:space="preserve"> 2786 (2017).</w:t>
      </w:r>
      <w:r w:rsidRPr="00C24823">
        <w:rPr>
          <w:i/>
          <w:iCs/>
          <w:sz w:val="20"/>
        </w:rPr>
        <w:t xml:space="preserve">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F867E9" w14:paraId="412804E2" w14:textId="25369D28">
      <w:pPr>
        <w:pStyle w:val="FootnoteText"/>
      </w:pPr>
      <w:r>
        <w:rPr>
          <w:rStyle w:val="FootnoteReference"/>
        </w:rPr>
        <w:footnoteRef/>
      </w:r>
      <w:r>
        <w:t xml:space="preserve"> Petition at 2-3 and Exhibit A</w:t>
      </w:r>
      <w:r w:rsidR="006D16FA">
        <w:t>.</w:t>
      </w:r>
    </w:p>
  </w:footnote>
  <w:footnote w:id="6">
    <w:p w:rsidR="006D16FA" w14:paraId="1EED7A7C" w14:textId="095B10E4">
      <w:pPr>
        <w:pStyle w:val="FootnoteText"/>
      </w:pPr>
      <w:r>
        <w:rPr>
          <w:rStyle w:val="FootnoteReference"/>
        </w:rPr>
        <w:footnoteRef/>
      </w:r>
      <w:r>
        <w:t xml:space="preserve"> </w:t>
      </w:r>
      <w:r w:rsidRPr="00D10E7F" w:rsidR="007A48EA">
        <w:rPr>
          <w:i/>
          <w:iCs/>
        </w:rPr>
        <w:t>Id.</w:t>
      </w:r>
      <w:r w:rsidR="007A48EA">
        <w:t xml:space="preserve"> </w:t>
      </w:r>
      <w:r>
        <w:t>at 3.</w:t>
      </w:r>
    </w:p>
  </w:footnote>
  <w:footnote w:id="7">
    <w:p w:rsidR="006D16FA" w:rsidRPr="006D16FA" w14:paraId="5F218FF4" w14:textId="2B62C1EC">
      <w:pPr>
        <w:pStyle w:val="FootnoteText"/>
        <w:rPr>
          <w:i/>
          <w:iCs/>
        </w:rPr>
      </w:pPr>
      <w:r>
        <w:rPr>
          <w:rStyle w:val="FootnoteReference"/>
        </w:rPr>
        <w:footnoteRef/>
      </w:r>
      <w:r>
        <w:t xml:space="preserve"> </w:t>
      </w:r>
      <w:r>
        <w:rPr>
          <w:i/>
          <w:iCs/>
        </w:rPr>
        <w:t>Id.</w:t>
      </w:r>
    </w:p>
  </w:footnote>
  <w:footnote w:id="8">
    <w:p w:rsidR="006D16FA" w:rsidRPr="006D16FA" w:rsidP="006D16FA" w14:paraId="6608F41E" w14:textId="05A3BF17">
      <w:pPr>
        <w:pStyle w:val="FootnoteText"/>
      </w:pPr>
      <w:r>
        <w:rPr>
          <w:rStyle w:val="FootnoteReference"/>
        </w:rPr>
        <w:footnoteRef/>
      </w:r>
      <w:r>
        <w:t xml:space="preserve"> </w:t>
      </w:r>
      <w:r w:rsidRPr="00D10E7F" w:rsidR="007A48EA">
        <w:rPr>
          <w:i/>
          <w:iCs/>
        </w:rPr>
        <w:t>Id.</w:t>
      </w:r>
      <w:r w:rsidR="007A48EA">
        <w:t xml:space="preserve"> </w:t>
      </w:r>
      <w:r>
        <w:t xml:space="preserve">at 1-2 </w:t>
      </w:r>
      <w:r>
        <w:rPr>
          <w:i/>
          <w:iCs/>
        </w:rPr>
        <w:t xml:space="preserve">citing </w:t>
      </w:r>
      <w:r w:rsidRPr="006D16FA">
        <w:rPr>
          <w:i/>
          <w:iCs/>
        </w:rPr>
        <w:t>Innovation in the Broadcast Television Bands: Allocations, Channel Sharing and Improvements to VHF</w:t>
      </w:r>
      <w:r w:rsidR="00565229">
        <w:t>,</w:t>
      </w:r>
      <w:r>
        <w:rPr>
          <w:i/>
          <w:iCs/>
        </w:rPr>
        <w:t xml:space="preserve"> </w:t>
      </w:r>
      <w:r w:rsidRPr="00565229" w:rsidR="00565229">
        <w:t>ET Docket No. 10-235</w:t>
      </w:r>
      <w:r w:rsidR="00565229">
        <w:t xml:space="preserve">, </w:t>
      </w:r>
      <w:r w:rsidRPr="00565229">
        <w:t>N</w:t>
      </w:r>
      <w:r w:rsidRPr="00565229" w:rsidR="005F6624">
        <w:t>otice of</w:t>
      </w:r>
      <w:r w:rsidR="005F6624">
        <w:t xml:space="preserve"> Proposed Rulemaking</w:t>
      </w:r>
      <w:r>
        <w:t xml:space="preserve">, 25 FCC </w:t>
      </w:r>
      <w:r>
        <w:t>Rcd</w:t>
      </w:r>
      <w:r>
        <w:t xml:space="preserve"> 16498, 16511</w:t>
      </w:r>
      <w:r w:rsidR="001207BF">
        <w:t>, para.</w:t>
      </w:r>
      <w:r>
        <w:t xml:space="preserve"> 42 (2010</w:t>
      </w:r>
      <w:r w:rsidR="006C1DF5">
        <w:t>)</w:t>
      </w:r>
      <w:r>
        <w:t>.</w:t>
      </w:r>
    </w:p>
  </w:footnote>
  <w:footnote w:id="9">
    <w:p w:rsidR="006C1DF5" w14:paraId="4259FB7B" w14:textId="4F0F7415">
      <w:pPr>
        <w:pStyle w:val="FootnoteText"/>
      </w:pPr>
      <w:r>
        <w:rPr>
          <w:rStyle w:val="FootnoteReference"/>
        </w:rPr>
        <w:footnoteRef/>
      </w:r>
      <w:r>
        <w:t xml:space="preserve"> Petition at 5 and Exhibit B – Engineering Statement.</w:t>
      </w:r>
    </w:p>
  </w:footnote>
  <w:footnote w:id="10">
    <w:p w:rsidR="006C1DF5" w:rsidRPr="006C1DF5" w14:paraId="0675857D" w14:textId="7C6D6075">
      <w:pPr>
        <w:pStyle w:val="FootnoteText"/>
        <w:rPr>
          <w:i/>
          <w:iCs/>
        </w:rPr>
      </w:pPr>
      <w:r>
        <w:rPr>
          <w:rStyle w:val="FootnoteReference"/>
        </w:rPr>
        <w:footnoteRef/>
      </w:r>
      <w:r>
        <w:t xml:space="preserve"> </w:t>
      </w:r>
      <w:r>
        <w:rPr>
          <w:i/>
          <w:iCs/>
        </w:rPr>
        <w:t>Id.</w:t>
      </w:r>
    </w:p>
  </w:footnote>
  <w:footnote w:id="11">
    <w:p w:rsidR="005F6624" w:rsidRPr="005F6624" w14:paraId="281E9490" w14:textId="12777E47">
      <w:pPr>
        <w:pStyle w:val="FootnoteText"/>
      </w:pPr>
      <w:r>
        <w:rPr>
          <w:rStyle w:val="FootnoteReference"/>
        </w:rPr>
        <w:footnoteRef/>
      </w:r>
      <w:r>
        <w:t xml:space="preserve"> </w:t>
      </w:r>
      <w:r>
        <w:rPr>
          <w:i/>
          <w:iCs/>
        </w:rPr>
        <w:t>Id.</w:t>
      </w:r>
      <w:r>
        <w:t xml:space="preserve"> at 5 and Engineering Statement.</w:t>
      </w:r>
    </w:p>
  </w:footnote>
  <w:footnote w:id="12">
    <w:p w:rsidR="005F6624" w:rsidRPr="005F6624" w14:paraId="71BE9C7B" w14:textId="0225EBC9">
      <w:pPr>
        <w:pStyle w:val="FootnoteText"/>
        <w:rPr>
          <w:i/>
          <w:iCs/>
        </w:rPr>
      </w:pPr>
      <w:r>
        <w:rPr>
          <w:rStyle w:val="FootnoteReference"/>
        </w:rPr>
        <w:footnoteRef/>
      </w:r>
      <w:r>
        <w:t xml:space="preserve"> </w:t>
      </w:r>
      <w:r>
        <w:rPr>
          <w:i/>
          <w:iCs/>
        </w:rPr>
        <w:t>Id.</w:t>
      </w:r>
    </w:p>
  </w:footnote>
  <w:footnote w:id="13">
    <w:p w:rsidR="005F6624" w:rsidRPr="005F6624" w14:paraId="55C8C1B6" w14:textId="2EA03A8C">
      <w:pPr>
        <w:pStyle w:val="FootnoteText"/>
        <w:rPr>
          <w:i/>
          <w:iCs/>
        </w:rPr>
      </w:pPr>
      <w:r>
        <w:rPr>
          <w:rStyle w:val="FootnoteReference"/>
        </w:rPr>
        <w:footnoteRef/>
      </w:r>
      <w:r>
        <w:t xml:space="preserve"> </w:t>
      </w:r>
      <w:r>
        <w:rPr>
          <w:i/>
          <w:iCs/>
        </w:rPr>
        <w:t>Id.</w:t>
      </w:r>
    </w:p>
  </w:footnote>
  <w:footnote w:id="14">
    <w:p w:rsidR="005F6624" w:rsidRPr="005F6624" w14:paraId="283E7610" w14:textId="22E95687">
      <w:pPr>
        <w:pStyle w:val="FootnoteText"/>
      </w:pPr>
      <w:r>
        <w:rPr>
          <w:rStyle w:val="FootnoteReference"/>
        </w:rPr>
        <w:footnoteRef/>
      </w:r>
      <w:r>
        <w:t xml:space="preserve"> </w:t>
      </w:r>
      <w:r>
        <w:rPr>
          <w:i/>
          <w:iCs/>
        </w:rPr>
        <w:t>Id.</w:t>
      </w:r>
      <w:r>
        <w:t xml:space="preserve"> at 5-6 and Engineering Statement.</w:t>
      </w:r>
    </w:p>
  </w:footnote>
  <w:footnote w:id="15">
    <w:p w:rsidR="005F6624" w:rsidRPr="005F6624" w14:paraId="30E71E72" w14:textId="565AC2C8">
      <w:pPr>
        <w:pStyle w:val="FootnoteText"/>
      </w:pPr>
      <w:r>
        <w:rPr>
          <w:rStyle w:val="FootnoteReference"/>
        </w:rPr>
        <w:footnoteRef/>
      </w:r>
      <w:r>
        <w:t xml:space="preserve"> </w:t>
      </w:r>
      <w:r>
        <w:rPr>
          <w:i/>
          <w:iCs/>
        </w:rPr>
        <w:t>Id.</w:t>
      </w:r>
      <w:r>
        <w:t xml:space="preserve"> at 6 and Engineering Statement.</w:t>
      </w:r>
    </w:p>
  </w:footnote>
  <w:footnote w:id="16">
    <w:p w:rsidR="005F6624" w:rsidRPr="005F6624" w14:paraId="62B52607" w14:textId="6D37437D">
      <w:pPr>
        <w:pStyle w:val="FootnoteText"/>
        <w:rPr>
          <w:i/>
          <w:iCs/>
        </w:rPr>
      </w:pPr>
      <w:r>
        <w:rPr>
          <w:rStyle w:val="FootnoteReference"/>
        </w:rPr>
        <w:footnoteRef/>
      </w:r>
      <w:r>
        <w:t xml:space="preserve"> </w:t>
      </w:r>
      <w:r>
        <w:rPr>
          <w:i/>
          <w:iCs/>
        </w:rPr>
        <w:t>Id.</w:t>
      </w:r>
    </w:p>
  </w:footnote>
  <w:footnote w:id="17">
    <w:p w:rsidR="005F6624" w:rsidRPr="005F6624" w:rsidP="005F6624" w14:paraId="34818BC8" w14:textId="75E69B09">
      <w:pPr>
        <w:pStyle w:val="FootnoteText"/>
        <w:rPr>
          <w:i/>
          <w:iCs/>
        </w:rPr>
      </w:pPr>
      <w:r>
        <w:rPr>
          <w:rStyle w:val="FootnoteReference"/>
        </w:rPr>
        <w:footnoteRef/>
      </w:r>
      <w:r>
        <w:t xml:space="preserve"> </w:t>
      </w:r>
      <w:r>
        <w:rPr>
          <w:i/>
          <w:iCs/>
        </w:rPr>
        <w:t>Id.</w:t>
      </w:r>
      <w:r w:rsidR="001207BF">
        <w:rPr>
          <w:i/>
          <w:iCs/>
        </w:rPr>
        <w:t>,</w:t>
      </w:r>
      <w:r>
        <w:t xml:space="preserve"> </w:t>
      </w:r>
      <w:r w:rsidRPr="00586AF3">
        <w:t>citing</w:t>
      </w:r>
      <w:r>
        <w:rPr>
          <w:i/>
          <w:iCs/>
        </w:rPr>
        <w:t xml:space="preserve"> </w:t>
      </w:r>
      <w:r w:rsidR="007A48EA">
        <w:rPr>
          <w:i/>
          <w:iCs/>
        </w:rPr>
        <w:t>s</w:t>
      </w:r>
      <w:r w:rsidRPr="005F6624">
        <w:rPr>
          <w:i/>
          <w:iCs/>
        </w:rPr>
        <w:t>ee Third Periodic Review of the Commission's Rules and Policies Affecting the Conversion to Digital</w:t>
      </w:r>
      <w:r>
        <w:rPr>
          <w:i/>
          <w:iCs/>
        </w:rPr>
        <w:t xml:space="preserve"> </w:t>
      </w:r>
      <w:r w:rsidRPr="005F6624">
        <w:rPr>
          <w:i/>
          <w:iCs/>
        </w:rPr>
        <w:t>Television</w:t>
      </w:r>
      <w:r w:rsidRPr="005F6624">
        <w:t xml:space="preserve">, </w:t>
      </w:r>
      <w:r w:rsidRPr="00565229" w:rsidR="00565229">
        <w:t>MB Docket No. 07-91</w:t>
      </w:r>
      <w:r w:rsidR="00565229">
        <w:t xml:space="preserve">, </w:t>
      </w:r>
      <w:r w:rsidRPr="005F6624">
        <w:t>N</w:t>
      </w:r>
      <w:r>
        <w:t>otice of Proposed Rulemaking</w:t>
      </w:r>
      <w:r w:rsidRPr="005F6624">
        <w:t>,</w:t>
      </w:r>
      <w:r w:rsidR="00565229">
        <w:t xml:space="preserve"> </w:t>
      </w:r>
      <w:r w:rsidRPr="005F6624">
        <w:t xml:space="preserve">22 FCC </w:t>
      </w:r>
      <w:r w:rsidRPr="005F6624">
        <w:t>Rcd</w:t>
      </w:r>
      <w:r w:rsidRPr="005F6624">
        <w:t xml:space="preserve"> 9478, 9493 ¶ 38 </w:t>
      </w:r>
      <w:r>
        <w:t>(2007)</w:t>
      </w:r>
      <w:r w:rsidR="000C721B">
        <w:t xml:space="preserve">; </w:t>
      </w:r>
      <w:r w:rsidRPr="000C721B" w:rsidR="000C721B">
        <w:t xml:space="preserve"> </w:t>
      </w:r>
      <w:r w:rsidRPr="000C721B" w:rsidR="000C721B">
        <w:rPr>
          <w:i/>
          <w:iCs/>
        </w:rPr>
        <w:t>Amendment of Section 73.202(b), Table of Allotments, FM Broadcast Stations (Columbus and Monona, W</w:t>
      </w:r>
      <w:r w:rsidR="00C34915">
        <w:rPr>
          <w:i/>
          <w:iCs/>
        </w:rPr>
        <w:t>isconsin</w:t>
      </w:r>
      <w:r w:rsidRPr="000C721B" w:rsidR="000C721B">
        <w:rPr>
          <w:i/>
          <w:iCs/>
        </w:rPr>
        <w:t>)</w:t>
      </w:r>
      <w:r w:rsidRPr="000C721B" w:rsidR="000C721B">
        <w:t xml:space="preserve">, MB Docket No. 05-122, Memorandum Opinion and Order, 21 FCC </w:t>
      </w:r>
      <w:r w:rsidRPr="000C721B" w:rsidR="000C721B">
        <w:t>Rcd</w:t>
      </w:r>
      <w:r w:rsidRPr="000C721B" w:rsidR="000C721B">
        <w:t xml:space="preserve"> 10012 (MB 2006)</w:t>
      </w:r>
      <w:r w:rsidR="000C721B">
        <w:t xml:space="preserve"> (</w:t>
      </w:r>
      <w:r w:rsidRPr="000C721B" w:rsidR="000C721B">
        <w:rPr>
          <w:i/>
          <w:iCs/>
        </w:rPr>
        <w:t>Columbus and Monona</w:t>
      </w:r>
      <w:r w:rsidR="000C721B">
        <w:t xml:space="preserve"> </w:t>
      </w:r>
      <w:r w:rsidRPr="000C721B" w:rsidR="000C721B">
        <w:rPr>
          <w:i/>
          <w:iCs/>
        </w:rPr>
        <w:t>Allotment Decision</w:t>
      </w:r>
      <w:r w:rsidR="000C721B">
        <w:t>)</w:t>
      </w:r>
      <w:r w:rsidRPr="000C721B" w:rsidR="000C721B">
        <w:t xml:space="preserve"> (noting that most of the loss area is well served with five or more aural services).</w:t>
      </w:r>
    </w:p>
  </w:footnote>
  <w:footnote w:id="18">
    <w:p w:rsidR="00565229" w:rsidRPr="000C721B" w14:paraId="54C58C28" w14:textId="2AD6A5A0">
      <w:pPr>
        <w:pStyle w:val="FootnoteText"/>
      </w:pPr>
      <w:r>
        <w:rPr>
          <w:rStyle w:val="FootnoteReference"/>
        </w:rPr>
        <w:footnoteRef/>
      </w:r>
      <w:r>
        <w:t xml:space="preserve"> </w:t>
      </w:r>
      <w:r w:rsidR="007A48EA">
        <w:t>Petition</w:t>
      </w:r>
      <w:r w:rsidRPr="000C721B" w:rsidR="000C721B">
        <w:t xml:space="preserve"> at 6</w:t>
      </w:r>
      <w:r w:rsidR="000C721B">
        <w:rPr>
          <w:i/>
          <w:iCs/>
        </w:rPr>
        <w:t>.</w:t>
      </w:r>
    </w:p>
  </w:footnote>
  <w:footnote w:id="19">
    <w:p w:rsidR="000C721B" w:rsidRPr="000C721B" w14:paraId="279DDCD9" w14:textId="01FF90FD">
      <w:pPr>
        <w:pStyle w:val="FootnoteText"/>
        <w:rPr>
          <w:i/>
          <w:iCs/>
        </w:rPr>
      </w:pPr>
      <w:r>
        <w:rPr>
          <w:rStyle w:val="FootnoteReference"/>
        </w:rPr>
        <w:footnoteRef/>
      </w:r>
      <w:r>
        <w:t xml:space="preserve"> </w:t>
      </w:r>
      <w:r>
        <w:rPr>
          <w:i/>
          <w:iCs/>
        </w:rPr>
        <w:t>Id.</w:t>
      </w:r>
    </w:p>
  </w:footnote>
  <w:footnote w:id="20">
    <w:p w:rsidR="00E208EC" w:rsidRPr="00BE3330" w:rsidP="0081452B" w14:paraId="70D5F471" w14:textId="77777777">
      <w:pPr>
        <w:pStyle w:val="FootnoteText"/>
        <w:widowControl w:val="0"/>
      </w:pPr>
      <w:r>
        <w:rPr>
          <w:rStyle w:val="FootnoteReference"/>
        </w:rPr>
        <w:footnoteRef/>
      </w:r>
      <w:r>
        <w:t xml:space="preserve"> 47 CFR § 73.625(a).</w:t>
      </w:r>
      <w:bookmarkStart w:id="1" w:name="SR;334"/>
      <w:bookmarkEnd w:id="1"/>
    </w:p>
  </w:footnote>
  <w:footnote w:id="21">
    <w:p w:rsidR="00E208EC" w:rsidP="0081452B" w14:paraId="5B0F8BD5" w14:textId="77777777">
      <w:pPr>
        <w:pStyle w:val="FootnoteText"/>
        <w:widowControl w:val="0"/>
      </w:pPr>
      <w:r w:rsidRPr="003F7A73">
        <w:rPr>
          <w:rStyle w:val="FootnoteReference"/>
        </w:rPr>
        <w:footnoteRef/>
      </w:r>
      <w:r w:rsidRPr="003F7A73">
        <w:t xml:space="preserve"> 47 CFR §§ 73.616, 73.623.</w:t>
      </w:r>
    </w:p>
  </w:footnote>
  <w:footnote w:id="22">
    <w:p w:rsidR="000C721B" w14:paraId="4C5EB061" w14:textId="46C0BD58">
      <w:pPr>
        <w:pStyle w:val="FootnoteText"/>
      </w:pPr>
      <w:r>
        <w:rPr>
          <w:rStyle w:val="FootnoteReference"/>
        </w:rPr>
        <w:footnoteRef/>
      </w:r>
      <w:r>
        <w:t xml:space="preserve"> </w:t>
      </w:r>
      <w:r w:rsidRPr="000C721B">
        <w:rPr>
          <w:i/>
          <w:iCs/>
        </w:rPr>
        <w:t>See Columbus and Monona Allotment Decision</w:t>
      </w:r>
      <w:r w:rsidRPr="000C721B">
        <w:t>, supra n. 15.</w:t>
      </w:r>
    </w:p>
  </w:footnote>
  <w:footnote w:id="23">
    <w:p w:rsidR="00586AF3" w:rsidRPr="00586AF3" w14:paraId="50F47B33" w14:textId="5158A2F4">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24">
    <w:p w:rsidR="00E208EC" w:rsidP="0081452B" w14:paraId="7C22B204" w14:textId="77777777">
      <w:pPr>
        <w:pStyle w:val="FootnoteText"/>
        <w:widowControl w:val="0"/>
      </w:pPr>
      <w:r>
        <w:rPr>
          <w:rStyle w:val="FootnoteReference"/>
        </w:rPr>
        <w:footnoteRef/>
      </w:r>
      <w:r>
        <w:t xml:space="preserve"> 47 CFR § 73.622(</w:t>
      </w:r>
      <w:r>
        <w:t>i</w:t>
      </w:r>
      <w:r>
        <w:t>).</w:t>
      </w:r>
    </w:p>
  </w:footnote>
  <w:footnote w:id="25">
    <w:p w:rsidR="00506F28" w:rsidP="0081452B" w14:paraId="4DBEACB1" w14:textId="32FD7B05">
      <w:pPr>
        <w:pStyle w:val="FootnoteText"/>
        <w:widowControl w:val="0"/>
      </w:pPr>
      <w:r>
        <w:rPr>
          <w:rStyle w:val="FootnoteReference"/>
        </w:rPr>
        <w:footnoteRef/>
      </w:r>
      <w:r>
        <w:t xml:space="preserve"> </w:t>
      </w:r>
      <w:r w:rsidRPr="00C43C45">
        <w:rPr>
          <w:i/>
          <w:iCs/>
        </w:rPr>
        <w:t>See, e.g., Buffalo, Io</w:t>
      </w:r>
      <w:r w:rsidR="001B7AA4">
        <w:rPr>
          <w:i/>
          <w:iCs/>
        </w:rPr>
        <w:t>l</w:t>
      </w:r>
      <w:r w:rsidRPr="00C43C45">
        <w:rPr>
          <w:i/>
          <w:iCs/>
        </w:rPr>
        <w:t>a, Normangee, and Madisonville, Texas</w:t>
      </w:r>
      <w:r w:rsidRPr="00C43C45">
        <w:t xml:space="preserve">, </w:t>
      </w:r>
      <w:r w:rsidRPr="00C24823" w:rsidR="00C24823">
        <w:t>MB Docket No. 07-279,</w:t>
      </w:r>
      <w:r w:rsidR="00C24823">
        <w:t xml:space="preserve"> </w:t>
      </w:r>
      <w:r w:rsidRPr="00C43C45">
        <w:t xml:space="preserve">Report and Order, 24 FCC </w:t>
      </w:r>
      <w:r w:rsidRPr="00C43C45">
        <w:t>Rcd</w:t>
      </w:r>
      <w:r w:rsidRPr="00C43C45">
        <w:t xml:space="preserve"> 8192, 8194</w:t>
      </w:r>
      <w:r>
        <w:t>, para. 9</w:t>
      </w:r>
      <w:r w:rsidRPr="00C43C45">
        <w:t xml:space="preserve"> (MB 2009).</w:t>
      </w:r>
    </w:p>
  </w:footnote>
  <w:footnote w:id="26">
    <w:p w:rsidR="00506F28" w:rsidP="0081452B" w14:paraId="26F3F10C" w14:textId="77777777">
      <w:pPr>
        <w:pStyle w:val="FootnoteText"/>
        <w:widowControl w:val="0"/>
      </w:pPr>
      <w:r>
        <w:rPr>
          <w:rStyle w:val="FootnoteReference"/>
        </w:rPr>
        <w:footnoteRef/>
      </w:r>
      <w:r>
        <w:t xml:space="preserve"> </w:t>
      </w:r>
      <w:r w:rsidRPr="0025083E">
        <w:t>47 CFR § 1.420(j).</w:t>
      </w:r>
    </w:p>
  </w:footnote>
  <w:footnote w:id="27">
    <w:p w:rsidR="006F515A" w:rsidP="00830A0D" w14:paraId="275D3502" w14:textId="107EEADE">
      <w:pPr>
        <w:pStyle w:val="FootnoteText"/>
        <w:widowControl w:val="0"/>
      </w:pPr>
      <w:r>
        <w:rPr>
          <w:rStyle w:val="FootnoteReference"/>
        </w:rPr>
        <w:footnoteRef/>
      </w:r>
      <w:r>
        <w:t xml:space="preserve"> </w:t>
      </w:r>
      <w:r w:rsidRPr="003B6FA0">
        <w:t xml:space="preserve">47 CFR </w:t>
      </w:r>
      <w:r>
        <w:t>§</w:t>
      </w:r>
      <w:r w:rsidR="00BD5B3E">
        <w:t xml:space="preserve"> </w:t>
      </w:r>
      <w:r w:rsidRPr="003B6FA0">
        <w:t>1.420(d)</w:t>
      </w:r>
      <w:r>
        <w:t>.</w:t>
      </w:r>
    </w:p>
  </w:footnote>
  <w:footnote w:id="28">
    <w:p w:rsidR="006F515A" w:rsidP="00830A0D" w14:paraId="3DC764DE" w14:textId="77777777">
      <w:pPr>
        <w:pStyle w:val="FootnoteText"/>
        <w:widowControl w:val="0"/>
      </w:pPr>
      <w:r>
        <w:rPr>
          <w:rStyle w:val="FootnoteReference"/>
        </w:rPr>
        <w:footnoteRef/>
      </w:r>
      <w:r>
        <w:t xml:space="preserve"> </w:t>
      </w:r>
      <w:r w:rsidRPr="005F375B">
        <w:t>47 CFR § 1.420(</w:t>
      </w:r>
      <w:r>
        <w:t>g)(2)</w:t>
      </w:r>
      <w:r w:rsidRPr="005F375B">
        <w:t>.</w:t>
      </w:r>
    </w:p>
  </w:footnote>
  <w:footnote w:id="29">
    <w:p w:rsidR="006F515A" w:rsidP="00830A0D" w14:paraId="25757C01" w14:textId="77777777">
      <w:pPr>
        <w:pStyle w:val="FootnoteText"/>
        <w:widowControl w:val="0"/>
      </w:pPr>
      <w:r>
        <w:rPr>
          <w:rStyle w:val="FootnoteReference"/>
        </w:rPr>
        <w:footnoteRef/>
      </w:r>
      <w:r>
        <w:t xml:space="preserve"> </w:t>
      </w:r>
      <w:r w:rsidRPr="003B6FA0">
        <w:t>47 CFR §§ 1.415, 1.419,</w:t>
      </w:r>
      <w:r>
        <w:t xml:space="preserve"> and 1.420.</w:t>
      </w:r>
    </w:p>
  </w:footnote>
  <w:footnote w:id="30">
    <w:p w:rsidR="006F515A" w:rsidRPr="006F1759" w:rsidP="00830A0D" w14:paraId="272306A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31">
    <w:p w:rsidR="006F515A" w:rsidP="00830A0D" w14:paraId="05C34223"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32">
    <w:p w:rsidR="006F515A" w:rsidP="00830A0D" w14:paraId="2ECCE9CB" w14:textId="79AB3746">
      <w:pPr>
        <w:pStyle w:val="FootnoteText"/>
        <w:widowControl w:val="0"/>
      </w:pPr>
      <w:r>
        <w:rPr>
          <w:rStyle w:val="FootnoteReference"/>
        </w:rPr>
        <w:footnoteRef/>
      </w:r>
      <w:r>
        <w:t xml:space="preserve"> 47 CFR § </w:t>
      </w:r>
      <w:r w:rsidR="006B3800">
        <w:t>1</w:t>
      </w:r>
      <w:r w:rsidR="00A10746">
        <w:t>.</w:t>
      </w:r>
      <w:r w:rsidR="006B3800">
        <w:t>4</w:t>
      </w:r>
      <w:r>
        <w:t>20.</w:t>
      </w:r>
    </w:p>
  </w:footnote>
  <w:footnote w:id="33">
    <w:p w:rsidR="006F515A" w:rsidP="00830A0D" w14:paraId="0631E99D" w14:textId="5BC89CFD">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E97267">
        <w:t xml:space="preserve"> </w:t>
      </w:r>
      <w:r w:rsidRPr="005E3497">
        <w:t>1.420(a), (b) and (c)</w:t>
      </w:r>
      <w:r>
        <w:t>.</w:t>
      </w:r>
    </w:p>
  </w:footnote>
  <w:footnote w:id="34">
    <w:p w:rsidR="006F515A" w:rsidRPr="00522221" w:rsidP="00830A0D" w14:paraId="43DBEFD8"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35">
    <w:p w:rsidR="006F515A" w:rsidP="00830A0D" w14:paraId="678D1A11" w14:textId="77777777">
      <w:pPr>
        <w:pStyle w:val="FootnoteText"/>
        <w:widowControl w:val="0"/>
      </w:pPr>
      <w:r>
        <w:rPr>
          <w:rStyle w:val="FootnoteReference"/>
        </w:rPr>
        <w:footnoteRef/>
      </w:r>
      <w:r>
        <w:t xml:space="preserve"> 47 CFR § 1.1208.</w:t>
      </w:r>
    </w:p>
  </w:footnote>
  <w:footnote w:id="36">
    <w:p w:rsidR="006F515A" w:rsidP="00830A0D" w14:paraId="2B2DEDE5" w14:textId="77777777">
      <w:pPr>
        <w:pStyle w:val="FootnoteText"/>
        <w:widowControl w:val="0"/>
      </w:pPr>
      <w:r>
        <w:rPr>
          <w:rStyle w:val="FootnoteReference"/>
        </w:rPr>
        <w:footnoteRef/>
      </w:r>
      <w:r>
        <w:t xml:space="preserve"> 47 CFR § 1.1204(a)(10).</w:t>
      </w:r>
    </w:p>
  </w:footnote>
  <w:footnote w:id="37">
    <w:p w:rsidR="006F515A" w:rsidP="00830A0D" w14:paraId="1C0C3D5D"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38">
    <w:p w:rsidR="006F515A" w:rsidP="00830A0D" w14:paraId="1C9AE417"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9">
    <w:p w:rsidR="006F515A" w:rsidP="00830A0D" w14:paraId="7D2D0EE2"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40">
    <w:p w:rsidR="006F515A" w:rsidP="00830A0D" w14:paraId="44A0EDB6"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41">
    <w:p w:rsidR="006F515A" w:rsidP="00830A0D" w14:paraId="6CCC3176"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7E7BDE1B">
    <w:pPr>
      <w:pStyle w:val="Header"/>
      <w:rPr>
        <w:b w:val="0"/>
      </w:rPr>
    </w:pPr>
    <w:r>
      <w:tab/>
      <w:t>Federal Communications Commission</w:t>
    </w:r>
    <w:r>
      <w:tab/>
    </w:r>
    <w:r w:rsidR="00704205">
      <w:t>DA 21-</w:t>
    </w:r>
    <w:r w:rsidR="005E44F8">
      <w:t>270</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12544DC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4205">
      <w:rPr>
        <w:spacing w:val="-2"/>
      </w:rPr>
      <w:t>DA 21-</w:t>
    </w:r>
    <w:r w:rsidR="005E44F8">
      <w:rPr>
        <w:spacing w:val="-2"/>
      </w:rPr>
      <w:t>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36039"/>
    <w:rsid w:val="00037F90"/>
    <w:rsid w:val="000875BF"/>
    <w:rsid w:val="00096D8C"/>
    <w:rsid w:val="000A3526"/>
    <w:rsid w:val="000A72DA"/>
    <w:rsid w:val="000C0B65"/>
    <w:rsid w:val="000C721B"/>
    <w:rsid w:val="000E05FE"/>
    <w:rsid w:val="000E3D42"/>
    <w:rsid w:val="001207BF"/>
    <w:rsid w:val="00122BD5"/>
    <w:rsid w:val="00133F79"/>
    <w:rsid w:val="001502FD"/>
    <w:rsid w:val="00194A66"/>
    <w:rsid w:val="001A0054"/>
    <w:rsid w:val="001A3269"/>
    <w:rsid w:val="001A7095"/>
    <w:rsid w:val="001B7AA4"/>
    <w:rsid w:val="001C008F"/>
    <w:rsid w:val="001D6BCF"/>
    <w:rsid w:val="001E01CA"/>
    <w:rsid w:val="001E1C45"/>
    <w:rsid w:val="001E719C"/>
    <w:rsid w:val="001F250D"/>
    <w:rsid w:val="001F4D9D"/>
    <w:rsid w:val="00202AF5"/>
    <w:rsid w:val="0022695F"/>
    <w:rsid w:val="0025083E"/>
    <w:rsid w:val="0025360D"/>
    <w:rsid w:val="00275CF5"/>
    <w:rsid w:val="0028301F"/>
    <w:rsid w:val="00285017"/>
    <w:rsid w:val="002946AC"/>
    <w:rsid w:val="002A2D2E"/>
    <w:rsid w:val="002C00E8"/>
    <w:rsid w:val="002D336C"/>
    <w:rsid w:val="002D7BCE"/>
    <w:rsid w:val="002E4A2C"/>
    <w:rsid w:val="00331D74"/>
    <w:rsid w:val="00341BB1"/>
    <w:rsid w:val="00343749"/>
    <w:rsid w:val="00351C13"/>
    <w:rsid w:val="00351EF5"/>
    <w:rsid w:val="003660ED"/>
    <w:rsid w:val="003755B3"/>
    <w:rsid w:val="00396101"/>
    <w:rsid w:val="003B0550"/>
    <w:rsid w:val="003B694F"/>
    <w:rsid w:val="003B6FA0"/>
    <w:rsid w:val="003F171C"/>
    <w:rsid w:val="003F7A73"/>
    <w:rsid w:val="003F7ACE"/>
    <w:rsid w:val="004008F9"/>
    <w:rsid w:val="00406272"/>
    <w:rsid w:val="00412FC5"/>
    <w:rsid w:val="004134DB"/>
    <w:rsid w:val="00422276"/>
    <w:rsid w:val="004242F1"/>
    <w:rsid w:val="00445A00"/>
    <w:rsid w:val="00451B0F"/>
    <w:rsid w:val="00455011"/>
    <w:rsid w:val="00480FF6"/>
    <w:rsid w:val="004821EC"/>
    <w:rsid w:val="004A3C48"/>
    <w:rsid w:val="004C2EE3"/>
    <w:rsid w:val="004E4A22"/>
    <w:rsid w:val="00506F28"/>
    <w:rsid w:val="00511968"/>
    <w:rsid w:val="00522221"/>
    <w:rsid w:val="0055614C"/>
    <w:rsid w:val="00565229"/>
    <w:rsid w:val="00566D06"/>
    <w:rsid w:val="00586AF3"/>
    <w:rsid w:val="005B1762"/>
    <w:rsid w:val="005D3FB0"/>
    <w:rsid w:val="005E14C2"/>
    <w:rsid w:val="005E3497"/>
    <w:rsid w:val="005E44F8"/>
    <w:rsid w:val="005F375B"/>
    <w:rsid w:val="005F6624"/>
    <w:rsid w:val="00607BA5"/>
    <w:rsid w:val="0061180A"/>
    <w:rsid w:val="00626EB6"/>
    <w:rsid w:val="00655D03"/>
    <w:rsid w:val="00683388"/>
    <w:rsid w:val="00683F84"/>
    <w:rsid w:val="006A6A81"/>
    <w:rsid w:val="006B3800"/>
    <w:rsid w:val="006C1DF5"/>
    <w:rsid w:val="006C5496"/>
    <w:rsid w:val="006C66EA"/>
    <w:rsid w:val="006D16FA"/>
    <w:rsid w:val="006E290F"/>
    <w:rsid w:val="006F1759"/>
    <w:rsid w:val="006F427D"/>
    <w:rsid w:val="006F515A"/>
    <w:rsid w:val="006F7393"/>
    <w:rsid w:val="0070224F"/>
    <w:rsid w:val="00704205"/>
    <w:rsid w:val="007115F7"/>
    <w:rsid w:val="0075166D"/>
    <w:rsid w:val="00783AE4"/>
    <w:rsid w:val="00785689"/>
    <w:rsid w:val="00787DB6"/>
    <w:rsid w:val="0079754B"/>
    <w:rsid w:val="007A1E6D"/>
    <w:rsid w:val="007A48EA"/>
    <w:rsid w:val="007B0EB2"/>
    <w:rsid w:val="00810B6F"/>
    <w:rsid w:val="0081452B"/>
    <w:rsid w:val="00822CE0"/>
    <w:rsid w:val="00830A0D"/>
    <w:rsid w:val="00840FF0"/>
    <w:rsid w:val="00841AB1"/>
    <w:rsid w:val="008470CB"/>
    <w:rsid w:val="008639ED"/>
    <w:rsid w:val="008C68F1"/>
    <w:rsid w:val="00921803"/>
    <w:rsid w:val="00926503"/>
    <w:rsid w:val="00965A68"/>
    <w:rsid w:val="009726D8"/>
    <w:rsid w:val="009B25C4"/>
    <w:rsid w:val="009C2FC7"/>
    <w:rsid w:val="009C4A92"/>
    <w:rsid w:val="009D7308"/>
    <w:rsid w:val="009F2562"/>
    <w:rsid w:val="009F76DB"/>
    <w:rsid w:val="00A10746"/>
    <w:rsid w:val="00A12A84"/>
    <w:rsid w:val="00A323D1"/>
    <w:rsid w:val="00A32C3B"/>
    <w:rsid w:val="00A45F4F"/>
    <w:rsid w:val="00A600A9"/>
    <w:rsid w:val="00A942B1"/>
    <w:rsid w:val="00AA55B7"/>
    <w:rsid w:val="00AA5B9E"/>
    <w:rsid w:val="00AB2407"/>
    <w:rsid w:val="00AB53DF"/>
    <w:rsid w:val="00AB7DF4"/>
    <w:rsid w:val="00B07E5C"/>
    <w:rsid w:val="00B35A2E"/>
    <w:rsid w:val="00B811F7"/>
    <w:rsid w:val="00BA5DC6"/>
    <w:rsid w:val="00BA6196"/>
    <w:rsid w:val="00BC6D8C"/>
    <w:rsid w:val="00BD5B3E"/>
    <w:rsid w:val="00BE3330"/>
    <w:rsid w:val="00C24823"/>
    <w:rsid w:val="00C34006"/>
    <w:rsid w:val="00C34915"/>
    <w:rsid w:val="00C36B4C"/>
    <w:rsid w:val="00C426B1"/>
    <w:rsid w:val="00C43C45"/>
    <w:rsid w:val="00C66160"/>
    <w:rsid w:val="00C721AC"/>
    <w:rsid w:val="00C90D6A"/>
    <w:rsid w:val="00CA247E"/>
    <w:rsid w:val="00CA6D21"/>
    <w:rsid w:val="00CC72B6"/>
    <w:rsid w:val="00CE5579"/>
    <w:rsid w:val="00D0218D"/>
    <w:rsid w:val="00D02B58"/>
    <w:rsid w:val="00D10E7F"/>
    <w:rsid w:val="00D25FB5"/>
    <w:rsid w:val="00D31834"/>
    <w:rsid w:val="00D40C1D"/>
    <w:rsid w:val="00D44223"/>
    <w:rsid w:val="00D62C5A"/>
    <w:rsid w:val="00DA2529"/>
    <w:rsid w:val="00DB130A"/>
    <w:rsid w:val="00DB2EBB"/>
    <w:rsid w:val="00DC10A1"/>
    <w:rsid w:val="00DC655F"/>
    <w:rsid w:val="00DD0B59"/>
    <w:rsid w:val="00DD5024"/>
    <w:rsid w:val="00DD7EBD"/>
    <w:rsid w:val="00DF62B6"/>
    <w:rsid w:val="00E07225"/>
    <w:rsid w:val="00E208EC"/>
    <w:rsid w:val="00E361D1"/>
    <w:rsid w:val="00E5409F"/>
    <w:rsid w:val="00E97267"/>
    <w:rsid w:val="00EA23F6"/>
    <w:rsid w:val="00EE6488"/>
    <w:rsid w:val="00F021FA"/>
    <w:rsid w:val="00F14545"/>
    <w:rsid w:val="00F20FDD"/>
    <w:rsid w:val="00F30797"/>
    <w:rsid w:val="00F345ED"/>
    <w:rsid w:val="00F62E97"/>
    <w:rsid w:val="00F64209"/>
    <w:rsid w:val="00F6534F"/>
    <w:rsid w:val="00F867E9"/>
    <w:rsid w:val="00F93BF5"/>
    <w:rsid w:val="00FA4347"/>
    <w:rsid w:val="00FE57CA"/>
    <w:rsid w:val="00FF4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F8"/>
    <w:pPr>
      <w:widowControl w:val="0"/>
    </w:pPr>
    <w:rPr>
      <w:snapToGrid w:val="0"/>
      <w:kern w:val="28"/>
      <w:sz w:val="22"/>
    </w:rPr>
  </w:style>
  <w:style w:type="paragraph" w:styleId="Heading1">
    <w:name w:val="heading 1"/>
    <w:basedOn w:val="Normal"/>
    <w:next w:val="ParaNum"/>
    <w:qFormat/>
    <w:rsid w:val="005E44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44F8"/>
    <w:pPr>
      <w:keepNext/>
      <w:numPr>
        <w:ilvl w:val="1"/>
        <w:numId w:val="3"/>
      </w:numPr>
      <w:spacing w:after="120"/>
      <w:outlineLvl w:val="1"/>
    </w:pPr>
    <w:rPr>
      <w:b/>
    </w:rPr>
  </w:style>
  <w:style w:type="paragraph" w:styleId="Heading3">
    <w:name w:val="heading 3"/>
    <w:basedOn w:val="Normal"/>
    <w:next w:val="ParaNum"/>
    <w:qFormat/>
    <w:rsid w:val="005E44F8"/>
    <w:pPr>
      <w:keepNext/>
      <w:numPr>
        <w:ilvl w:val="2"/>
        <w:numId w:val="3"/>
      </w:numPr>
      <w:tabs>
        <w:tab w:val="left" w:pos="2160"/>
      </w:tabs>
      <w:spacing w:after="120"/>
      <w:outlineLvl w:val="2"/>
    </w:pPr>
    <w:rPr>
      <w:b/>
    </w:rPr>
  </w:style>
  <w:style w:type="paragraph" w:styleId="Heading4">
    <w:name w:val="heading 4"/>
    <w:basedOn w:val="Normal"/>
    <w:next w:val="ParaNum"/>
    <w:qFormat/>
    <w:rsid w:val="005E44F8"/>
    <w:pPr>
      <w:keepNext/>
      <w:numPr>
        <w:ilvl w:val="3"/>
        <w:numId w:val="3"/>
      </w:numPr>
      <w:tabs>
        <w:tab w:val="left" w:pos="2880"/>
      </w:tabs>
      <w:spacing w:after="120"/>
      <w:outlineLvl w:val="3"/>
    </w:pPr>
    <w:rPr>
      <w:b/>
    </w:rPr>
  </w:style>
  <w:style w:type="paragraph" w:styleId="Heading5">
    <w:name w:val="heading 5"/>
    <w:basedOn w:val="Normal"/>
    <w:next w:val="ParaNum"/>
    <w:qFormat/>
    <w:rsid w:val="005E44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44F8"/>
    <w:pPr>
      <w:numPr>
        <w:ilvl w:val="5"/>
        <w:numId w:val="3"/>
      </w:numPr>
      <w:tabs>
        <w:tab w:val="left" w:pos="4320"/>
      </w:tabs>
      <w:spacing w:after="120"/>
      <w:outlineLvl w:val="5"/>
    </w:pPr>
    <w:rPr>
      <w:b/>
    </w:rPr>
  </w:style>
  <w:style w:type="paragraph" w:styleId="Heading7">
    <w:name w:val="heading 7"/>
    <w:basedOn w:val="Normal"/>
    <w:next w:val="ParaNum"/>
    <w:qFormat/>
    <w:rsid w:val="005E44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44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44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4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44F8"/>
  </w:style>
  <w:style w:type="paragraph" w:customStyle="1" w:styleId="ParaNum">
    <w:name w:val="ParaNum"/>
    <w:basedOn w:val="Normal"/>
    <w:link w:val="ParaNumChar1"/>
    <w:rsid w:val="005E44F8"/>
    <w:pPr>
      <w:numPr>
        <w:numId w:val="2"/>
      </w:numPr>
      <w:tabs>
        <w:tab w:val="clear" w:pos="1080"/>
        <w:tab w:val="num" w:pos="1440"/>
      </w:tabs>
      <w:spacing w:after="120"/>
    </w:pPr>
  </w:style>
  <w:style w:type="paragraph" w:styleId="EndnoteText">
    <w:name w:val="endnote text"/>
    <w:basedOn w:val="Normal"/>
    <w:semiHidden/>
    <w:rsid w:val="005E44F8"/>
    <w:rPr>
      <w:sz w:val="20"/>
    </w:rPr>
  </w:style>
  <w:style w:type="character" w:styleId="EndnoteReference">
    <w:name w:val="endnote reference"/>
    <w:semiHidden/>
    <w:rsid w:val="005E44F8"/>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5E44F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E44F8"/>
    <w:rPr>
      <w:rFonts w:ascii="Times New Roman" w:hAnsi="Times New Roman"/>
      <w:dstrike w:val="0"/>
      <w:color w:val="auto"/>
      <w:sz w:val="20"/>
      <w:vertAlign w:val="superscript"/>
    </w:rPr>
  </w:style>
  <w:style w:type="paragraph" w:styleId="TOC1">
    <w:name w:val="toc 1"/>
    <w:basedOn w:val="Normal"/>
    <w:next w:val="Normal"/>
    <w:semiHidden/>
    <w:rsid w:val="005E44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44F8"/>
    <w:pPr>
      <w:tabs>
        <w:tab w:val="left" w:pos="720"/>
        <w:tab w:val="right" w:leader="dot" w:pos="9360"/>
      </w:tabs>
      <w:suppressAutoHyphens/>
      <w:ind w:left="720" w:right="720" w:hanging="360"/>
    </w:pPr>
    <w:rPr>
      <w:noProof/>
    </w:rPr>
  </w:style>
  <w:style w:type="paragraph" w:styleId="TOC3">
    <w:name w:val="toc 3"/>
    <w:basedOn w:val="Normal"/>
    <w:next w:val="Normal"/>
    <w:semiHidden/>
    <w:rsid w:val="005E44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44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44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44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44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44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44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44F8"/>
    <w:pPr>
      <w:tabs>
        <w:tab w:val="right" w:pos="9360"/>
      </w:tabs>
      <w:suppressAutoHyphens/>
    </w:pPr>
  </w:style>
  <w:style w:type="character" w:customStyle="1" w:styleId="EquationCaption">
    <w:name w:val="_Equation Caption"/>
    <w:rsid w:val="005E44F8"/>
  </w:style>
  <w:style w:type="paragraph" w:styleId="Header">
    <w:name w:val="header"/>
    <w:basedOn w:val="Normal"/>
    <w:autoRedefine/>
    <w:rsid w:val="005E44F8"/>
    <w:pPr>
      <w:tabs>
        <w:tab w:val="center" w:pos="4680"/>
        <w:tab w:val="right" w:pos="9360"/>
      </w:tabs>
    </w:pPr>
    <w:rPr>
      <w:b/>
    </w:rPr>
  </w:style>
  <w:style w:type="paragraph" w:styleId="Footer">
    <w:name w:val="footer"/>
    <w:basedOn w:val="Normal"/>
    <w:link w:val="FooterChar"/>
    <w:uiPriority w:val="99"/>
    <w:rsid w:val="005E44F8"/>
    <w:pPr>
      <w:tabs>
        <w:tab w:val="center" w:pos="4320"/>
        <w:tab w:val="right" w:pos="8640"/>
      </w:tabs>
    </w:pPr>
  </w:style>
  <w:style w:type="character" w:styleId="PageNumber">
    <w:name w:val="page number"/>
    <w:basedOn w:val="DefaultParagraphFont"/>
    <w:rsid w:val="005E44F8"/>
  </w:style>
  <w:style w:type="paragraph" w:styleId="BlockText">
    <w:name w:val="Block Text"/>
    <w:basedOn w:val="Normal"/>
    <w:rsid w:val="005E44F8"/>
    <w:pPr>
      <w:spacing w:after="240"/>
      <w:ind w:left="1440" w:right="1440"/>
    </w:pPr>
  </w:style>
  <w:style w:type="paragraph" w:customStyle="1" w:styleId="Paratitle">
    <w:name w:val="Para title"/>
    <w:basedOn w:val="Normal"/>
    <w:rsid w:val="005E44F8"/>
    <w:pPr>
      <w:tabs>
        <w:tab w:val="center" w:pos="9270"/>
      </w:tabs>
      <w:spacing w:after="240"/>
    </w:pPr>
    <w:rPr>
      <w:spacing w:val="-2"/>
    </w:rPr>
  </w:style>
  <w:style w:type="paragraph" w:customStyle="1" w:styleId="Bullet">
    <w:name w:val="Bullet"/>
    <w:basedOn w:val="Normal"/>
    <w:rsid w:val="005E44F8"/>
    <w:pPr>
      <w:tabs>
        <w:tab w:val="left" w:pos="2160"/>
      </w:tabs>
      <w:spacing w:after="220"/>
      <w:ind w:left="2160" w:hanging="720"/>
    </w:pPr>
  </w:style>
  <w:style w:type="paragraph" w:customStyle="1" w:styleId="TableFormat">
    <w:name w:val="TableFormat"/>
    <w:basedOn w:val="Bullet"/>
    <w:rsid w:val="005E44F8"/>
    <w:pPr>
      <w:tabs>
        <w:tab w:val="clear" w:pos="2160"/>
        <w:tab w:val="left" w:pos="5040"/>
      </w:tabs>
      <w:ind w:left="5040" w:hanging="3600"/>
    </w:pPr>
  </w:style>
  <w:style w:type="paragraph" w:customStyle="1" w:styleId="TOCTitle">
    <w:name w:val="TOC Title"/>
    <w:basedOn w:val="Normal"/>
    <w:rsid w:val="005E44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44F8"/>
    <w:pPr>
      <w:jc w:val="center"/>
    </w:pPr>
    <w:rPr>
      <w:rFonts w:ascii="Times New Roman Bold" w:hAnsi="Times New Roman Bold"/>
      <w:b/>
      <w:bCs/>
      <w:caps/>
      <w:szCs w:val="22"/>
    </w:rPr>
  </w:style>
  <w:style w:type="character" w:styleId="Hyperlink">
    <w:name w:val="Hyperlink"/>
    <w:rsid w:val="005E44F8"/>
    <w:rPr>
      <w:color w:val="0000FF"/>
      <w:u w:val="single"/>
    </w:rPr>
  </w:style>
  <w:style w:type="character" w:customStyle="1" w:styleId="FooterChar">
    <w:name w:val="Footer Char"/>
    <w:link w:val="Footer"/>
    <w:uiPriority w:val="99"/>
    <w:rsid w:val="005E44F8"/>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ParaNumChar1">
    <w:name w:val="ParaNum Char1"/>
    <w:link w:val="ParaNum"/>
    <w:locked/>
    <w:rsid w:val="006F515A"/>
    <w:rPr>
      <w:snapToGrid w:val="0"/>
      <w:kern w:val="28"/>
      <w:sz w:val="22"/>
    </w:rPr>
  </w:style>
  <w:style w:type="character" w:customStyle="1" w:styleId="UnresolvedMention">
    <w:name w:val="Unresolved Mention"/>
    <w:basedOn w:val="DefaultParagraphFont"/>
    <w:uiPriority w:val="99"/>
    <w:semiHidden/>
    <w:unhideWhenUsed/>
    <w:rsid w:val="006F515A"/>
    <w:rPr>
      <w:color w:val="605E5C"/>
      <w:shd w:val="clear" w:color="auto" w:fill="E1DFDD"/>
    </w:rPr>
  </w:style>
  <w:style w:type="paragraph" w:styleId="ListParagraph">
    <w:name w:val="List Paragraph"/>
    <w:basedOn w:val="Normal"/>
    <w:uiPriority w:val="34"/>
    <w:qFormat/>
    <w:rsid w:val="006F427D"/>
    <w:pPr>
      <w:ind w:left="720"/>
      <w:contextualSpacing/>
    </w:pPr>
  </w:style>
  <w:style w:type="paragraph" w:styleId="Revision">
    <w:name w:val="Revision"/>
    <w:hidden/>
    <w:uiPriority w:val="99"/>
    <w:semiHidden/>
    <w:rsid w:val="00830A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Shaun.Maher@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