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p w:rsidR="00C62E5C" w14:paraId="099474FC" w14:textId="77777777">
      <w:pPr>
        <w:spacing w:after="0"/>
        <w:rPr>
          <w:rFonts w:ascii="Times New Roman" w:hAnsi="Times New Roman" w:cs="Times New Roman"/>
        </w:rPr>
      </w:pPr>
      <w:r>
        <w:rPr>
          <w:rFonts w:ascii="Times New Roman" w:hAnsi="Times New Roman" w:cs="Times New Roman"/>
        </w:rPr>
        <w:t xml:space="preserve">                                                                  </w:t>
      </w:r>
      <w:bookmarkStart w:id="0" w:name="_GoBack"/>
      <w:bookmarkEnd w:id="0"/>
    </w:p>
    <w:p w:rsidR="00C62E5C" w14:paraId="1F58A9A3" w14:textId="77777777">
      <w:pPr>
        <w:spacing w:after="0" w:line="240" w:lineRule="auto"/>
        <w:rPr>
          <w:rFonts w:ascii="Times New Roman" w:hAnsi="Times New Roman" w:cs="Times New Roman"/>
        </w:rPr>
      </w:pPr>
      <w:r>
        <w:rPr>
          <w:rFonts w:ascii="Times New Roman" w:hAnsi="Times New Roman" w:cs="Times New Roman"/>
        </w:rPr>
        <w:t xml:space="preserve">                                                                </w:t>
      </w:r>
    </w:p>
    <w:p w:rsidR="00C62E5C" w14:paraId="27708DA3" w14:textId="2CEA6896">
      <w:pPr>
        <w:spacing w:after="0"/>
        <w:jc w:val="right"/>
        <w:rPr>
          <w:rFonts w:ascii="Times New Roman" w:hAnsi="Times New Roman" w:cs="Times New Roman"/>
          <w:b/>
          <w:sz w:val="24"/>
          <w:szCs w:val="24"/>
        </w:rPr>
      </w:pP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sz w:val="24"/>
          <w:szCs w:val="24"/>
        </w:rPr>
        <w:t xml:space="preserve"> </w:t>
      </w:r>
      <w:r w:rsidRPr="00AA1A1D">
        <w:rPr>
          <w:rFonts w:ascii="Times New Roman" w:hAnsi="Times New Roman" w:cs="Times New Roman"/>
          <w:b/>
          <w:sz w:val="24"/>
          <w:szCs w:val="24"/>
        </w:rPr>
        <w:t>DA 2</w:t>
      </w:r>
      <w:r w:rsidR="0037791A">
        <w:rPr>
          <w:rFonts w:ascii="Times New Roman" w:hAnsi="Times New Roman" w:cs="Times New Roman"/>
          <w:b/>
          <w:sz w:val="24"/>
          <w:szCs w:val="24"/>
        </w:rPr>
        <w:t>1-29</w:t>
      </w:r>
    </w:p>
    <w:p w:rsidR="00C62E5C" w14:paraId="23F65B44" w14:textId="77777777">
      <w:pPr>
        <w:spacing w:after="0"/>
        <w:jc w:val="right"/>
        <w:rPr>
          <w:rFonts w:ascii="Times New Roman" w:hAnsi="Times New Roman" w:cs="Times New Roman"/>
          <w:sz w:val="24"/>
          <w:szCs w:val="24"/>
        </w:rPr>
      </w:pPr>
    </w:p>
    <w:p w:rsidR="00C62E5C" w14:paraId="3D180A42" w14:textId="77777777">
      <w:pPr>
        <w:spacing w:after="0"/>
        <w:jc w:val="center"/>
        <w:rPr>
          <w:rFonts w:ascii="Times New Roman" w:hAnsi="Times New Roman" w:cs="Times New Roman"/>
          <w:b/>
        </w:rPr>
      </w:pPr>
      <w:r>
        <w:rPr>
          <w:rFonts w:ascii="Times New Roman" w:hAnsi="Times New Roman" w:cs="Times New Roman"/>
          <w:b/>
          <w:sz w:val="28"/>
          <w:szCs w:val="28"/>
        </w:rPr>
        <w:t>SMALL ENTITY COMPLIANCE GUIDE</w:t>
      </w:r>
    </w:p>
    <w:p w:rsidR="00307F45" w14:paraId="5E4E558D" w14:textId="77777777">
      <w:pPr>
        <w:spacing w:after="0"/>
        <w:ind w:hanging="90"/>
        <w:jc w:val="center"/>
        <w:rPr>
          <w:rFonts w:ascii="Times New Roman" w:hAnsi="Times New Roman" w:cs="Times New Roman"/>
          <w:b/>
          <w:bCs/>
        </w:rPr>
      </w:pPr>
      <w:r>
        <w:rPr>
          <w:rFonts w:ascii="Times New Roman" w:hAnsi="Times New Roman" w:cs="Times New Roman"/>
          <w:b/>
          <w:bCs/>
        </w:rPr>
        <w:t>Revision of the Commission’s Part 76 Review Procedures</w:t>
      </w:r>
      <w:r w:rsidR="00764DEA">
        <w:rPr>
          <w:rFonts w:ascii="Times New Roman" w:hAnsi="Times New Roman" w:cs="Times New Roman"/>
          <w:b/>
          <w:bCs/>
        </w:rPr>
        <w:t xml:space="preserve">; </w:t>
      </w:r>
    </w:p>
    <w:p w:rsidR="00307F45" w14:paraId="7E34D850" w14:textId="77777777">
      <w:pPr>
        <w:spacing w:after="0"/>
        <w:ind w:hanging="90"/>
        <w:jc w:val="center"/>
        <w:rPr>
          <w:rFonts w:ascii="Times New Roman" w:hAnsi="Times New Roman" w:cs="Times New Roman"/>
          <w:b/>
          <w:bCs/>
        </w:rPr>
      </w:pPr>
      <w:r>
        <w:rPr>
          <w:rFonts w:ascii="Times New Roman" w:hAnsi="Times New Roman" w:cs="Times New Roman"/>
          <w:b/>
          <w:bCs/>
        </w:rPr>
        <w:t>Modernization of Media Regulation Initiative</w:t>
      </w:r>
      <w:r w:rsidR="00764DEA">
        <w:rPr>
          <w:rFonts w:ascii="Times New Roman" w:hAnsi="Times New Roman" w:cs="Times New Roman"/>
          <w:b/>
          <w:bCs/>
        </w:rPr>
        <w:t>;</w:t>
      </w:r>
      <w:r>
        <w:rPr>
          <w:rFonts w:ascii="Times New Roman" w:hAnsi="Times New Roman" w:cs="Times New Roman"/>
          <w:b/>
          <w:bCs/>
        </w:rPr>
        <w:t xml:space="preserve"> </w:t>
      </w:r>
    </w:p>
    <w:p w:rsidR="00764DEA" w14:paraId="4C5B69F3" w14:textId="77777777">
      <w:pPr>
        <w:spacing w:after="0"/>
        <w:ind w:hanging="90"/>
        <w:jc w:val="center"/>
        <w:rPr>
          <w:rFonts w:ascii="Times New Roman" w:hAnsi="Times New Roman" w:cs="Times New Roman"/>
          <w:b/>
          <w:bCs/>
        </w:rPr>
      </w:pPr>
      <w:r>
        <w:rPr>
          <w:rFonts w:ascii="Times New Roman" w:hAnsi="Times New Roman" w:cs="Times New Roman"/>
          <w:b/>
          <w:bCs/>
        </w:rPr>
        <w:t>Revision of the Commission’s Program Carriage Rules</w:t>
      </w:r>
    </w:p>
    <w:p w:rsidR="00C62E5C" w14:paraId="69FC76E7" w14:textId="77777777">
      <w:pPr>
        <w:spacing w:after="0"/>
        <w:jc w:val="center"/>
        <w:rPr>
          <w:rFonts w:ascii="Times New Roman" w:hAnsi="Times New Roman" w:cs="Times New Roman"/>
        </w:rPr>
      </w:pPr>
      <w:r>
        <w:rPr>
          <w:rFonts w:ascii="Times New Roman" w:hAnsi="Times New Roman" w:cs="Times New Roman"/>
          <w:b/>
        </w:rPr>
        <w:t>FCC 20-</w:t>
      </w:r>
      <w:r w:rsidR="00CF103C">
        <w:rPr>
          <w:rFonts w:ascii="Times New Roman" w:hAnsi="Times New Roman" w:cs="Times New Roman"/>
          <w:b/>
        </w:rPr>
        <w:t>1</w:t>
      </w:r>
      <w:r w:rsidR="00E36CF6">
        <w:rPr>
          <w:rFonts w:ascii="Times New Roman" w:hAnsi="Times New Roman" w:cs="Times New Roman"/>
          <w:b/>
        </w:rPr>
        <w:t>62</w:t>
      </w:r>
      <w:r>
        <w:rPr>
          <w:rFonts w:ascii="Times New Roman" w:hAnsi="Times New Roman" w:cs="Times New Roman"/>
          <w:b/>
        </w:rPr>
        <w:t xml:space="preserve">; </w:t>
      </w:r>
      <w:r w:rsidR="005368AD">
        <w:rPr>
          <w:rFonts w:ascii="Times New Roman" w:hAnsi="Times New Roman" w:cs="Times New Roman"/>
          <w:b/>
        </w:rPr>
        <w:t xml:space="preserve">MB Docket Nos. </w:t>
      </w:r>
      <w:r w:rsidR="00307F45">
        <w:rPr>
          <w:rFonts w:ascii="Times New Roman" w:hAnsi="Times New Roman" w:cs="Times New Roman"/>
          <w:b/>
        </w:rPr>
        <w:t>20-70</w:t>
      </w:r>
      <w:r w:rsidR="005368AD">
        <w:rPr>
          <w:rFonts w:ascii="Times New Roman" w:hAnsi="Times New Roman" w:cs="Times New Roman"/>
          <w:b/>
        </w:rPr>
        <w:t>, 17-105</w:t>
      </w:r>
      <w:r>
        <w:rPr>
          <w:rFonts w:ascii="Times New Roman" w:hAnsi="Times New Roman" w:cs="Times New Roman"/>
          <w:b/>
        </w:rPr>
        <w:t>,</w:t>
      </w:r>
      <w:r w:rsidR="00764DEA">
        <w:rPr>
          <w:rFonts w:ascii="Times New Roman" w:hAnsi="Times New Roman" w:cs="Times New Roman"/>
          <w:b/>
        </w:rPr>
        <w:t xml:space="preserve"> </w:t>
      </w:r>
      <w:r w:rsidR="00307F45">
        <w:rPr>
          <w:rFonts w:ascii="Times New Roman" w:hAnsi="Times New Roman" w:cs="Times New Roman"/>
          <w:b/>
        </w:rPr>
        <w:t>11-131</w:t>
      </w:r>
    </w:p>
    <w:p w:rsidR="00C62E5C" w14:paraId="156A5DC7" w14:textId="77777777">
      <w:pPr>
        <w:spacing w:after="0"/>
        <w:jc w:val="center"/>
        <w:rPr>
          <w:rFonts w:ascii="Times New Roman" w:hAnsi="Times New Roman" w:cs="Times New Roman"/>
          <w:b/>
        </w:rPr>
      </w:pPr>
      <w:r w:rsidRPr="00E36CF6">
        <w:rPr>
          <w:rFonts w:ascii="Times New Roman" w:hAnsi="Times New Roman" w:cs="Times New Roman"/>
          <w:b/>
        </w:rPr>
        <w:t xml:space="preserve">Released </w:t>
      </w:r>
      <w:r w:rsidRPr="00E36CF6" w:rsidR="00E36CF6">
        <w:rPr>
          <w:rFonts w:ascii="Times New Roman" w:hAnsi="Times New Roman" w:cs="Times New Roman"/>
          <w:b/>
        </w:rPr>
        <w:t>November 18</w:t>
      </w:r>
      <w:r w:rsidRPr="00E36CF6">
        <w:rPr>
          <w:rFonts w:ascii="Times New Roman" w:hAnsi="Times New Roman" w:cs="Times New Roman"/>
          <w:b/>
        </w:rPr>
        <w:t>, 2020</w:t>
      </w:r>
    </w:p>
    <w:p w:rsidR="00C62E5C" w14:paraId="2C9C5750" w14:textId="77777777">
      <w:pPr>
        <w:spacing w:after="0"/>
        <w:rPr>
          <w:rFonts w:ascii="Times New Roman" w:hAnsi="Times New Roman" w:cs="Times New Roman"/>
          <w:b/>
        </w:rPr>
      </w:pPr>
    </w:p>
    <w:p w:rsidR="00C62E5C" w:rsidP="005368AD" w14:paraId="04CE5E80" w14:textId="28225F1E">
      <w:pPr>
        <w:spacing w:after="0"/>
        <w:ind w:left="720"/>
        <w:rPr>
          <w:rFonts w:ascii="Times New Roman" w:hAnsi="Times New Roman" w:cs="Times New Roman"/>
          <w:b/>
        </w:rPr>
      </w:pPr>
      <w:r>
        <w:rPr>
          <w:rFonts w:ascii="Times New Roman" w:hAnsi="Times New Roman" w:cs="Times New Roman"/>
          <w:b/>
        </w:rPr>
        <w:t xml:space="preserve">This Guide is prepared in accordance with the requirements of </w:t>
      </w:r>
      <w:r w:rsidR="000F292A">
        <w:rPr>
          <w:rFonts w:ascii="Times New Roman" w:hAnsi="Times New Roman" w:cs="Times New Roman"/>
          <w:b/>
        </w:rPr>
        <w:t>s</w:t>
      </w:r>
      <w:r>
        <w:rPr>
          <w:rFonts w:ascii="Times New Roman" w:hAnsi="Times New Roman" w:cs="Times New Roman"/>
          <w:b/>
        </w:rPr>
        <w:t xml:space="preserve">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w:t>
      </w:r>
      <w:r>
        <w:rPr>
          <w:rFonts w:ascii="Times New Roman" w:hAnsi="Times New Roman" w:cs="Times New Roman"/>
          <w:b/>
        </w:rPr>
        <w:t>particular small</w:t>
      </w:r>
      <w:r>
        <w:rPr>
          <w:rFonts w:ascii="Times New Roman" w:hAnsi="Times New Roman" w:cs="Times New Roman"/>
          <w:b/>
        </w:rPr>
        <w:t xml:space="preserve"> entity will be based on the statute and any relevant rules. </w:t>
      </w:r>
    </w:p>
    <w:p w:rsidR="00C62E5C" w:rsidP="005368AD" w14:paraId="7C0BFE15" w14:textId="77777777">
      <w:pPr>
        <w:pStyle w:val="ListParagraph"/>
        <w:ind w:hanging="1080"/>
        <w:rPr>
          <w:rFonts w:ascii="Times New Roman" w:hAnsi="Times New Roman" w:cs="Times New Roman"/>
          <w:b/>
        </w:rPr>
      </w:pPr>
    </w:p>
    <w:p w:rsidR="00C62E5C" w:rsidP="005368AD" w14:paraId="731F648F" w14:textId="77777777">
      <w:pPr>
        <w:pStyle w:val="ListParagraph"/>
        <w:rPr>
          <w:rFonts w:ascii="Times New Roman" w:hAnsi="Times New Roman" w:cs="Times New Roman"/>
          <w:b/>
        </w:rPr>
      </w:pPr>
      <w:r>
        <w:rPr>
          <w:rFonts w:ascii="Times New Roman"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w:t>
      </w:r>
      <w:r>
        <w:rPr>
          <w:rFonts w:ascii="Times New Roman" w:hAnsi="Times New Roman" w:cs="Times New Roman"/>
          <w:b/>
        </w:rPr>
        <w:t>particular situation</w:t>
      </w:r>
      <w:r>
        <w:rPr>
          <w:rFonts w:ascii="Times New Roman" w:hAnsi="Times New Roman" w:cs="Times New Roman"/>
          <w:b/>
        </w:rPr>
        <w:t>.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p>
    <w:p w:rsidR="00C62E5C" w14:paraId="1661C8C0" w14:textId="77777777">
      <w:pPr>
        <w:pStyle w:val="ListParagraph"/>
        <w:ind w:left="1080"/>
        <w:rPr>
          <w:rFonts w:ascii="Times New Roman" w:hAnsi="Times New Roman" w:cs="Times New Roman"/>
          <w:b/>
        </w:rPr>
      </w:pPr>
    </w:p>
    <w:p w:rsidR="00C62E5C" w14:paraId="405F1889" w14:textId="77777777">
      <w:pPr>
        <w:pStyle w:val="ListParagraph"/>
        <w:ind w:left="1080"/>
        <w:jc w:val="center"/>
        <w:rPr>
          <w:rFonts w:ascii="Times New Roman" w:hAnsi="Times New Roman" w:cs="Times New Roman"/>
          <w:b/>
        </w:rPr>
      </w:pPr>
      <w:r>
        <w:rPr>
          <w:rFonts w:ascii="Times New Roman" w:hAnsi="Times New Roman" w:cs="Times New Roman"/>
          <w:b/>
        </w:rPr>
        <w:t>1-888-CALL-FCC (1-888-225-5322)</w:t>
      </w:r>
    </w:p>
    <w:p w:rsidR="00C62E5C" w14:paraId="1B3D0EBF" w14:textId="77777777">
      <w:pPr>
        <w:pStyle w:val="ListParagraph"/>
        <w:ind w:left="1080"/>
        <w:jc w:val="center"/>
        <w:rPr>
          <w:rFonts w:ascii="Times New Roman" w:hAnsi="Times New Roman" w:cs="Times New Roman"/>
          <w:b/>
        </w:rPr>
      </w:pPr>
      <w:r>
        <w:rPr>
          <w:rFonts w:ascii="Times New Roman" w:hAnsi="Times New Roman" w:cs="Times New Roman"/>
          <w:b/>
        </w:rPr>
        <w:t>TTY: 1-888-TELL-FCC (1-888-835-5322)</w:t>
      </w:r>
    </w:p>
    <w:p w:rsidR="00C62E5C" w14:paraId="106B7A19" w14:textId="77777777">
      <w:pPr>
        <w:pStyle w:val="ListParagraph"/>
        <w:ind w:left="1080"/>
        <w:jc w:val="center"/>
        <w:rPr>
          <w:rFonts w:ascii="Times New Roman" w:hAnsi="Times New Roman" w:cs="Times New Roman"/>
          <w:b/>
        </w:rPr>
      </w:pPr>
      <w:r>
        <w:rPr>
          <w:rFonts w:ascii="Times New Roman" w:hAnsi="Times New Roman" w:cs="Times New Roman"/>
          <w:b/>
        </w:rPr>
        <w:t>Videophone: 1-844-4-FCC-ASL (1-844-432-2275)</w:t>
      </w:r>
    </w:p>
    <w:p w:rsidR="00C62E5C" w14:paraId="0637DA37" w14:textId="77777777">
      <w:pPr>
        <w:pStyle w:val="ListParagraph"/>
        <w:ind w:left="1080"/>
        <w:jc w:val="center"/>
        <w:rPr>
          <w:rFonts w:ascii="Times New Roman" w:hAnsi="Times New Roman" w:cs="Times New Roman"/>
          <w:b/>
        </w:rPr>
        <w:sectPr>
          <w:headerReference w:type="default" r:id="rId5"/>
          <w:footerReference w:type="default" r:id="rId6"/>
          <w:pgSz w:w="12240" w:h="15840"/>
          <w:pgMar w:top="1440" w:right="1440" w:bottom="1008" w:left="1440" w:header="720" w:footer="187" w:gutter="0"/>
          <w:cols w:space="720"/>
          <w:docGrid w:linePitch="360"/>
        </w:sectPr>
      </w:pPr>
      <w:r>
        <w:rPr>
          <w:rFonts w:ascii="Times New Roman" w:hAnsi="Times New Roman" w:cs="Times New Roman"/>
          <w:b/>
        </w:rPr>
        <w:t>Fax: 1-866-418-0232</w:t>
      </w:r>
    </w:p>
    <w:p w:rsidR="00C62E5C" w14:paraId="27BB2E3F" w14:textId="77777777">
      <w:pPr>
        <w:jc w:val="center"/>
        <w:rPr>
          <w:rFonts w:ascii="Times New Roman" w:hAnsi="Times New Roman" w:cs="Times New Roman"/>
          <w:b/>
          <w:u w:val="single"/>
        </w:rPr>
      </w:pPr>
      <w:r>
        <w:rPr>
          <w:rFonts w:ascii="Times New Roman" w:hAnsi="Times New Roman" w:cs="Times New Roman"/>
          <w:b/>
          <w:u w:val="single"/>
        </w:rPr>
        <w:t>TABLE OF CONTENTS</w:t>
      </w:r>
    </w:p>
    <w:p w:rsidR="00C62E5C" w14:paraId="52E9FE8D" w14:textId="77777777">
      <w:pPr>
        <w:jc w:val="center"/>
        <w:rPr>
          <w:rFonts w:ascii="Times New Roman" w:hAnsi="Times New Roman" w:cs="Times New Roman"/>
          <w:b/>
          <w:u w:val="single"/>
        </w:rPr>
      </w:pPr>
    </w:p>
    <w:p w:rsidR="00C62E5C" w14:paraId="75D754FD" w14:textId="77777777">
      <w:pPr>
        <w:tabs>
          <w:tab w:val="right" w:leader="dot" w:pos="8640"/>
        </w:tabs>
        <w:rPr>
          <w:rFonts w:ascii="Times New Roman" w:hAnsi="Times New Roman" w:cs="Times New Roman"/>
          <w:b/>
        </w:rPr>
      </w:pPr>
      <w:r>
        <w:rPr>
          <w:rFonts w:ascii="Times New Roman" w:hAnsi="Times New Roman" w:cs="Times New Roman"/>
          <w:b/>
        </w:rPr>
        <w:t xml:space="preserve">I.          OBJECTIVES OF THE PROCEEDING </w:t>
      </w:r>
      <w:r>
        <w:rPr>
          <w:rFonts w:ascii="Times New Roman" w:hAnsi="Times New Roman" w:cs="Times New Roman"/>
          <w:b/>
        </w:rPr>
        <w:tab/>
        <w:t>1</w:t>
      </w:r>
    </w:p>
    <w:p w:rsidR="00C62E5C" w14:paraId="60E47215" w14:textId="77777777">
      <w:pPr>
        <w:tabs>
          <w:tab w:val="right" w:leader="dot" w:pos="8640"/>
        </w:tabs>
        <w:rPr>
          <w:rFonts w:ascii="Times New Roman" w:hAnsi="Times New Roman" w:cs="Times New Roman"/>
          <w:b/>
        </w:rPr>
      </w:pPr>
      <w:r>
        <w:rPr>
          <w:rFonts w:ascii="Times New Roman" w:hAnsi="Times New Roman" w:cs="Times New Roman"/>
          <w:b/>
        </w:rPr>
        <w:t xml:space="preserve">II.         COMPLIANCE REQUIREMENTS </w:t>
      </w:r>
      <w:r>
        <w:rPr>
          <w:rFonts w:ascii="Times New Roman" w:hAnsi="Times New Roman" w:cs="Times New Roman"/>
          <w:b/>
        </w:rPr>
        <w:tab/>
        <w:t>2</w:t>
      </w:r>
    </w:p>
    <w:p w:rsidR="00C62E5C" w14:paraId="36F9795B" w14:textId="77777777">
      <w:pPr>
        <w:tabs>
          <w:tab w:val="right" w:leader="dot" w:pos="8640"/>
        </w:tabs>
        <w:rPr>
          <w:rFonts w:ascii="Times New Roman" w:hAnsi="Times New Roman" w:cs="Times New Roman"/>
          <w:b/>
        </w:rPr>
      </w:pPr>
      <w:r>
        <w:rPr>
          <w:rFonts w:ascii="Times New Roman" w:hAnsi="Times New Roman" w:cs="Times New Roman"/>
          <w:b/>
        </w:rPr>
        <w:t xml:space="preserve">III.        RECORDKEEPING AND REPORTING REQUIREMENTS </w:t>
      </w:r>
      <w:r>
        <w:rPr>
          <w:rFonts w:ascii="Times New Roman" w:hAnsi="Times New Roman" w:cs="Times New Roman"/>
          <w:b/>
        </w:rPr>
        <w:tab/>
      </w:r>
      <w:r w:rsidR="001F6DCB">
        <w:rPr>
          <w:rFonts w:ascii="Times New Roman" w:hAnsi="Times New Roman" w:cs="Times New Roman"/>
          <w:b/>
        </w:rPr>
        <w:t>4</w:t>
      </w:r>
    </w:p>
    <w:p w:rsidR="00C62E5C" w14:paraId="1BB156DA" w14:textId="77777777">
      <w:pPr>
        <w:tabs>
          <w:tab w:val="right" w:leader="dot" w:pos="8640"/>
        </w:tabs>
        <w:rPr>
          <w:rFonts w:ascii="Times New Roman" w:hAnsi="Times New Roman" w:cs="Times New Roman"/>
          <w:b/>
        </w:rPr>
      </w:pPr>
      <w:r>
        <w:rPr>
          <w:rFonts w:ascii="Times New Roman" w:hAnsi="Times New Roman" w:cs="Times New Roman"/>
          <w:b/>
        </w:rPr>
        <w:t xml:space="preserve">IV.        IMPLEMENTATION DATE </w:t>
      </w:r>
      <w:r>
        <w:rPr>
          <w:rFonts w:ascii="Times New Roman" w:hAnsi="Times New Roman" w:cs="Times New Roman"/>
          <w:b/>
        </w:rPr>
        <w:tab/>
      </w:r>
      <w:r w:rsidR="001F6DCB">
        <w:rPr>
          <w:rFonts w:ascii="Times New Roman" w:hAnsi="Times New Roman" w:cs="Times New Roman"/>
          <w:b/>
        </w:rPr>
        <w:t>4</w:t>
      </w:r>
    </w:p>
    <w:p w:rsidR="00C62E5C" w14:paraId="7D5DA4E9" w14:textId="77777777">
      <w:pPr>
        <w:tabs>
          <w:tab w:val="right" w:leader="dot" w:pos="8640"/>
        </w:tabs>
        <w:rPr>
          <w:rFonts w:ascii="Times New Roman" w:hAnsi="Times New Roman" w:cs="Times New Roman"/>
          <w:b/>
        </w:rPr>
      </w:pPr>
      <w:r>
        <w:rPr>
          <w:rFonts w:ascii="Times New Roman" w:hAnsi="Times New Roman" w:cs="Times New Roman"/>
          <w:b/>
        </w:rPr>
        <w:t xml:space="preserve">V.         INTERNET LINKS </w:t>
      </w:r>
      <w:r>
        <w:rPr>
          <w:rFonts w:ascii="Times New Roman" w:hAnsi="Times New Roman" w:cs="Times New Roman"/>
          <w:b/>
        </w:rPr>
        <w:tab/>
      </w:r>
      <w:r w:rsidR="001F6DCB">
        <w:rPr>
          <w:rFonts w:ascii="Times New Roman" w:hAnsi="Times New Roman" w:cs="Times New Roman"/>
          <w:b/>
        </w:rPr>
        <w:t>4</w:t>
      </w:r>
    </w:p>
    <w:p w:rsidR="00C62E5C" w14:paraId="0C8C75EF" w14:textId="77777777">
      <w:pPr>
        <w:pStyle w:val="ListParagraph"/>
        <w:spacing w:after="0"/>
        <w:ind w:left="0"/>
        <w:rPr>
          <w:rFonts w:ascii="Times New Roman" w:hAnsi="Times New Roman" w:cs="Times New Roman"/>
          <w:b/>
        </w:rPr>
      </w:pPr>
    </w:p>
    <w:p w:rsidR="00C62E5C" w14:paraId="03950BE6" w14:textId="77777777">
      <w:pPr>
        <w:rPr>
          <w:rFonts w:ascii="Times New Roman" w:hAnsi="Times New Roman" w:cs="Times New Roman"/>
          <w:b/>
        </w:rPr>
      </w:pPr>
    </w:p>
    <w:p w:rsidR="00C62E5C" w14:paraId="07F62144" w14:textId="77777777">
      <w:pPr>
        <w:rPr>
          <w:rFonts w:ascii="Times New Roman" w:hAnsi="Times New Roman" w:cs="Times New Roman"/>
          <w:b/>
        </w:rPr>
      </w:pPr>
    </w:p>
    <w:p w:rsidR="00C62E5C" w14:paraId="0866F5B7" w14:textId="77777777">
      <w:pPr>
        <w:rPr>
          <w:rFonts w:ascii="Times New Roman" w:hAnsi="Times New Roman" w:cs="Times New Roman"/>
          <w:b/>
        </w:rPr>
        <w:sectPr>
          <w:headerReference w:type="default" r:id="rId7"/>
          <w:pgSz w:w="12240" w:h="15840"/>
          <w:pgMar w:top="1440" w:right="1440" w:bottom="1008" w:left="1440" w:header="720" w:footer="187" w:gutter="0"/>
          <w:pgNumType w:start="1"/>
          <w:cols w:space="720"/>
          <w:docGrid w:linePitch="360"/>
        </w:sectPr>
      </w:pPr>
    </w:p>
    <w:p w:rsidR="00C62E5C" w14:paraId="70ED0FF2" w14:textId="77777777">
      <w:pPr>
        <w:tabs>
          <w:tab w:val="left" w:pos="720"/>
        </w:tabs>
        <w:rPr>
          <w:rFonts w:ascii="Times New Roman" w:hAnsi="Times New Roman" w:cs="Times New Roman"/>
          <w:b/>
        </w:rPr>
      </w:pPr>
      <w:r>
        <w:rPr>
          <w:rFonts w:ascii="Times New Roman" w:hAnsi="Times New Roman" w:cs="Times New Roman"/>
          <w:b/>
        </w:rPr>
        <w:t>I.            OBJECTIVES OF THE PROCEEDING</w:t>
      </w:r>
    </w:p>
    <w:p w:rsidR="002963D1" w:rsidRPr="00BF4405" w:rsidP="00BF4405" w14:paraId="0BE087F0" w14:textId="27431125">
      <w:pPr>
        <w:rPr>
          <w:rFonts w:ascii="Times New Roman" w:hAnsi="Times New Roman" w:cs="Times New Roman"/>
        </w:rPr>
      </w:pPr>
      <w:r>
        <w:rPr>
          <w:rFonts w:ascii="Times New Roman" w:hAnsi="Times New Roman" w:cs="Times New Roman"/>
        </w:rPr>
        <w:tab/>
      </w:r>
      <w:r w:rsidRPr="00BF4405" w:rsidR="00BF0C37">
        <w:rPr>
          <w:rFonts w:ascii="Times New Roman" w:hAnsi="Times New Roman" w:cs="Times New Roman"/>
        </w:rPr>
        <w:t xml:space="preserve">In the </w:t>
      </w:r>
      <w:r w:rsidRPr="00BF4405" w:rsidR="00BF0C37">
        <w:rPr>
          <w:rFonts w:ascii="Times New Roman" w:hAnsi="Times New Roman" w:cs="Times New Roman"/>
          <w:i/>
          <w:iCs/>
        </w:rPr>
        <w:t>Report and Order</w:t>
      </w:r>
      <w:r>
        <w:rPr>
          <w:rStyle w:val="FootnoteReference"/>
          <w:rFonts w:ascii="Times New Roman" w:hAnsi="Times New Roman" w:cs="Times New Roman"/>
        </w:rPr>
        <w:footnoteReference w:id="2"/>
      </w:r>
      <w:r w:rsidRPr="00D2435B" w:rsidR="00BF0C37">
        <w:rPr>
          <w:rFonts w:ascii="Times New Roman" w:hAnsi="Times New Roman" w:cs="Times New Roman"/>
        </w:rPr>
        <w:t xml:space="preserve"> </w:t>
      </w:r>
      <w:r w:rsidRPr="00BF4405" w:rsidR="00BF0C37">
        <w:rPr>
          <w:rFonts w:ascii="Times New Roman" w:hAnsi="Times New Roman" w:cs="Times New Roman"/>
        </w:rPr>
        <w:t>in MB Docket Nos. 20</w:t>
      </w:r>
      <w:r w:rsidRPr="00BF4405" w:rsidR="00B27CE4">
        <w:rPr>
          <w:rFonts w:ascii="Times New Roman" w:hAnsi="Times New Roman" w:cs="Times New Roman"/>
        </w:rPr>
        <w:t>-</w:t>
      </w:r>
      <w:r w:rsidRPr="00BF4405" w:rsidR="00BF0C37">
        <w:rPr>
          <w:rFonts w:ascii="Times New Roman" w:hAnsi="Times New Roman" w:cs="Times New Roman"/>
        </w:rPr>
        <w:t xml:space="preserve">70, 17-105, and 11-131, the Commission adopted changes to the rules governing the resolution of program carriage disputes between video programming vendors and multichannel video programming distributors (MVPDs) and </w:t>
      </w:r>
      <w:r w:rsidRPr="00BF4405">
        <w:rPr>
          <w:rFonts w:ascii="Times New Roman" w:hAnsi="Times New Roman" w:cs="Times New Roman"/>
        </w:rPr>
        <w:t xml:space="preserve">also amended </w:t>
      </w:r>
      <w:r w:rsidRPr="00BF4405" w:rsidR="00BF0C37">
        <w:rPr>
          <w:rFonts w:ascii="Times New Roman" w:hAnsi="Times New Roman" w:cs="Times New Roman"/>
        </w:rPr>
        <w:t xml:space="preserve">parallel procedural rules in Part 76 of the Rules, which govern program access, open video system (OVS), and good-faith retransmission consent complaints.  </w:t>
      </w:r>
    </w:p>
    <w:p w:rsidR="002963D1" w:rsidRPr="00BF4405" w:rsidP="00BF4405" w14:paraId="35277968" w14:textId="340FA441">
      <w:pPr>
        <w:rPr>
          <w:rFonts w:ascii="Times New Roman" w:hAnsi="Times New Roman" w:cs="Times New Roman"/>
        </w:rPr>
      </w:pPr>
      <w:r>
        <w:rPr>
          <w:rFonts w:ascii="Times New Roman" w:hAnsi="Times New Roman" w:cs="Times New Roman"/>
        </w:rPr>
        <w:tab/>
      </w:r>
      <w:r w:rsidRPr="00BF4405" w:rsidR="00BF0C37">
        <w:rPr>
          <w:rFonts w:ascii="Times New Roman" w:hAnsi="Times New Roman" w:cs="Times New Roman"/>
        </w:rPr>
        <w:t>Specifically, the Commission amended the statute of limitations for program carriage complaints to make clear that the third triggering event applies only when a party seeks renewal of an existing contract or when there is not an existing program carriage contract or contract offer, and a defendant MVPD has denied or failed to acknowledge either a request for carriage or a request to negotiate for program carriage</w:t>
      </w:r>
      <w:r w:rsidRPr="00BF4405">
        <w:rPr>
          <w:rFonts w:ascii="Times New Roman" w:hAnsi="Times New Roman" w:cs="Times New Roman"/>
        </w:rPr>
        <w:t xml:space="preserve"> as explained in detail below in paragraphs 2 and 3 of Part II</w:t>
      </w:r>
      <w:r w:rsidRPr="00BF4405" w:rsidR="00BF0C37">
        <w:rPr>
          <w:rFonts w:ascii="Times New Roman" w:hAnsi="Times New Roman" w:cs="Times New Roman"/>
        </w:rPr>
        <w:t>.</w:t>
      </w:r>
      <w:r>
        <w:rPr>
          <w:rStyle w:val="FootnoteReference"/>
          <w:rFonts w:ascii="Times New Roman" w:hAnsi="Times New Roman" w:cs="Times New Roman"/>
          <w:bCs/>
        </w:rPr>
        <w:footnoteReference w:id="3"/>
      </w:r>
      <w:r w:rsidRPr="00BF4405" w:rsidR="00BF0C37">
        <w:rPr>
          <w:rFonts w:ascii="Times New Roman" w:hAnsi="Times New Roman" w:cs="Times New Roman"/>
        </w:rPr>
        <w:t xml:space="preserve">  This third prong of the program carriage statute of limitations originally contained similar limiting language concerning an unreasonable refusal to deal that was deleted by the Commission in 1994 without setting forth an explicit rationale for doing so.  The Commission has previously expressed concern that without that language this provision could be read to mean that a complaint would be timely within one year of the date on which a complainant notified the defendant MVPD of its intention to file a complaint, regardless of when the actual violation of the rules had occurred, undermining the fundamental purpose of a statute of limitations.  </w:t>
      </w:r>
    </w:p>
    <w:p w:rsidR="002963D1" w:rsidRPr="00BF4405" w:rsidP="00BF4405" w14:paraId="13C2EBA8" w14:textId="571D2528">
      <w:pPr>
        <w:rPr>
          <w:rFonts w:ascii="Times New Roman" w:hAnsi="Times New Roman" w:cs="Times New Roman"/>
        </w:rPr>
      </w:pPr>
      <w:r>
        <w:rPr>
          <w:rFonts w:ascii="Times New Roman" w:hAnsi="Times New Roman" w:cs="Times New Roman"/>
        </w:rPr>
        <w:tab/>
      </w:r>
      <w:r w:rsidRPr="00BF4405" w:rsidR="00BF0C37">
        <w:rPr>
          <w:rFonts w:ascii="Times New Roman" w:hAnsi="Times New Roman" w:cs="Times New Roman"/>
        </w:rPr>
        <w:t>For consistency, the Commission similarly amended parallel provisions in the statutes of limitations for filing program access,</w:t>
      </w:r>
      <w:r>
        <w:rPr>
          <w:rStyle w:val="FootnoteReference"/>
          <w:rFonts w:ascii="Times New Roman" w:hAnsi="Times New Roman" w:cs="Times New Roman"/>
          <w:bCs/>
        </w:rPr>
        <w:footnoteReference w:id="4"/>
      </w:r>
      <w:r w:rsidRPr="00BF4405" w:rsidR="00BF0C37">
        <w:rPr>
          <w:rFonts w:ascii="Times New Roman" w:hAnsi="Times New Roman" w:cs="Times New Roman"/>
        </w:rPr>
        <w:t xml:space="preserve"> OVS,</w:t>
      </w:r>
      <w:r>
        <w:rPr>
          <w:rStyle w:val="FootnoteReference"/>
          <w:rFonts w:ascii="Times New Roman" w:hAnsi="Times New Roman" w:cs="Times New Roman"/>
          <w:bCs/>
        </w:rPr>
        <w:footnoteReference w:id="5"/>
      </w:r>
      <w:r w:rsidRPr="00BF4405" w:rsidR="00BF0C37">
        <w:rPr>
          <w:rFonts w:ascii="Times New Roman" w:hAnsi="Times New Roman" w:cs="Times New Roman"/>
        </w:rPr>
        <w:t xml:space="preserve"> and good-faith retransmission consent complaints</w:t>
      </w:r>
      <w:r>
        <w:rPr>
          <w:rStyle w:val="FootnoteReference"/>
          <w:rFonts w:ascii="Times New Roman" w:hAnsi="Times New Roman" w:cs="Times New Roman"/>
          <w:bCs/>
        </w:rPr>
        <w:footnoteReference w:id="6"/>
      </w:r>
      <w:r w:rsidRPr="00BF4405" w:rsidR="00BF0C37">
        <w:rPr>
          <w:rFonts w:ascii="Times New Roman" w:hAnsi="Times New Roman" w:cs="Times New Roman"/>
        </w:rPr>
        <w:t xml:space="preserve"> so that they run from the date that a potential defendant denied an offer or a request to negotiate, rather than from the date a potential complainant provides notice of its intent to file on that basis.  The Commission explained that these changes will help ensure an expeditious program access, program carriage, retransmission consent, and OVS complaint process and provide additional clarity to both potential complainants and defendants, as well as adjudicators.  </w:t>
      </w:r>
    </w:p>
    <w:p w:rsidR="00415908" w:rsidRPr="00BF4405" w:rsidP="00BF4405" w14:paraId="07E0126E" w14:textId="19BD5795">
      <w:r>
        <w:rPr>
          <w:rFonts w:ascii="Times New Roman" w:hAnsi="Times New Roman" w:cs="Times New Roman"/>
        </w:rPr>
        <w:tab/>
      </w:r>
      <w:r w:rsidRPr="00BF4405" w:rsidR="00BF0C37">
        <w:rPr>
          <w:rFonts w:ascii="Times New Roman" w:hAnsi="Times New Roman" w:cs="Times New Roman"/>
        </w:rPr>
        <w:t>The Commission also revised the effective date and review procedures for initial decisions issued by an administrative law judge (ALJ) in program carriage, program access, and OVS proceedings to make them consistent with the Commission’s generally applicable procedures.</w:t>
      </w:r>
      <w:r>
        <w:rPr>
          <w:rStyle w:val="FootnoteReference"/>
          <w:rFonts w:ascii="Times New Roman" w:hAnsi="Times New Roman" w:cs="Times New Roman"/>
          <w:bCs/>
        </w:rPr>
        <w:footnoteReference w:id="7"/>
      </w:r>
      <w:r w:rsidRPr="00BF4405" w:rsidR="00BF0C37">
        <w:rPr>
          <w:rFonts w:ascii="Times New Roman" w:hAnsi="Times New Roman" w:cs="Times New Roman"/>
        </w:rPr>
        <w:t xml:space="preserve">  In practice, this means that rather than taking immediate effect and remaining in effect pending review, ALJ initial decisions in these contexts will not take effect for at least 50 days following release and will be stayed automatically upon the filing of exceptions.  As discussed fully in the FNPRM</w:t>
      </w:r>
      <w:r w:rsidR="00D2435B">
        <w:rPr>
          <w:rFonts w:ascii="Times New Roman" w:hAnsi="Times New Roman" w:cs="Times New Roman"/>
        </w:rPr>
        <w:t xml:space="preserve"> in this proceeding</w:t>
      </w:r>
      <w:r w:rsidRPr="00BF4405" w:rsidR="00BF0C37">
        <w:rPr>
          <w:rFonts w:ascii="Times New Roman" w:hAnsi="Times New Roman" w:cs="Times New Roman"/>
        </w:rPr>
        <w:t>,</w:t>
      </w:r>
      <w:r>
        <w:rPr>
          <w:rStyle w:val="FootnoteReference"/>
          <w:rFonts w:ascii="Times New Roman" w:hAnsi="Times New Roman" w:cs="Times New Roman"/>
        </w:rPr>
        <w:footnoteReference w:id="8"/>
      </w:r>
      <w:r w:rsidRPr="00BF4405" w:rsidR="00BF0C37">
        <w:rPr>
          <w:rFonts w:ascii="Times New Roman" w:hAnsi="Times New Roman" w:cs="Times New Roman"/>
        </w:rPr>
        <w:t xml:space="preserve"> the incongruous provisions concerning the effective date and review procedures for ALJ initial decisions in Part 76 and Part 1 of our rules have caused confusion for both parties and adjudicators and can create inconsistent outcomes </w:t>
      </w:r>
      <w:r w:rsidRPr="00BF4405" w:rsidR="00BF0C37">
        <w:rPr>
          <w:rFonts w:ascii="Times New Roman" w:hAnsi="Times New Roman" w:cs="Times New Roman"/>
        </w:rPr>
        <w:t>pending appeal.</w:t>
      </w:r>
      <w:r>
        <w:rPr>
          <w:rFonts w:ascii="Times New Roman" w:hAnsi="Times New Roman" w:cs="Times New Roman"/>
          <w:vertAlign w:val="superscript"/>
        </w:rPr>
        <w:footnoteReference w:id="9"/>
      </w:r>
      <w:r w:rsidRPr="00A42603" w:rsidR="00BF0C37">
        <w:rPr>
          <w:rFonts w:ascii="Times New Roman" w:hAnsi="Times New Roman" w:cs="Times New Roman"/>
          <w:vertAlign w:val="superscript"/>
        </w:rPr>
        <w:t xml:space="preserve"> </w:t>
      </w:r>
      <w:r w:rsidRPr="00BF4405" w:rsidR="00BF0C37">
        <w:rPr>
          <w:rFonts w:ascii="Times New Roman" w:hAnsi="Times New Roman" w:cs="Times New Roman"/>
        </w:rPr>
        <w:t xml:space="preserve"> </w:t>
      </w:r>
      <w:r w:rsidRPr="00BF4405" w:rsidR="00A1301B">
        <w:rPr>
          <w:rFonts w:ascii="Times New Roman" w:hAnsi="Times New Roman" w:cs="Times New Roman"/>
        </w:rPr>
        <w:t xml:space="preserve">The Commission </w:t>
      </w:r>
      <w:r w:rsidRPr="00BF4405" w:rsidR="00BF0C37">
        <w:rPr>
          <w:rFonts w:ascii="Times New Roman" w:hAnsi="Times New Roman" w:cs="Times New Roman"/>
        </w:rPr>
        <w:t>f</w:t>
      </w:r>
      <w:r w:rsidRPr="00BF4405" w:rsidR="00A1301B">
        <w:rPr>
          <w:rFonts w:ascii="Times New Roman" w:hAnsi="Times New Roman" w:cs="Times New Roman"/>
        </w:rPr>
        <w:t>ou</w:t>
      </w:r>
      <w:r w:rsidRPr="00BF4405" w:rsidR="00BF0C37">
        <w:rPr>
          <w:rFonts w:ascii="Times New Roman" w:hAnsi="Times New Roman" w:cs="Times New Roman"/>
        </w:rPr>
        <w:t xml:space="preserve">nd that this action will simplify and streamline the Commission’s procedures, which will reduce uncertainty and confusion for both parties and adjudicators.  </w:t>
      </w:r>
      <w:r w:rsidRPr="00BF4405" w:rsidR="009C551A">
        <w:rPr>
          <w:rFonts w:ascii="Times New Roman" w:hAnsi="Times New Roman" w:cs="Times New Roman"/>
        </w:rPr>
        <w:t xml:space="preserve">The Commission also established a 180-day aspirational shot-clock for circulating to the Commission a proposed ruling on review of an initial ALJ decision in program access, program carriage, and OVS proceedings that commences from the date that an aggrieved party appeals such initial decision.  </w:t>
      </w:r>
      <w:r w:rsidRPr="00BF4405" w:rsidR="007E4A84">
        <w:rPr>
          <w:rFonts w:ascii="Times New Roman" w:hAnsi="Times New Roman" w:cs="Times New Roman"/>
        </w:rPr>
        <w:t xml:space="preserve">This shot-clock applies to the Commission itself and parties involved in appeals of such initial decisions do not need to take any action for the shot-clock to apply.  </w:t>
      </w:r>
      <w:r w:rsidRPr="00BF4405" w:rsidR="009C551A">
        <w:rPr>
          <w:rFonts w:ascii="Times New Roman" w:hAnsi="Times New Roman" w:cs="Times New Roman"/>
        </w:rPr>
        <w:t>The Commission explained that</w:t>
      </w:r>
      <w:r w:rsidRPr="00BF4405" w:rsidR="000E2AD0">
        <w:rPr>
          <w:rFonts w:ascii="Times New Roman" w:hAnsi="Times New Roman" w:cs="Times New Roman"/>
        </w:rPr>
        <w:t xml:space="preserve"> although it is under no statutory obligation to review ALJ initial decisions within a specified timeframe, it agreed that </w:t>
      </w:r>
      <w:r w:rsidRPr="00BF4405" w:rsidR="003E11C3">
        <w:rPr>
          <w:rFonts w:ascii="Times New Roman" w:hAnsi="Times New Roman" w:cs="Times New Roman"/>
        </w:rPr>
        <w:t xml:space="preserve">adopting </w:t>
      </w:r>
      <w:r w:rsidRPr="00BF4405" w:rsidR="000E2AD0">
        <w:rPr>
          <w:rFonts w:ascii="Times New Roman" w:hAnsi="Times New Roman" w:cs="Times New Roman"/>
        </w:rPr>
        <w:t xml:space="preserve">such a timeframe would serve the public interest by limiting the harms to those programmers with finite litigation resources and expediting the resolution of complaints. </w:t>
      </w:r>
      <w:r w:rsidRPr="00BF4405" w:rsidR="009C551A">
        <w:rPr>
          <w:rFonts w:ascii="Times New Roman" w:hAnsi="Times New Roman" w:cs="Times New Roman"/>
        </w:rPr>
        <w:t xml:space="preserve"> </w:t>
      </w:r>
      <w:r w:rsidRPr="00BF4405" w:rsidR="000E2AD0">
        <w:rPr>
          <w:rFonts w:ascii="Times New Roman" w:hAnsi="Times New Roman" w:cs="Times New Roman"/>
        </w:rPr>
        <w:t>The Commission elaborated that it intended to apply this aspirational shot-clock to these specific appeals in the ordinary course and only anticipated suspending it under special circumstances.</w:t>
      </w:r>
      <w:r w:rsidRPr="00BF4405" w:rsidR="009C551A">
        <w:t xml:space="preserve">  </w:t>
      </w:r>
    </w:p>
    <w:p w:rsidR="00C62E5C" w14:paraId="3A2FAB33" w14:textId="77777777">
      <w:pPr>
        <w:tabs>
          <w:tab w:val="left" w:pos="720"/>
        </w:tabs>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COMPLIANCE REQUIREMENTS</w:t>
      </w:r>
    </w:p>
    <w:p w:rsidR="00BA28CA" w:rsidP="002963D1" w14:paraId="51C7A7EE" w14:textId="77777777">
      <w:pPr>
        <w:pStyle w:val="Heading2"/>
      </w:pPr>
      <w:r>
        <w:t>Program Carriage Statute of Limitations.</w:t>
      </w:r>
    </w:p>
    <w:p w:rsidR="002963D1" w:rsidRPr="00BF4405" w:rsidP="00BF4405" w14:paraId="0F6D59E2" w14:textId="45419023">
      <w:pPr>
        <w:rPr>
          <w:rFonts w:ascii="Times New Roman" w:hAnsi="Times New Roman" w:cs="Times New Roman"/>
        </w:rPr>
      </w:pPr>
      <w:r>
        <w:rPr>
          <w:rFonts w:ascii="Times New Roman" w:hAnsi="Times New Roman" w:cs="Times New Roman"/>
        </w:rPr>
        <w:tab/>
      </w:r>
      <w:r w:rsidRPr="00BF4405" w:rsidR="00242E0B">
        <w:rPr>
          <w:rFonts w:ascii="Times New Roman" w:hAnsi="Times New Roman" w:cs="Times New Roman"/>
        </w:rPr>
        <w:t>Section 76.13</w:t>
      </w:r>
      <w:r w:rsidRPr="00BF4405" w:rsidR="00B3050C">
        <w:rPr>
          <w:rFonts w:ascii="Times New Roman" w:hAnsi="Times New Roman" w:cs="Times New Roman"/>
        </w:rPr>
        <w:t>0</w:t>
      </w:r>
      <w:r w:rsidRPr="00BF4405" w:rsidR="00242E0B">
        <w:rPr>
          <w:rFonts w:ascii="Times New Roman" w:hAnsi="Times New Roman" w:cs="Times New Roman"/>
        </w:rPr>
        <w:t xml:space="preserve">1 of the Commission’s rules prohibits </w:t>
      </w:r>
      <w:r w:rsidRPr="00BF4405" w:rsidR="00CA7E9E">
        <w:rPr>
          <w:rFonts w:ascii="Times New Roman" w:hAnsi="Times New Roman" w:cs="Times New Roman"/>
        </w:rPr>
        <w:t xml:space="preserve">certain anti-competitive </w:t>
      </w:r>
      <w:r w:rsidRPr="00BF4405" w:rsidR="00242E0B">
        <w:rPr>
          <w:rFonts w:ascii="Times New Roman" w:hAnsi="Times New Roman" w:cs="Times New Roman"/>
        </w:rPr>
        <w:t xml:space="preserve">practices </w:t>
      </w:r>
      <w:r w:rsidRPr="00BF4405" w:rsidR="00242E0B">
        <w:rPr>
          <w:rFonts w:ascii="Times New Roman" w:hAnsi="Times New Roman" w:cs="Times New Roman"/>
        </w:rPr>
        <w:t>with regard to</w:t>
      </w:r>
      <w:r w:rsidRPr="00BF4405" w:rsidR="00242E0B">
        <w:rPr>
          <w:rFonts w:ascii="Times New Roman" w:hAnsi="Times New Roman" w:cs="Times New Roman"/>
        </w:rPr>
        <w:t xml:space="preserve"> </w:t>
      </w:r>
      <w:r w:rsidRPr="00BF4405" w:rsidR="00D8252F">
        <w:rPr>
          <w:rFonts w:ascii="Times New Roman" w:hAnsi="Times New Roman" w:cs="Times New Roman"/>
        </w:rPr>
        <w:t xml:space="preserve">program </w:t>
      </w:r>
      <w:r w:rsidRPr="00BF4405" w:rsidR="00242E0B">
        <w:rPr>
          <w:rFonts w:ascii="Times New Roman" w:hAnsi="Times New Roman" w:cs="Times New Roman"/>
        </w:rPr>
        <w:t>carriage agreements</w:t>
      </w:r>
      <w:r w:rsidRPr="00BF4405" w:rsidR="00CA7E9E">
        <w:rPr>
          <w:rFonts w:ascii="Times New Roman" w:hAnsi="Times New Roman" w:cs="Times New Roman"/>
        </w:rPr>
        <w:t>.  If a video programming vendor or MVPD is aggrieved by conduct that it believes constitutes a violation</w:t>
      </w:r>
      <w:r w:rsidRPr="00BF4405" w:rsidR="005C57D0">
        <w:rPr>
          <w:rFonts w:ascii="Times New Roman" w:hAnsi="Times New Roman" w:cs="Times New Roman"/>
        </w:rPr>
        <w:t xml:space="preserve"> of these regulations</w:t>
      </w:r>
      <w:r w:rsidRPr="00BF4405" w:rsidR="00CA7E9E">
        <w:rPr>
          <w:rFonts w:ascii="Times New Roman" w:hAnsi="Times New Roman" w:cs="Times New Roman"/>
        </w:rPr>
        <w:t>, section 76.1302</w:t>
      </w:r>
      <w:r w:rsidRPr="00BF4405" w:rsidR="005C57D0">
        <w:rPr>
          <w:rFonts w:ascii="Times New Roman" w:hAnsi="Times New Roman" w:cs="Times New Roman"/>
        </w:rPr>
        <w:t xml:space="preserve"> permits them to file a complaint with the Commission.  </w:t>
      </w:r>
    </w:p>
    <w:p w:rsidR="002963D1" w:rsidRPr="00BF4405" w:rsidP="00BF4405" w14:paraId="14398BD5" w14:textId="7F4363D4">
      <w:pPr>
        <w:rPr>
          <w:rFonts w:ascii="Times New Roman" w:hAnsi="Times New Roman" w:cs="Times New Roman"/>
          <w:bCs/>
        </w:rPr>
      </w:pPr>
      <w:r>
        <w:rPr>
          <w:rFonts w:ascii="Times New Roman" w:hAnsi="Times New Roman" w:cs="Times New Roman"/>
        </w:rPr>
        <w:tab/>
      </w:r>
      <w:r w:rsidRPr="00BF4405" w:rsidR="00D8252F">
        <w:rPr>
          <w:rFonts w:ascii="Times New Roman" w:hAnsi="Times New Roman" w:cs="Times New Roman"/>
        </w:rPr>
        <w:t xml:space="preserve">Previously, for a program carriage complaint to be timely filed under </w:t>
      </w:r>
      <w:r w:rsidRPr="00BF4405" w:rsidR="00B8224D">
        <w:rPr>
          <w:rFonts w:ascii="Times New Roman" w:hAnsi="Times New Roman" w:cs="Times New Roman"/>
        </w:rPr>
        <w:t>the Commission’s</w:t>
      </w:r>
      <w:r w:rsidRPr="00BF4405" w:rsidR="00D8252F">
        <w:rPr>
          <w:rFonts w:ascii="Times New Roman" w:hAnsi="Times New Roman" w:cs="Times New Roman"/>
        </w:rPr>
        <w:t xml:space="preserve"> rules, it had to be brought within one year of the date on which any of the following events occurs: (1) the defendant MVPD enters into a contract with a video programming vendor that a party alleges to violate the program carriage rules, (2) the defendant MVPD makes a carriage offer that allegedly violates the program carriage rules, and such offer is unrelated to any existing contract between the complainant and the MVPD; or (3) “[a] party has notified [an MVPD] that it intends to file a complaint with the Commission” based on a violation of the program carriage rules.</w:t>
      </w:r>
      <w:r>
        <w:rPr>
          <w:rStyle w:val="FootnoteReference"/>
          <w:rFonts w:ascii="Times New Roman" w:hAnsi="Times New Roman" w:cs="Times New Roman"/>
        </w:rPr>
        <w:footnoteReference w:id="10"/>
      </w:r>
      <w:r w:rsidRPr="00BF4405" w:rsidR="00D8252F">
        <w:rPr>
          <w:rFonts w:ascii="Times New Roman" w:hAnsi="Times New Roman" w:cs="Times New Roman"/>
        </w:rPr>
        <w:t xml:space="preserve">  As explained above, this third prong </w:t>
      </w:r>
      <w:r w:rsidRPr="00BF4405" w:rsidR="00D8252F">
        <w:rPr>
          <w:rFonts w:ascii="Times New Roman" w:hAnsi="Times New Roman" w:cs="Times New Roman"/>
          <w:bCs/>
        </w:rPr>
        <w:t xml:space="preserve">could be read to mean that a complaint would be </w:t>
      </w:r>
      <w:r w:rsidRPr="00BF4405" w:rsidR="00474207">
        <w:rPr>
          <w:rFonts w:ascii="Times New Roman" w:hAnsi="Times New Roman" w:cs="Times New Roman"/>
          <w:bCs/>
        </w:rPr>
        <w:t xml:space="preserve">deemed </w:t>
      </w:r>
      <w:r w:rsidRPr="00BF4405" w:rsidR="00D8252F">
        <w:rPr>
          <w:rFonts w:ascii="Times New Roman" w:hAnsi="Times New Roman" w:cs="Times New Roman"/>
          <w:bCs/>
        </w:rPr>
        <w:t xml:space="preserve">timely </w:t>
      </w:r>
      <w:r w:rsidRPr="00BF4405" w:rsidR="00474207">
        <w:rPr>
          <w:rFonts w:ascii="Times New Roman" w:hAnsi="Times New Roman" w:cs="Times New Roman"/>
          <w:bCs/>
        </w:rPr>
        <w:t xml:space="preserve">filed if brought </w:t>
      </w:r>
      <w:r w:rsidRPr="00BF4405" w:rsidR="00D8252F">
        <w:rPr>
          <w:rFonts w:ascii="Times New Roman" w:hAnsi="Times New Roman" w:cs="Times New Roman"/>
          <w:bCs/>
        </w:rPr>
        <w:t xml:space="preserve">within one year of the date on which a complainant notified the defendant MVPD of its intention to file a complaint, regardless of when the actual violation of the rules had occurred.  </w:t>
      </w:r>
    </w:p>
    <w:p w:rsidR="002963D1" w:rsidRPr="00BF4405" w:rsidP="00BF4405" w14:paraId="313B3467" w14:textId="5759C967">
      <w:pPr>
        <w:rPr>
          <w:rFonts w:ascii="Times New Roman" w:hAnsi="Times New Roman" w:cs="Times New Roman"/>
        </w:rPr>
      </w:pPr>
      <w:r>
        <w:rPr>
          <w:rFonts w:ascii="Times New Roman" w:hAnsi="Times New Roman" w:cs="Times New Roman"/>
          <w:bCs/>
        </w:rPr>
        <w:tab/>
      </w:r>
      <w:r w:rsidRPr="00BF4405" w:rsidR="00D8252F">
        <w:rPr>
          <w:rFonts w:ascii="Times New Roman" w:hAnsi="Times New Roman" w:cs="Times New Roman"/>
          <w:bCs/>
        </w:rPr>
        <w:t xml:space="preserve">Accordingly, </w:t>
      </w:r>
      <w:r w:rsidRPr="00BF4405" w:rsidR="000754AC">
        <w:rPr>
          <w:rFonts w:ascii="Times New Roman" w:hAnsi="Times New Roman" w:cs="Times New Roman"/>
          <w:bCs/>
        </w:rPr>
        <w:t xml:space="preserve">the Commission amended the third prong </w:t>
      </w:r>
      <w:r w:rsidRPr="00BF4405" w:rsidR="00750039">
        <w:rPr>
          <w:rFonts w:ascii="Times New Roman" w:hAnsi="Times New Roman" w:cs="Times New Roman"/>
        </w:rPr>
        <w:t xml:space="preserve">to clarify that it applies only in circumstances where there is not an existing program carriage contract or carriage offer and the defendant MVPD has denied or failed to acknowledge either a request for program carriage or a request to negotiate for program carriage.  </w:t>
      </w:r>
      <w:r w:rsidRPr="00BF4405" w:rsidR="00474207">
        <w:rPr>
          <w:rFonts w:ascii="Times New Roman" w:hAnsi="Times New Roman" w:cs="Times New Roman"/>
        </w:rPr>
        <w:t>As a result of this change</w:t>
      </w:r>
      <w:r w:rsidRPr="00BF4405" w:rsidR="001E614F">
        <w:rPr>
          <w:rFonts w:ascii="Times New Roman" w:hAnsi="Times New Roman" w:cs="Times New Roman"/>
        </w:rPr>
        <w:t xml:space="preserve">, </w:t>
      </w:r>
      <w:r w:rsidRPr="00BF4405" w:rsidR="00474207">
        <w:rPr>
          <w:rFonts w:ascii="Times New Roman" w:hAnsi="Times New Roman" w:cs="Times New Roman"/>
        </w:rPr>
        <w:t>a complainant</w:t>
      </w:r>
      <w:r w:rsidRPr="00BF4405" w:rsidR="001E614F">
        <w:rPr>
          <w:rFonts w:ascii="Times New Roman" w:hAnsi="Times New Roman" w:cs="Times New Roman"/>
        </w:rPr>
        <w:t xml:space="preserve"> </w:t>
      </w:r>
      <w:r w:rsidRPr="00BF4405" w:rsidR="006F4B98">
        <w:rPr>
          <w:rFonts w:ascii="Times New Roman" w:hAnsi="Times New Roman" w:cs="Times New Roman"/>
        </w:rPr>
        <w:t xml:space="preserve">relying on the third prong will now need to file </w:t>
      </w:r>
      <w:r w:rsidRPr="00BF4405" w:rsidR="00474207">
        <w:rPr>
          <w:rFonts w:ascii="Times New Roman" w:hAnsi="Times New Roman" w:cs="Times New Roman"/>
        </w:rPr>
        <w:t xml:space="preserve">its </w:t>
      </w:r>
      <w:r w:rsidRPr="00BF4405" w:rsidR="006F4B98">
        <w:rPr>
          <w:rFonts w:ascii="Times New Roman" w:hAnsi="Times New Roman" w:cs="Times New Roman"/>
        </w:rPr>
        <w:t xml:space="preserve">complaint within one year of the date on which the defendant MVPD </w:t>
      </w:r>
      <w:r w:rsidRPr="00BF4405" w:rsidR="009A64EC">
        <w:rPr>
          <w:rFonts w:ascii="Times New Roman" w:hAnsi="Times New Roman" w:cs="Times New Roman"/>
        </w:rPr>
        <w:t xml:space="preserve">has </w:t>
      </w:r>
      <w:r w:rsidRPr="00BF4405" w:rsidR="006F4B98">
        <w:rPr>
          <w:rFonts w:ascii="Times New Roman" w:hAnsi="Times New Roman" w:cs="Times New Roman"/>
        </w:rPr>
        <w:t>denie</w:t>
      </w:r>
      <w:r w:rsidRPr="00BF4405" w:rsidR="009A64EC">
        <w:rPr>
          <w:rFonts w:ascii="Times New Roman" w:hAnsi="Times New Roman" w:cs="Times New Roman"/>
        </w:rPr>
        <w:t>d</w:t>
      </w:r>
      <w:r w:rsidRPr="00BF4405" w:rsidR="006F4B98">
        <w:rPr>
          <w:rFonts w:ascii="Times New Roman" w:hAnsi="Times New Roman" w:cs="Times New Roman"/>
        </w:rPr>
        <w:t xml:space="preserve"> or fail</w:t>
      </w:r>
      <w:r w:rsidRPr="00BF4405" w:rsidR="009A64EC">
        <w:rPr>
          <w:rFonts w:ascii="Times New Roman" w:hAnsi="Times New Roman" w:cs="Times New Roman"/>
        </w:rPr>
        <w:t>ed</w:t>
      </w:r>
      <w:r w:rsidRPr="00BF4405" w:rsidR="006F4B98">
        <w:rPr>
          <w:rFonts w:ascii="Times New Roman" w:hAnsi="Times New Roman" w:cs="Times New Roman"/>
        </w:rPr>
        <w:t xml:space="preserve"> to acknowledge a request for carriage or to negotiate for carriage</w:t>
      </w:r>
      <w:r w:rsidRPr="00BF4405" w:rsidR="00474207">
        <w:rPr>
          <w:rFonts w:ascii="Times New Roman" w:hAnsi="Times New Roman" w:cs="Times New Roman"/>
        </w:rPr>
        <w:t xml:space="preserve"> in order for </w:t>
      </w:r>
      <w:r w:rsidRPr="00BF4405" w:rsidR="009A64EC">
        <w:rPr>
          <w:rFonts w:ascii="Times New Roman" w:hAnsi="Times New Roman" w:cs="Times New Roman"/>
        </w:rPr>
        <w:t>such complaint to be timely</w:t>
      </w:r>
      <w:r w:rsidRPr="00BF4405" w:rsidR="006F4B98">
        <w:rPr>
          <w:rFonts w:ascii="Times New Roman" w:hAnsi="Times New Roman" w:cs="Times New Roman"/>
        </w:rPr>
        <w:t xml:space="preserve">. </w:t>
      </w:r>
      <w:r w:rsidRPr="00BF4405" w:rsidR="003C5DB3">
        <w:rPr>
          <w:rFonts w:ascii="Times New Roman" w:hAnsi="Times New Roman" w:cs="Times New Roman"/>
        </w:rPr>
        <w:t xml:space="preserve"> </w:t>
      </w:r>
    </w:p>
    <w:p w:rsidR="002963D1" w:rsidRPr="00BF4405" w:rsidP="00BF4405" w14:paraId="781EA1CC" w14:textId="2A906B55">
      <w:pPr>
        <w:rPr>
          <w:rFonts w:ascii="Times New Roman" w:hAnsi="Times New Roman" w:cs="Times New Roman"/>
        </w:rPr>
      </w:pPr>
      <w:r>
        <w:rPr>
          <w:rFonts w:ascii="Times New Roman" w:hAnsi="Times New Roman" w:cs="Times New Roman"/>
        </w:rPr>
        <w:tab/>
      </w:r>
      <w:r w:rsidRPr="00BF4405" w:rsidR="006F4B98">
        <w:rPr>
          <w:rFonts w:ascii="Times New Roman" w:hAnsi="Times New Roman" w:cs="Times New Roman"/>
        </w:rPr>
        <w:t xml:space="preserve">The Commission explained that determining when an MVPD has denied or failed to acknowledge a request for carriage or a request to negotiate for carriage is an inherently fact-specific exercise and, therefore, such a determination </w:t>
      </w:r>
      <w:r w:rsidRPr="00BF4405" w:rsidR="00906A78">
        <w:rPr>
          <w:rFonts w:ascii="Times New Roman" w:hAnsi="Times New Roman" w:cs="Times New Roman"/>
        </w:rPr>
        <w:t>will</w:t>
      </w:r>
      <w:r w:rsidRPr="00BF4405" w:rsidR="006F4B98">
        <w:rPr>
          <w:rFonts w:ascii="Times New Roman" w:hAnsi="Times New Roman" w:cs="Times New Roman"/>
        </w:rPr>
        <w:t xml:space="preserve"> be made on a case-by-case basis.</w:t>
      </w:r>
      <w:r w:rsidRPr="00BF4405" w:rsidR="008A4F59">
        <w:rPr>
          <w:rFonts w:ascii="Times New Roman" w:hAnsi="Times New Roman" w:cs="Times New Roman"/>
        </w:rPr>
        <w:t xml:space="preserve">  The Commission further elaborated that it would be appropriate for a programmer to request an answer by a reasonable date, after which it may consider an MVPD’s failure to respond to constitute a denial of its request for purposes of triggering the third prong of the statute of limitations.</w:t>
      </w:r>
    </w:p>
    <w:p w:rsidR="001E614F" w:rsidRPr="00482CB9" w:rsidP="00BF4405" w14:paraId="3B7D5A9E" w14:textId="01725979">
      <w:r>
        <w:rPr>
          <w:rFonts w:ascii="Times New Roman" w:hAnsi="Times New Roman" w:cs="Times New Roman"/>
        </w:rPr>
        <w:tab/>
      </w:r>
      <w:r w:rsidRPr="00BF4405" w:rsidR="008A4F59">
        <w:rPr>
          <w:rFonts w:ascii="Times New Roman" w:hAnsi="Times New Roman" w:cs="Times New Roman"/>
        </w:rPr>
        <w:t xml:space="preserve">Finally, the Commission also amended the parallel prongs in the statutes of limitations for program access, OVS, and good-faith retransmission consent complaints so that they run from the date that a potential defendant has denied or failed to acknowledge an offer or a request to negotiate, rather than from the date a potential complainant provides notice of its intent to file on that basis.  </w:t>
      </w:r>
      <w:r w:rsidRPr="00BF4405" w:rsidR="00DD4A0D">
        <w:rPr>
          <w:rFonts w:ascii="Times New Roman" w:hAnsi="Times New Roman" w:cs="Times New Roman"/>
        </w:rPr>
        <w:t xml:space="preserve">For such complaints to be deemed timely filed, therefore, </w:t>
      </w:r>
      <w:r w:rsidRPr="00BF4405" w:rsidR="008A4F59">
        <w:rPr>
          <w:rFonts w:ascii="Times New Roman" w:hAnsi="Times New Roman" w:cs="Times New Roman"/>
        </w:rPr>
        <w:t xml:space="preserve">complainants in </w:t>
      </w:r>
      <w:r w:rsidRPr="00BF4405" w:rsidR="00DD4A0D">
        <w:rPr>
          <w:rFonts w:ascii="Times New Roman" w:hAnsi="Times New Roman" w:cs="Times New Roman"/>
        </w:rPr>
        <w:t>such contexts</w:t>
      </w:r>
      <w:r w:rsidRPr="00BF4405" w:rsidR="009A64EC">
        <w:rPr>
          <w:rFonts w:ascii="Times New Roman" w:hAnsi="Times New Roman" w:cs="Times New Roman"/>
        </w:rPr>
        <w:t xml:space="preserve"> </w:t>
      </w:r>
      <w:r w:rsidRPr="00BF4405" w:rsidR="008A4F59">
        <w:rPr>
          <w:rFonts w:ascii="Times New Roman" w:hAnsi="Times New Roman" w:cs="Times New Roman"/>
        </w:rPr>
        <w:t xml:space="preserve">will need </w:t>
      </w:r>
      <w:r w:rsidRPr="00BF4405" w:rsidR="00482CB9">
        <w:rPr>
          <w:rFonts w:ascii="Times New Roman" w:hAnsi="Times New Roman" w:cs="Times New Roman"/>
        </w:rPr>
        <w:t xml:space="preserve">to </w:t>
      </w:r>
      <w:r w:rsidRPr="00BF4405" w:rsidR="008A4F59">
        <w:rPr>
          <w:rFonts w:ascii="Times New Roman" w:hAnsi="Times New Roman" w:cs="Times New Roman"/>
        </w:rPr>
        <w:t xml:space="preserve">file </w:t>
      </w:r>
      <w:r w:rsidRPr="00BF4405" w:rsidR="00DD4A0D">
        <w:rPr>
          <w:rFonts w:ascii="Times New Roman" w:hAnsi="Times New Roman" w:cs="Times New Roman"/>
        </w:rPr>
        <w:t xml:space="preserve">their complaints </w:t>
      </w:r>
      <w:r w:rsidRPr="00BF4405" w:rsidR="008A4F59">
        <w:rPr>
          <w:rFonts w:ascii="Times New Roman" w:hAnsi="Times New Roman" w:cs="Times New Roman"/>
        </w:rPr>
        <w:t xml:space="preserve">within one year of the date that a defendant </w:t>
      </w:r>
      <w:r w:rsidRPr="00BF4405" w:rsidR="00DD4A0D">
        <w:rPr>
          <w:rFonts w:ascii="Times New Roman" w:hAnsi="Times New Roman" w:cs="Times New Roman"/>
        </w:rPr>
        <w:t xml:space="preserve">has </w:t>
      </w:r>
      <w:r w:rsidRPr="00BF4405" w:rsidR="008A4F59">
        <w:rPr>
          <w:rFonts w:ascii="Times New Roman" w:hAnsi="Times New Roman" w:cs="Times New Roman"/>
        </w:rPr>
        <w:t>denie</w:t>
      </w:r>
      <w:r w:rsidRPr="00BF4405" w:rsidR="00DD4A0D">
        <w:rPr>
          <w:rFonts w:ascii="Times New Roman" w:hAnsi="Times New Roman" w:cs="Times New Roman"/>
        </w:rPr>
        <w:t>d</w:t>
      </w:r>
      <w:r w:rsidRPr="00BF4405" w:rsidR="008A4F59">
        <w:rPr>
          <w:rFonts w:ascii="Times New Roman" w:hAnsi="Times New Roman" w:cs="Times New Roman"/>
        </w:rPr>
        <w:t xml:space="preserve"> or fail</w:t>
      </w:r>
      <w:r w:rsidRPr="00BF4405" w:rsidR="00DD4A0D">
        <w:rPr>
          <w:rFonts w:ascii="Times New Roman" w:hAnsi="Times New Roman" w:cs="Times New Roman"/>
        </w:rPr>
        <w:t>ed</w:t>
      </w:r>
      <w:r w:rsidRPr="00BF4405" w:rsidR="008A4F59">
        <w:rPr>
          <w:rFonts w:ascii="Times New Roman" w:hAnsi="Times New Roman" w:cs="Times New Roman"/>
        </w:rPr>
        <w:t xml:space="preserve"> to acknowledge a request</w:t>
      </w:r>
      <w:r w:rsidRPr="00BF4405" w:rsidR="00482CB9">
        <w:rPr>
          <w:rFonts w:ascii="Times New Roman" w:hAnsi="Times New Roman" w:cs="Times New Roman"/>
        </w:rPr>
        <w:t xml:space="preserve"> if relying on the third prong of the respective statutes of limitations.</w:t>
      </w:r>
      <w:r w:rsidR="00482CB9">
        <w:t xml:space="preserve"> </w:t>
      </w:r>
    </w:p>
    <w:p w:rsidR="00BA28CA" w:rsidP="002963D1" w14:paraId="530A3C9C" w14:textId="77777777">
      <w:pPr>
        <w:pStyle w:val="Heading2"/>
      </w:pPr>
      <w:r>
        <w:t>Part 76 ALJ Initial Decision Effective Date and Review Procedures.</w:t>
      </w:r>
    </w:p>
    <w:p w:rsidR="002963D1" w:rsidRPr="00BF4405" w:rsidP="00BF4405" w14:paraId="76D712BC" w14:textId="1ADF3646">
      <w:pPr>
        <w:rPr>
          <w:rFonts w:ascii="Times New Roman" w:hAnsi="Times New Roman" w:cs="Times New Roman"/>
        </w:rPr>
      </w:pPr>
      <w:r>
        <w:rPr>
          <w:rFonts w:ascii="Times New Roman" w:hAnsi="Times New Roman" w:cs="Times New Roman"/>
        </w:rPr>
        <w:tab/>
      </w:r>
      <w:r w:rsidRPr="00BF4405" w:rsidR="00F27754">
        <w:rPr>
          <w:rFonts w:ascii="Times New Roman" w:hAnsi="Times New Roman" w:cs="Times New Roman"/>
        </w:rPr>
        <w:t xml:space="preserve">The Commission rules also permit the Chief of the Media Bureau to refer a program carriage dispute to an ALJ for a hearing on the merits if a complainant establishes that a </w:t>
      </w:r>
      <w:r w:rsidRPr="00BF4405" w:rsidR="00F27754">
        <w:rPr>
          <w:rFonts w:ascii="Times New Roman" w:hAnsi="Times New Roman" w:cs="Times New Roman"/>
          <w:i/>
          <w:iCs/>
        </w:rPr>
        <w:t>prima facie</w:t>
      </w:r>
      <w:r w:rsidRPr="00BF4405" w:rsidR="00F27754">
        <w:rPr>
          <w:rFonts w:ascii="Times New Roman" w:hAnsi="Times New Roman" w:cs="Times New Roman"/>
        </w:rPr>
        <w:t xml:space="preserve"> violation of section 76.1301 has occurred.</w:t>
      </w:r>
      <w:r>
        <w:rPr>
          <w:rStyle w:val="FootnoteReference"/>
          <w:rFonts w:ascii="Times New Roman" w:hAnsi="Times New Roman" w:cs="Times New Roman"/>
        </w:rPr>
        <w:footnoteReference w:id="11"/>
      </w:r>
      <w:r w:rsidRPr="00BF4405" w:rsidR="00F27754">
        <w:rPr>
          <w:rFonts w:ascii="Times New Roman" w:hAnsi="Times New Roman" w:cs="Times New Roman"/>
        </w:rPr>
        <w:t xml:space="preserve">  After an ALJ conducts such hearing, </w:t>
      </w:r>
      <w:r w:rsidRPr="00BF4405" w:rsidR="00C70F2E">
        <w:rPr>
          <w:rFonts w:ascii="Times New Roman" w:hAnsi="Times New Roman" w:cs="Times New Roman"/>
        </w:rPr>
        <w:t xml:space="preserve">section 76.10 of the </w:t>
      </w:r>
      <w:r w:rsidRPr="00BF4405" w:rsidR="00F27754">
        <w:rPr>
          <w:rFonts w:ascii="Times New Roman" w:hAnsi="Times New Roman" w:cs="Times New Roman"/>
        </w:rPr>
        <w:t>Commission</w:t>
      </w:r>
      <w:r w:rsidRPr="00BF4405" w:rsidR="00C70F2E">
        <w:rPr>
          <w:rFonts w:ascii="Times New Roman" w:hAnsi="Times New Roman" w:cs="Times New Roman"/>
        </w:rPr>
        <w:t>’s</w:t>
      </w:r>
      <w:r w:rsidRPr="00BF4405" w:rsidR="00F27754">
        <w:rPr>
          <w:rFonts w:ascii="Times New Roman" w:hAnsi="Times New Roman" w:cs="Times New Roman"/>
        </w:rPr>
        <w:t xml:space="preserve"> rules govern</w:t>
      </w:r>
      <w:r w:rsidRPr="00BF4405" w:rsidR="00C70F2E">
        <w:rPr>
          <w:rFonts w:ascii="Times New Roman" w:hAnsi="Times New Roman" w:cs="Times New Roman"/>
        </w:rPr>
        <w:t>s</w:t>
      </w:r>
      <w:r w:rsidRPr="00BF4405" w:rsidR="00F27754">
        <w:rPr>
          <w:rFonts w:ascii="Times New Roman" w:hAnsi="Times New Roman" w:cs="Times New Roman"/>
        </w:rPr>
        <w:t xml:space="preserve"> the effective date </w:t>
      </w:r>
      <w:r w:rsidRPr="00BF4405" w:rsidR="00C70F2E">
        <w:rPr>
          <w:rFonts w:ascii="Times New Roman" w:hAnsi="Times New Roman" w:cs="Times New Roman"/>
        </w:rPr>
        <w:t xml:space="preserve">of an initial ALJ decision in this context </w:t>
      </w:r>
      <w:r w:rsidRPr="00BF4405" w:rsidR="00F27754">
        <w:rPr>
          <w:rFonts w:ascii="Times New Roman" w:hAnsi="Times New Roman" w:cs="Times New Roman"/>
        </w:rPr>
        <w:t xml:space="preserve">and </w:t>
      </w:r>
      <w:r w:rsidRPr="00BF4405" w:rsidR="00C70F2E">
        <w:rPr>
          <w:rFonts w:ascii="Times New Roman" w:hAnsi="Times New Roman" w:cs="Times New Roman"/>
        </w:rPr>
        <w:t>whether that decision will remain in effect pending review.</w:t>
      </w:r>
      <w:r>
        <w:rPr>
          <w:rStyle w:val="FootnoteReference"/>
          <w:rFonts w:ascii="Times New Roman" w:hAnsi="Times New Roman" w:cs="Times New Roman"/>
        </w:rPr>
        <w:footnoteReference w:id="12"/>
      </w:r>
      <w:r w:rsidRPr="00BF4405" w:rsidR="00C70F2E">
        <w:rPr>
          <w:rFonts w:ascii="Times New Roman" w:hAnsi="Times New Roman" w:cs="Times New Roman"/>
        </w:rPr>
        <w:t xml:space="preserve">  This same rule also governs the effective date and whether a decision remains in effect pending appeal for program access and OVS disputes.</w:t>
      </w:r>
    </w:p>
    <w:p w:rsidR="002963D1" w:rsidRPr="00BF4405" w:rsidP="00BF4405" w14:paraId="42CC320A" w14:textId="0031E191">
      <w:pPr>
        <w:rPr>
          <w:rFonts w:ascii="Times New Roman" w:hAnsi="Times New Roman" w:cs="Times New Roman"/>
        </w:rPr>
      </w:pPr>
      <w:r>
        <w:rPr>
          <w:rFonts w:ascii="Times New Roman" w:hAnsi="Times New Roman" w:cs="Times New Roman"/>
        </w:rPr>
        <w:tab/>
      </w:r>
      <w:r w:rsidRPr="00BF4405" w:rsidR="00F27754">
        <w:rPr>
          <w:rFonts w:ascii="Times New Roman" w:hAnsi="Times New Roman" w:cs="Times New Roman"/>
        </w:rPr>
        <w:t xml:space="preserve">Previously, </w:t>
      </w:r>
      <w:r w:rsidRPr="00BF4405" w:rsidR="00C07BF1">
        <w:rPr>
          <w:rFonts w:ascii="Times New Roman" w:hAnsi="Times New Roman" w:cs="Times New Roman"/>
        </w:rPr>
        <w:t xml:space="preserve">this rule has </w:t>
      </w:r>
      <w:r w:rsidRPr="00BF4405" w:rsidR="00C07BF1">
        <w:rPr>
          <w:rFonts w:ascii="Times New Roman" w:hAnsi="Times New Roman" w:cs="Times New Roman"/>
        </w:rPr>
        <w:t>provided that</w:t>
      </w:r>
      <w:r w:rsidRPr="00BF4405" w:rsidR="00C07BF1">
        <w:rPr>
          <w:rFonts w:ascii="Times New Roman" w:hAnsi="Times New Roman" w:cs="Times New Roman"/>
        </w:rPr>
        <w:t xml:space="preserve"> decisions issued by an ALJ in these three contexts will become effective upon release and remain in effect pending Commission review. </w:t>
      </w:r>
      <w:r w:rsidRPr="00BF4405" w:rsidR="00AA3446">
        <w:rPr>
          <w:rFonts w:ascii="Times New Roman" w:hAnsi="Times New Roman" w:cs="Times New Roman"/>
        </w:rPr>
        <w:t xml:space="preserve"> </w:t>
      </w:r>
      <w:r w:rsidRPr="00BF4405" w:rsidR="00C07BF1">
        <w:rPr>
          <w:rFonts w:ascii="Times New Roman" w:hAnsi="Times New Roman" w:cs="Times New Roman"/>
        </w:rPr>
        <w:t>This differs from the generally applicable procedures in Part 1 of the Commission’s rules</w:t>
      </w:r>
      <w:r w:rsidRPr="00BF4405" w:rsidR="00FB3452">
        <w:rPr>
          <w:rFonts w:ascii="Times New Roman" w:hAnsi="Times New Roman" w:cs="Times New Roman"/>
        </w:rPr>
        <w:t>,</w:t>
      </w:r>
      <w:r w:rsidRPr="00BF4405" w:rsidR="00C07BF1">
        <w:rPr>
          <w:rFonts w:ascii="Times New Roman" w:hAnsi="Times New Roman" w:cs="Times New Roman"/>
        </w:rPr>
        <w:t xml:space="preserve"> which dictate that ALJ initial decisions do not become effective before 50 days after the public release of the decision, unless otherwise ordered by the Commission, and that ALJ initial decisions are automatically stayed upon the timely filing of exceptions.  As noted above, these incongruous procedural provisions in the rules have caused confusion for both parties and adjudicators in the past and can create inconsistent outcomes pending appeal.</w:t>
      </w:r>
    </w:p>
    <w:p w:rsidR="002963D1" w:rsidRPr="00BF4405" w:rsidP="00BF4405" w14:paraId="1D418DF7" w14:textId="14A73741">
      <w:pPr>
        <w:rPr>
          <w:rFonts w:ascii="Times New Roman" w:hAnsi="Times New Roman" w:cs="Times New Roman"/>
        </w:rPr>
      </w:pPr>
      <w:r>
        <w:rPr>
          <w:rFonts w:ascii="Times New Roman" w:hAnsi="Times New Roman" w:cs="Times New Roman"/>
        </w:rPr>
        <w:tab/>
      </w:r>
      <w:r w:rsidRPr="00BF4405" w:rsidR="001F6DCB">
        <w:rPr>
          <w:rFonts w:ascii="Times New Roman" w:hAnsi="Times New Roman" w:cs="Times New Roman"/>
        </w:rPr>
        <w:t>T</w:t>
      </w:r>
      <w:r w:rsidRPr="00BF4405" w:rsidR="00FB3452">
        <w:rPr>
          <w:rFonts w:ascii="Times New Roman" w:hAnsi="Times New Roman" w:cs="Times New Roman"/>
        </w:rPr>
        <w:t>o address these problems</w:t>
      </w:r>
      <w:r w:rsidRPr="00BF4405" w:rsidR="001F6DCB">
        <w:rPr>
          <w:rFonts w:ascii="Times New Roman" w:hAnsi="Times New Roman" w:cs="Times New Roman"/>
        </w:rPr>
        <w:t xml:space="preserve">, the Commission </w:t>
      </w:r>
      <w:r w:rsidRPr="00BF4405" w:rsidR="00FB3452">
        <w:rPr>
          <w:rFonts w:ascii="Times New Roman" w:hAnsi="Times New Roman" w:cs="Times New Roman"/>
        </w:rPr>
        <w:t xml:space="preserve">revised its rules </w:t>
      </w:r>
      <w:r w:rsidRPr="00BF4405" w:rsidR="001F6DCB">
        <w:rPr>
          <w:rFonts w:ascii="Times New Roman" w:hAnsi="Times New Roman" w:cs="Times New Roman"/>
        </w:rPr>
        <w:t xml:space="preserve">to harmonize the procedures governing the effective date and review of initial ALJ decisions in program carriage, program access, and OVS proceedings with the generally applicable procedures in Part 1 of the Commission’s rules.  In practice, this means that rather than taking immediate effect and remaining in effect pending Commission review, ALJ initial decisions in these contexts will not take effect for at least 50 days following release and will be stayed automatically upon the filing of exceptions. </w:t>
      </w:r>
    </w:p>
    <w:p w:rsidR="00D2435B" w14:paraId="576E59C9" w14:textId="2B5575DE">
      <w:r>
        <w:rPr>
          <w:rFonts w:ascii="Times New Roman" w:hAnsi="Times New Roman" w:cs="Times New Roman"/>
        </w:rPr>
        <w:tab/>
      </w:r>
      <w:r w:rsidRPr="00BF4405" w:rsidR="001F6DCB">
        <w:rPr>
          <w:rFonts w:ascii="Times New Roman" w:hAnsi="Times New Roman" w:cs="Times New Roman"/>
        </w:rPr>
        <w:t>Some commenters expressed concern about the effect of prolonged program carriage disputes on unaffiliated programmers that could result from staying the effectiveness of ALJ initial decisions during review.  To alleviate this concern, the Commission also established a 180-day aspirational shot-clock for circulating to the Commission a proposed ruling on review of an initial ALJ decision in program access, program carriage, and OVS proceedings that commences from the date that an aggrieved party appeals such initial decision.  The Commission explained that creating this aspirational shot-clock would establish clearer expectations for all parties involved and facilitate prompt review of ALJ initial decisions by the Commission.</w:t>
      </w:r>
    </w:p>
    <w:p w:rsidR="00A42603" w:rsidRPr="00D2435B" w14:paraId="08979740" w14:textId="77777777"/>
    <w:p w:rsidR="00C62E5C" w14:paraId="66B217F3" w14:textId="77777777">
      <w:pPr>
        <w:tabs>
          <w:tab w:val="left" w:pos="720"/>
        </w:tabs>
        <w:spacing w:after="0"/>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t>RECORDKEEPING AND REPORTING REQUIREMENTS</w:t>
      </w:r>
    </w:p>
    <w:p w:rsidR="00C62E5C" w14:paraId="594DA0B0" w14:textId="77777777">
      <w:pPr>
        <w:spacing w:after="0"/>
        <w:rPr>
          <w:rFonts w:ascii="Times New Roman" w:hAnsi="Times New Roman" w:cs="Times New Roman"/>
          <w:color w:val="010101"/>
        </w:rPr>
      </w:pPr>
    </w:p>
    <w:p w:rsidR="00C62E5C" w14:paraId="121A70DC" w14:textId="7E761533">
      <w:pPr>
        <w:spacing w:after="0"/>
        <w:rPr>
          <w:rFonts w:ascii="Times New Roman" w:hAnsi="Times New Roman" w:cs="Times New Roman"/>
          <w:color w:val="010101"/>
        </w:rPr>
      </w:pPr>
      <w:r>
        <w:rPr>
          <w:rFonts w:ascii="Times New Roman" w:hAnsi="Times New Roman" w:cs="Times New Roman"/>
          <w:color w:val="010101"/>
        </w:rPr>
        <w:tab/>
      </w:r>
      <w:r w:rsidR="005368AD">
        <w:rPr>
          <w:rFonts w:ascii="Times New Roman" w:hAnsi="Times New Roman" w:cs="Times New Roman"/>
          <w:color w:val="010101"/>
        </w:rPr>
        <w:t xml:space="preserve">The Commission’s actions in the </w:t>
      </w:r>
      <w:r w:rsidR="005368AD">
        <w:rPr>
          <w:rFonts w:ascii="Times New Roman" w:hAnsi="Times New Roman" w:cs="Times New Roman"/>
          <w:i/>
          <w:color w:val="010101"/>
        </w:rPr>
        <w:t>Report and Order</w:t>
      </w:r>
      <w:r w:rsidR="005368AD">
        <w:rPr>
          <w:rFonts w:ascii="Times New Roman" w:hAnsi="Times New Roman" w:cs="Times New Roman"/>
          <w:color w:val="010101"/>
        </w:rPr>
        <w:t xml:space="preserve"> did not create any new recordkeeping or reporting requirements.</w:t>
      </w:r>
    </w:p>
    <w:p w:rsidR="00C62E5C" w14:paraId="1B685123" w14:textId="77777777">
      <w:pPr>
        <w:spacing w:after="0"/>
        <w:rPr>
          <w:rFonts w:ascii="Times New Roman" w:hAnsi="Times New Roman" w:cs="Times New Roman"/>
          <w:b/>
        </w:rPr>
      </w:pPr>
    </w:p>
    <w:p w:rsidR="00C62E5C" w14:paraId="0BFD5B73" w14:textId="77777777">
      <w:pPr>
        <w:tabs>
          <w:tab w:val="left" w:pos="720"/>
        </w:tabs>
        <w:spacing w:after="0"/>
        <w:rPr>
          <w:rFonts w:ascii="Times New Roman" w:hAnsi="Times New Roman" w:cs="Times New Roman"/>
          <w:b/>
        </w:rPr>
      </w:pPr>
      <w:r>
        <w:rPr>
          <w:rFonts w:ascii="Times New Roman" w:hAnsi="Times New Roman" w:cs="Times New Roman"/>
          <w:b/>
        </w:rPr>
        <w:t xml:space="preserve">IV. </w:t>
      </w:r>
      <w:r>
        <w:rPr>
          <w:rFonts w:ascii="Times New Roman" w:hAnsi="Times New Roman" w:cs="Times New Roman"/>
          <w:b/>
        </w:rPr>
        <w:tab/>
        <w:t>IMPLEMENTATION DATE</w:t>
      </w:r>
    </w:p>
    <w:p w:rsidR="00C62E5C" w14:paraId="11A9F2F1" w14:textId="77777777">
      <w:pPr>
        <w:tabs>
          <w:tab w:val="left" w:pos="720"/>
        </w:tabs>
        <w:spacing w:after="0"/>
        <w:rPr>
          <w:rFonts w:ascii="Times New Roman" w:hAnsi="Times New Roman" w:cs="Times New Roman"/>
        </w:rPr>
      </w:pPr>
    </w:p>
    <w:p w:rsidR="00C62E5C" w14:paraId="3FD9C8D0" w14:textId="1318535F">
      <w:pPr>
        <w:tabs>
          <w:tab w:val="left" w:pos="720"/>
        </w:tabs>
        <w:spacing w:after="0"/>
      </w:pPr>
      <w:r>
        <w:rPr>
          <w:rFonts w:ascii="Times New Roman" w:hAnsi="Times New Roman" w:cs="Times New Roman"/>
        </w:rPr>
        <w:tab/>
      </w:r>
      <w:r w:rsidR="005368AD">
        <w:rPr>
          <w:rFonts w:ascii="Times New Roman" w:hAnsi="Times New Roman" w:cs="Times New Roman"/>
        </w:rPr>
        <w:t xml:space="preserve">The rules </w:t>
      </w:r>
      <w:r w:rsidR="00730EE1">
        <w:rPr>
          <w:rFonts w:ascii="Times New Roman" w:hAnsi="Times New Roman" w:cs="Times New Roman"/>
        </w:rPr>
        <w:t xml:space="preserve">as amended </w:t>
      </w:r>
      <w:r w:rsidR="005368AD">
        <w:rPr>
          <w:rFonts w:ascii="Times New Roman" w:hAnsi="Times New Roman" w:cs="Times New Roman"/>
        </w:rPr>
        <w:t xml:space="preserve">in the </w:t>
      </w:r>
      <w:r w:rsidR="005368AD">
        <w:rPr>
          <w:rFonts w:ascii="Times New Roman" w:hAnsi="Times New Roman" w:cs="Times New Roman"/>
          <w:i/>
        </w:rPr>
        <w:t>Report and Order</w:t>
      </w:r>
      <w:r w:rsidR="005368AD">
        <w:rPr>
          <w:rFonts w:ascii="Times New Roman" w:hAnsi="Times New Roman" w:cs="Times New Roman"/>
        </w:rPr>
        <w:t xml:space="preserve"> </w:t>
      </w:r>
      <w:r w:rsidR="00730EE1">
        <w:rPr>
          <w:rFonts w:ascii="Times New Roman" w:hAnsi="Times New Roman" w:cs="Times New Roman"/>
        </w:rPr>
        <w:t>are</w:t>
      </w:r>
      <w:r w:rsidR="005368AD">
        <w:rPr>
          <w:rFonts w:ascii="Times New Roman" w:hAnsi="Times New Roman" w:cs="Times New Roman"/>
        </w:rPr>
        <w:t xml:space="preserve"> effective </w:t>
      </w:r>
      <w:r w:rsidR="00307F45">
        <w:rPr>
          <w:rFonts w:ascii="Times New Roman" w:hAnsi="Times New Roman" w:cs="Times New Roman"/>
        </w:rPr>
        <w:t>30 days after</w:t>
      </w:r>
      <w:r w:rsidR="005368AD">
        <w:rPr>
          <w:rFonts w:ascii="Times New Roman" w:hAnsi="Times New Roman" w:cs="Times New Roman"/>
        </w:rPr>
        <w:t xml:space="preserve"> the date of publication of a summary in the Federal Register.  The summary was published in the Federal Register on </w:t>
      </w:r>
      <w:r w:rsidRPr="00790B32" w:rsidR="00790B32">
        <w:rPr>
          <w:rFonts w:ascii="Times New Roman" w:hAnsi="Times New Roman" w:cs="Times New Roman"/>
        </w:rPr>
        <w:t>December 17</w:t>
      </w:r>
      <w:r w:rsidRPr="00790B32" w:rsidR="005368AD">
        <w:rPr>
          <w:rFonts w:ascii="Times New Roman" w:hAnsi="Times New Roman" w:cs="Times New Roman"/>
        </w:rPr>
        <w:t>,</w:t>
      </w:r>
      <w:r w:rsidR="005368AD">
        <w:rPr>
          <w:rFonts w:ascii="Times New Roman" w:hAnsi="Times New Roman" w:cs="Times New Roman"/>
        </w:rPr>
        <w:t xml:space="preserve"> 2020</w:t>
      </w:r>
      <w:r w:rsidR="00790B32">
        <w:rPr>
          <w:rFonts w:ascii="Times New Roman" w:hAnsi="Times New Roman" w:cs="Times New Roman"/>
        </w:rPr>
        <w:t xml:space="preserve"> and the rules will take effect on January 19, 2021.</w:t>
      </w:r>
    </w:p>
    <w:p w:rsidR="00C62E5C" w14:paraId="20F9B56C" w14:textId="77777777">
      <w:pPr>
        <w:pStyle w:val="ParaNum"/>
        <w:numPr>
          <w:ilvl w:val="0"/>
          <w:numId w:val="0"/>
        </w:numPr>
        <w:ind w:firstLine="720"/>
      </w:pPr>
    </w:p>
    <w:p w:rsidR="00C62E5C" w14:paraId="26B1AC41" w14:textId="77777777">
      <w:pPr>
        <w:tabs>
          <w:tab w:val="left" w:pos="720"/>
        </w:tabs>
        <w:spacing w:after="0"/>
        <w:rPr>
          <w:rFonts w:ascii="Times New Roman" w:hAnsi="Times New Roman" w:cs="Times New Roman"/>
          <w:b/>
        </w:rPr>
      </w:pPr>
      <w:r>
        <w:rPr>
          <w:rFonts w:ascii="Times New Roman" w:hAnsi="Times New Roman" w:cs="Times New Roman"/>
          <w:b/>
        </w:rPr>
        <w:t>V.</w:t>
      </w:r>
      <w:r>
        <w:rPr>
          <w:rFonts w:ascii="Times New Roman" w:hAnsi="Times New Roman" w:cs="Times New Roman"/>
          <w:b/>
        </w:rPr>
        <w:tab/>
        <w:t>INTERNET LINKS</w:t>
      </w:r>
    </w:p>
    <w:p w:rsidR="00C62E5C" w14:paraId="092A000D" w14:textId="77777777">
      <w:pPr>
        <w:spacing w:after="0"/>
        <w:rPr>
          <w:rFonts w:ascii="Times New Roman" w:hAnsi="Times New Roman" w:cs="Times New Roman"/>
          <w:b/>
        </w:rPr>
      </w:pPr>
    </w:p>
    <w:p w:rsidR="00C62E5C" w14:paraId="2B509C4F" w14:textId="77777777">
      <w:pPr>
        <w:spacing w:after="0"/>
        <w:rPr>
          <w:rFonts w:ascii="Times New Roman" w:hAnsi="Times New Roman" w:cs="Times New Roman"/>
          <w:b/>
        </w:rPr>
      </w:pPr>
      <w:r>
        <w:rPr>
          <w:rFonts w:ascii="Times New Roman" w:hAnsi="Times New Roman" w:cs="Times New Roman"/>
          <w:b/>
        </w:rPr>
        <w:t xml:space="preserve">A copy of </w:t>
      </w:r>
      <w:r w:rsidRPr="00415908">
        <w:rPr>
          <w:rFonts w:ascii="Times New Roman" w:hAnsi="Times New Roman" w:cs="Times New Roman"/>
          <w:b/>
        </w:rPr>
        <w:t xml:space="preserve">the </w:t>
      </w:r>
      <w:r w:rsidRPr="00415908">
        <w:rPr>
          <w:rFonts w:ascii="Times New Roman" w:hAnsi="Times New Roman" w:cs="Times New Roman"/>
          <w:b/>
          <w:i/>
          <w:iCs/>
        </w:rPr>
        <w:t xml:space="preserve">Report and </w:t>
      </w:r>
      <w:r w:rsidRPr="00415908">
        <w:rPr>
          <w:rFonts w:ascii="Times New Roman" w:hAnsi="Times New Roman" w:cs="Times New Roman"/>
          <w:b/>
          <w:i/>
        </w:rPr>
        <w:t>Order</w:t>
      </w:r>
      <w:r w:rsidRPr="00415908">
        <w:rPr>
          <w:rFonts w:ascii="Times New Roman" w:hAnsi="Times New Roman" w:cs="Times New Roman"/>
          <w:b/>
        </w:rPr>
        <w:t>, FCC 20-</w:t>
      </w:r>
      <w:r w:rsidR="000567AF">
        <w:rPr>
          <w:rFonts w:ascii="Times New Roman" w:hAnsi="Times New Roman" w:cs="Times New Roman"/>
          <w:b/>
        </w:rPr>
        <w:t>162</w:t>
      </w:r>
      <w:r w:rsidRPr="00415908">
        <w:rPr>
          <w:rFonts w:ascii="Times New Roman" w:hAnsi="Times New Roman" w:cs="Times New Roman"/>
          <w:b/>
        </w:rPr>
        <w:t xml:space="preserve">, MB Docket Nos. </w:t>
      </w:r>
      <w:r w:rsidR="00307F45">
        <w:rPr>
          <w:rFonts w:ascii="Times New Roman" w:hAnsi="Times New Roman" w:cs="Times New Roman"/>
          <w:b/>
        </w:rPr>
        <w:t>20-70</w:t>
      </w:r>
      <w:r w:rsidR="00415908">
        <w:rPr>
          <w:rFonts w:ascii="Times New Roman" w:hAnsi="Times New Roman" w:cs="Times New Roman"/>
          <w:b/>
        </w:rPr>
        <w:t>, 17-105,</w:t>
      </w:r>
      <w:r w:rsidRPr="00415908">
        <w:rPr>
          <w:rFonts w:ascii="Times New Roman" w:hAnsi="Times New Roman" w:cs="Times New Roman"/>
          <w:b/>
        </w:rPr>
        <w:t xml:space="preserve"> and </w:t>
      </w:r>
      <w:r w:rsidR="00307F45">
        <w:rPr>
          <w:rFonts w:ascii="Times New Roman" w:hAnsi="Times New Roman" w:cs="Times New Roman"/>
          <w:b/>
        </w:rPr>
        <w:t>11-131</w:t>
      </w:r>
      <w:r w:rsidRPr="00415908">
        <w:rPr>
          <w:rFonts w:ascii="Times New Roman" w:hAnsi="Times New Roman" w:cs="Times New Roman"/>
          <w:b/>
        </w:rPr>
        <w:t>, is available at:</w:t>
      </w:r>
    </w:p>
    <w:p w:rsidR="00415908" w:rsidRPr="00DA6C02" w14:paraId="4E895545" w14:textId="77777777">
      <w:pPr>
        <w:spacing w:after="0"/>
        <w:rPr>
          <w:rFonts w:ascii="Times New Roman" w:hAnsi="Times New Roman" w:cs="Times New Roman"/>
          <w:bCs/>
        </w:rPr>
      </w:pPr>
      <w:hyperlink r:id="rId8" w:history="1">
        <w:r w:rsidRPr="00DA6C02" w:rsidR="00DA6C02">
          <w:rPr>
            <w:rStyle w:val="Hyperlink"/>
            <w:rFonts w:ascii="Times New Roman" w:hAnsi="Times New Roman" w:cs="Times New Roman"/>
            <w:bCs/>
          </w:rPr>
          <w:t>https://docs.fcc.gov/public/attachments/FCC-20-162A1.pdf</w:t>
        </w:r>
      </w:hyperlink>
    </w:p>
    <w:p w:rsidR="00DA6C02" w14:paraId="0599185A" w14:textId="77777777">
      <w:pPr>
        <w:spacing w:after="0"/>
        <w:rPr>
          <w:rFonts w:ascii="Times New Roman" w:hAnsi="Times New Roman" w:cs="Times New Roman"/>
          <w:b/>
        </w:rPr>
      </w:pPr>
    </w:p>
    <w:p w:rsidR="00C62E5C" w14:paraId="5D47F7D4" w14:textId="77777777">
      <w:pPr>
        <w:spacing w:after="0"/>
        <w:rPr>
          <w:rFonts w:ascii="Times New Roman" w:hAnsi="Times New Roman" w:cs="Times New Roman"/>
          <w:b/>
        </w:rPr>
      </w:pPr>
      <w:r>
        <w:rPr>
          <w:rFonts w:ascii="Times New Roman" w:hAnsi="Times New Roman" w:cs="Times New Roman"/>
          <w:b/>
        </w:rPr>
        <w:t xml:space="preserve">A copy of the Federal Register Summary of the </w:t>
      </w:r>
      <w:r>
        <w:rPr>
          <w:rFonts w:ascii="Times New Roman" w:hAnsi="Times New Roman" w:cs="Times New Roman"/>
          <w:b/>
          <w:i/>
          <w:iCs/>
        </w:rPr>
        <w:t xml:space="preserve">Report and </w:t>
      </w:r>
      <w:r>
        <w:rPr>
          <w:rFonts w:ascii="Times New Roman" w:hAnsi="Times New Roman" w:cs="Times New Roman"/>
          <w:b/>
          <w:i/>
        </w:rPr>
        <w:t>Order</w:t>
      </w:r>
      <w:r>
        <w:rPr>
          <w:rFonts w:ascii="Times New Roman" w:hAnsi="Times New Roman" w:cs="Times New Roman"/>
          <w:b/>
        </w:rPr>
        <w:t xml:space="preserve"> is available at: </w:t>
      </w:r>
    </w:p>
    <w:p w:rsidR="00C62E5C" w14:paraId="4602C692" w14:textId="27F87507">
      <w:pPr>
        <w:spacing w:after="0"/>
        <w:rPr>
          <w:rFonts w:ascii="Times New Roman" w:hAnsi="Times New Roman" w:cs="Times New Roman"/>
          <w:b/>
        </w:rPr>
      </w:pPr>
      <w:hyperlink r:id="rId9" w:history="1">
        <w:r w:rsidRPr="00A2063A" w:rsidR="00790B32">
          <w:rPr>
            <w:rStyle w:val="Hyperlink"/>
            <w:rFonts w:ascii="Times New Roman" w:hAnsi="Times New Roman" w:cs="Times New Roman"/>
          </w:rPr>
          <w:t>https://www.federalregister.gov/documents/2020/12/17/2020-26259/review-procedures-modernization-of-media-regulation-initiative-program-carriage-rules</w:t>
        </w:r>
      </w:hyperlink>
      <w:r w:rsidR="00790B32">
        <w:rPr>
          <w:rFonts w:ascii="Times New Roman" w:hAnsi="Times New Roman" w:cs="Times New Roman"/>
        </w:rPr>
        <w:t xml:space="preserve"> </w:t>
      </w:r>
    </w:p>
    <w:p w:rsidR="00C62E5C" w14:paraId="73889ED6" w14:textId="77777777">
      <w:pPr>
        <w:spacing w:after="0"/>
        <w:rPr>
          <w:rFonts w:ascii="Times New Roman" w:hAnsi="Times New Roman" w:cs="Times New Roman"/>
          <w:b/>
        </w:rPr>
      </w:pPr>
    </w:p>
    <w:sectPr>
      <w:headerReference w:type="default" r:id="rId10"/>
      <w:footerReference w:type="default" r:id="rId11"/>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28C66911" w14:textId="77777777">
    <w:pPr>
      <w:pStyle w:val="Footer"/>
      <w:jc w:val="center"/>
      <w:rPr>
        <w:rFonts w:ascii="Times New Roman" w:hAnsi="Times New Roman" w:cs="Times New Roman"/>
      </w:rPr>
    </w:pPr>
  </w:p>
  <w:p w:rsidR="00C62E5C" w14:paraId="5EB975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2626518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footnote w:type="separator" w:id="0">
    <w:p w:rsidR="00E34B50" w14:paraId="0FA36C7A" w14:textId="77777777">
      <w:pPr>
        <w:spacing w:after="0" w:line="240" w:lineRule="auto"/>
      </w:pPr>
      <w:r>
        <w:separator/>
      </w:r>
    </w:p>
  </w:footnote>
  <w:footnote w:type="continuationSeparator" w:id="1">
    <w:p w:rsidR="00E34B50" w14:paraId="112A79BE" w14:textId="77777777">
      <w:pPr>
        <w:spacing w:after="0" w:line="240" w:lineRule="auto"/>
      </w:pPr>
      <w:r>
        <w:continuationSeparator/>
      </w:r>
    </w:p>
  </w:footnote>
  <w:footnote w:id="2">
    <w:p w:rsidR="00BF4405" w:rsidRPr="00D2435B" w:rsidP="00D2435B" w14:paraId="52F583AB" w14:textId="50281AAD">
      <w:pPr>
        <w:pStyle w:val="FootnoteText"/>
        <w:spacing w:after="120"/>
        <w:rPr>
          <w:rFonts w:ascii="Times New Roman" w:hAnsi="Times New Roman" w:cs="Times New Roman"/>
        </w:rPr>
      </w:pPr>
      <w:r w:rsidRPr="00D2435B">
        <w:rPr>
          <w:rStyle w:val="FootnoteReference"/>
          <w:rFonts w:ascii="Times New Roman" w:hAnsi="Times New Roman" w:cs="Times New Roman"/>
        </w:rPr>
        <w:footnoteRef/>
      </w:r>
      <w:r w:rsidRPr="00D2435B">
        <w:rPr>
          <w:rFonts w:ascii="Times New Roman" w:hAnsi="Times New Roman" w:cs="Times New Roman"/>
        </w:rPr>
        <w:t xml:space="preserve"> </w:t>
      </w:r>
      <w:r w:rsidRPr="00D2435B" w:rsidR="004F74FF">
        <w:rPr>
          <w:rFonts w:ascii="Times New Roman" w:hAnsi="Times New Roman" w:cs="Times New Roman"/>
          <w:i/>
          <w:iCs/>
        </w:rPr>
        <w:t>Revision of the Commission’s Part 76 Review Procedures; Modernization of Media Regulation Initiative; Revision of the Commission’s Program Carriage Rules</w:t>
      </w:r>
      <w:r w:rsidRPr="00D2435B" w:rsidR="004F74FF">
        <w:rPr>
          <w:rFonts w:ascii="Times New Roman" w:hAnsi="Times New Roman" w:cs="Times New Roman"/>
        </w:rPr>
        <w:t xml:space="preserve">, </w:t>
      </w:r>
      <w:r w:rsidRPr="00D2435B" w:rsidR="00D2435B">
        <w:rPr>
          <w:rFonts w:ascii="Times New Roman" w:hAnsi="Times New Roman" w:cs="Times New Roman"/>
        </w:rPr>
        <w:t xml:space="preserve">MB Docket Nos. 20-70, 17-105, 11-131, Report and Order, FCC 20-162, 2020 WL 6822433 (Nov. 18, 2020). </w:t>
      </w:r>
    </w:p>
  </w:footnote>
  <w:footnote w:id="3">
    <w:p w:rsidR="009D70F8" w:rsidRPr="00D2435B" w:rsidP="00D2435B" w14:paraId="471B048C" w14:textId="77777777">
      <w:pPr>
        <w:pStyle w:val="FootnoteText"/>
        <w:spacing w:after="120"/>
        <w:rPr>
          <w:rFonts w:ascii="Times New Roman" w:hAnsi="Times New Roman" w:cs="Times New Roman"/>
        </w:rPr>
      </w:pPr>
      <w:r w:rsidRPr="00D2435B">
        <w:rPr>
          <w:rStyle w:val="FootnoteReference"/>
          <w:rFonts w:ascii="Times New Roman" w:hAnsi="Times New Roman" w:cs="Times New Roman"/>
        </w:rPr>
        <w:footnoteRef/>
      </w:r>
      <w:r w:rsidRPr="00D2435B">
        <w:rPr>
          <w:rFonts w:ascii="Times New Roman" w:hAnsi="Times New Roman" w:cs="Times New Roman"/>
        </w:rPr>
        <w:t xml:space="preserve"> 47 CFR § 76</w:t>
      </w:r>
      <w:r w:rsidRPr="00D2435B" w:rsidR="004E5940">
        <w:rPr>
          <w:rFonts w:ascii="Times New Roman" w:hAnsi="Times New Roman" w:cs="Times New Roman"/>
        </w:rPr>
        <w:t>.1302(</w:t>
      </w:r>
      <w:r w:rsidRPr="00D2435B" w:rsidR="00A74FC3">
        <w:rPr>
          <w:rFonts w:ascii="Times New Roman" w:hAnsi="Times New Roman" w:cs="Times New Roman"/>
        </w:rPr>
        <w:t>h)(3).</w:t>
      </w:r>
    </w:p>
  </w:footnote>
  <w:footnote w:id="4">
    <w:p w:rsidR="00A74FC3" w:rsidRPr="00D2435B" w:rsidP="00D2435B" w14:paraId="728A3D62" w14:textId="77777777">
      <w:pPr>
        <w:pStyle w:val="FootnoteText"/>
        <w:spacing w:after="120"/>
        <w:rPr>
          <w:rFonts w:ascii="Times New Roman" w:hAnsi="Times New Roman" w:cs="Times New Roman"/>
        </w:rPr>
      </w:pPr>
      <w:r w:rsidRPr="00D2435B">
        <w:rPr>
          <w:rStyle w:val="FootnoteReference"/>
          <w:rFonts w:ascii="Times New Roman" w:hAnsi="Times New Roman" w:cs="Times New Roman"/>
        </w:rPr>
        <w:footnoteRef/>
      </w:r>
      <w:r w:rsidRPr="00D2435B">
        <w:rPr>
          <w:rFonts w:ascii="Times New Roman" w:hAnsi="Times New Roman" w:cs="Times New Roman"/>
        </w:rPr>
        <w:t xml:space="preserve"> 47 CFR § 76.1003(g)(3).</w:t>
      </w:r>
    </w:p>
  </w:footnote>
  <w:footnote w:id="5">
    <w:p w:rsidR="00A74FC3" w:rsidRPr="00D2435B" w:rsidP="00D2435B" w14:paraId="3C61C03A" w14:textId="77777777">
      <w:pPr>
        <w:pStyle w:val="FootnoteText"/>
        <w:spacing w:after="120"/>
        <w:rPr>
          <w:rFonts w:ascii="Times New Roman" w:hAnsi="Times New Roman" w:cs="Times New Roman"/>
        </w:rPr>
      </w:pPr>
      <w:r w:rsidRPr="00D2435B">
        <w:rPr>
          <w:rStyle w:val="FootnoteReference"/>
          <w:rFonts w:ascii="Times New Roman" w:hAnsi="Times New Roman" w:cs="Times New Roman"/>
        </w:rPr>
        <w:footnoteRef/>
      </w:r>
      <w:r w:rsidRPr="00D2435B">
        <w:rPr>
          <w:rFonts w:ascii="Times New Roman" w:hAnsi="Times New Roman" w:cs="Times New Roman"/>
        </w:rPr>
        <w:t xml:space="preserve"> 47 CFR § 76.1513(g)(3).</w:t>
      </w:r>
    </w:p>
  </w:footnote>
  <w:footnote w:id="6">
    <w:p w:rsidR="00A74FC3" w:rsidRPr="00D2435B" w:rsidP="00D2435B" w14:paraId="0D185301" w14:textId="77777777">
      <w:pPr>
        <w:pStyle w:val="FootnoteText"/>
        <w:spacing w:after="120"/>
        <w:rPr>
          <w:rFonts w:ascii="Times New Roman" w:hAnsi="Times New Roman" w:cs="Times New Roman"/>
        </w:rPr>
      </w:pPr>
      <w:r w:rsidRPr="00D2435B">
        <w:rPr>
          <w:rStyle w:val="FootnoteReference"/>
          <w:rFonts w:ascii="Times New Roman" w:hAnsi="Times New Roman" w:cs="Times New Roman"/>
        </w:rPr>
        <w:footnoteRef/>
      </w:r>
      <w:r w:rsidRPr="00D2435B">
        <w:rPr>
          <w:rFonts w:ascii="Times New Roman" w:hAnsi="Times New Roman" w:cs="Times New Roman"/>
        </w:rPr>
        <w:t xml:space="preserve"> 47 CFR § 76.65(e)(3).</w:t>
      </w:r>
    </w:p>
  </w:footnote>
  <w:footnote w:id="7">
    <w:p w:rsidR="00A74FC3" w:rsidRPr="00D2435B" w:rsidP="00D2435B" w14:paraId="79351059" w14:textId="77777777">
      <w:pPr>
        <w:pStyle w:val="FootnoteText"/>
        <w:spacing w:after="120"/>
        <w:rPr>
          <w:rFonts w:ascii="Times New Roman" w:hAnsi="Times New Roman" w:cs="Times New Roman"/>
        </w:rPr>
      </w:pPr>
      <w:r w:rsidRPr="00D2435B">
        <w:rPr>
          <w:rStyle w:val="FootnoteReference"/>
          <w:rFonts w:ascii="Times New Roman" w:hAnsi="Times New Roman" w:cs="Times New Roman"/>
        </w:rPr>
        <w:footnoteRef/>
      </w:r>
      <w:r w:rsidRPr="00D2435B">
        <w:rPr>
          <w:rFonts w:ascii="Times New Roman" w:hAnsi="Times New Roman" w:cs="Times New Roman"/>
        </w:rPr>
        <w:t xml:space="preserve"> 47 CFF § 76.10(c)(2).</w:t>
      </w:r>
    </w:p>
  </w:footnote>
  <w:footnote w:id="8">
    <w:p w:rsidR="00D2435B" w:rsidP="00D2435B" w14:paraId="0FD5BBDC" w14:textId="793B4EBE">
      <w:pPr>
        <w:pStyle w:val="FootnoteText"/>
        <w:spacing w:after="120"/>
      </w:pPr>
      <w:r w:rsidRPr="00D2435B">
        <w:rPr>
          <w:rStyle w:val="FootnoteReference"/>
          <w:rFonts w:ascii="Times New Roman" w:hAnsi="Times New Roman" w:cs="Times New Roman"/>
        </w:rPr>
        <w:footnoteRef/>
      </w:r>
      <w:r w:rsidRPr="00D2435B">
        <w:rPr>
          <w:rFonts w:ascii="Times New Roman" w:hAnsi="Times New Roman" w:cs="Times New Roman"/>
        </w:rPr>
        <w:t xml:space="preserve"> </w:t>
      </w:r>
      <w:r w:rsidRPr="00D2435B">
        <w:rPr>
          <w:rFonts w:ascii="Times New Roman" w:hAnsi="Times New Roman" w:cs="Times New Roman"/>
          <w:i/>
          <w:iCs/>
        </w:rPr>
        <w:t>Revision of the Commission’s Part 76 Review Procedures</w:t>
      </w:r>
      <w:r w:rsidRPr="00D2435B">
        <w:rPr>
          <w:rFonts w:ascii="Times New Roman" w:hAnsi="Times New Roman" w:cs="Times New Roman"/>
        </w:rPr>
        <w:t xml:space="preserve">, MB Docket Nos. 20-70, 17-105, and 11-131, Further Notice of Proposed Rulemaking in MB Docket No. 11-131 and Notice of Proposed Rulemaking in MB Docket No. 20-70, 35 FCC </w:t>
      </w:r>
      <w:r w:rsidRPr="00D2435B">
        <w:rPr>
          <w:rFonts w:ascii="Times New Roman" w:hAnsi="Times New Roman" w:cs="Times New Roman"/>
        </w:rPr>
        <w:t>Rcd 3140 (2020) (</w:t>
      </w:r>
      <w:r w:rsidRPr="00D2435B">
        <w:rPr>
          <w:rFonts w:ascii="Times New Roman" w:hAnsi="Times New Roman" w:cs="Times New Roman"/>
          <w:i/>
          <w:iCs/>
        </w:rPr>
        <w:t>FNPRM</w:t>
      </w:r>
      <w:r w:rsidRPr="00D2435B">
        <w:rPr>
          <w:rFonts w:ascii="Times New Roman" w:hAnsi="Times New Roman" w:cs="Times New Roman"/>
        </w:rPr>
        <w:t>).</w:t>
      </w:r>
    </w:p>
  </w:footnote>
  <w:footnote w:id="9">
    <w:p w:rsidR="004378C9" w:rsidRPr="00AA3446" w:rsidP="00BF4405" w14:paraId="26D1C192" w14:textId="496A13EC">
      <w:pPr>
        <w:pStyle w:val="FootnoteText"/>
        <w:spacing w:after="120"/>
        <w:rPr>
          <w:rFonts w:ascii="Times New Roman" w:hAnsi="Times New Roman" w:cs="Times New Roman"/>
        </w:rPr>
      </w:pPr>
      <w:r w:rsidRPr="00AA3446">
        <w:rPr>
          <w:rStyle w:val="FootnoteReference"/>
          <w:rFonts w:ascii="Times New Roman" w:hAnsi="Times New Roman" w:cs="Times New Roman"/>
        </w:rPr>
        <w:footnoteRef/>
      </w:r>
      <w:r w:rsidRPr="00AA3446">
        <w:rPr>
          <w:rFonts w:ascii="Times New Roman" w:hAnsi="Times New Roman" w:cs="Times New Roman"/>
        </w:rPr>
        <w:t xml:space="preserve"> </w:t>
      </w:r>
      <w:r w:rsidRPr="00AA3446" w:rsidR="00632E4A">
        <w:rPr>
          <w:rFonts w:ascii="Times New Roman" w:hAnsi="Times New Roman" w:cs="Times New Roman"/>
        </w:rPr>
        <w:t>Compare 47 CFR §§ 76.1302(j)(1), 76.10(c)(2) with § 1.276(d).</w:t>
      </w:r>
    </w:p>
  </w:footnote>
  <w:footnote w:id="10">
    <w:p w:rsidR="00D8252F" w:rsidRPr="00AA3446" w:rsidP="00BF4405" w14:paraId="03C10F03" w14:textId="77777777">
      <w:pPr>
        <w:pStyle w:val="FootnoteText"/>
        <w:widowControl w:val="0"/>
        <w:spacing w:after="120"/>
        <w:rPr>
          <w:rFonts w:ascii="Times New Roman" w:hAnsi="Times New Roman" w:cs="Times New Roman"/>
        </w:rPr>
      </w:pPr>
      <w:r w:rsidRPr="00AA3446">
        <w:rPr>
          <w:rStyle w:val="FootnoteReference"/>
          <w:rFonts w:ascii="Times New Roman" w:hAnsi="Times New Roman" w:cs="Times New Roman"/>
        </w:rPr>
        <w:footnoteRef/>
      </w:r>
      <w:r w:rsidRPr="00AA3446">
        <w:rPr>
          <w:rFonts w:ascii="Times New Roman" w:hAnsi="Times New Roman" w:cs="Times New Roman"/>
        </w:rPr>
        <w:t xml:space="preserve"> 47 CFR § 76.1302(h)(1)-(3).</w:t>
      </w:r>
    </w:p>
  </w:footnote>
  <w:footnote w:id="11">
    <w:p w:rsidR="00F27754" w:rsidRPr="00BC6272" w:rsidP="00BF4405" w14:paraId="20699020" w14:textId="77777777">
      <w:pPr>
        <w:pStyle w:val="FootnoteText"/>
        <w:spacing w:after="120"/>
        <w:rPr>
          <w:rFonts w:ascii="Times New Roman" w:hAnsi="Times New Roman" w:cs="Times New Roman"/>
        </w:rPr>
      </w:pPr>
      <w:r w:rsidRPr="00AA3446">
        <w:rPr>
          <w:rStyle w:val="FootnoteReference"/>
          <w:rFonts w:ascii="Times New Roman" w:hAnsi="Times New Roman" w:cs="Times New Roman"/>
        </w:rPr>
        <w:footnoteRef/>
      </w:r>
      <w:r w:rsidRPr="00AA3446">
        <w:rPr>
          <w:rFonts w:ascii="Times New Roman" w:hAnsi="Times New Roman" w:cs="Times New Roman"/>
        </w:rPr>
        <w:t xml:space="preserve"> The elements that a complainant must show to establish a </w:t>
      </w:r>
      <w:r w:rsidRPr="00AA3446">
        <w:rPr>
          <w:rFonts w:ascii="Times New Roman" w:hAnsi="Times New Roman" w:cs="Times New Roman"/>
          <w:i/>
          <w:iCs/>
        </w:rPr>
        <w:t>prima facie</w:t>
      </w:r>
      <w:r w:rsidRPr="00AA3446">
        <w:rPr>
          <w:rFonts w:ascii="Times New Roman" w:hAnsi="Times New Roman" w:cs="Times New Roman"/>
        </w:rPr>
        <w:t xml:space="preserve"> case can be found in section 76.1302(d) of the Commission’s rules. 47 CFR § 76.1302(d).   </w:t>
      </w:r>
    </w:p>
  </w:footnote>
  <w:footnote w:id="12">
    <w:p w:rsidR="00AA3446" w:rsidRPr="00BC6272" w:rsidP="00BF4405" w14:paraId="006060D7" w14:textId="53324184">
      <w:pPr>
        <w:pStyle w:val="FootnoteText"/>
        <w:spacing w:after="120"/>
        <w:rPr>
          <w:rFonts w:ascii="Times New Roman" w:hAnsi="Times New Roman" w:cs="Times New Roman"/>
        </w:rPr>
      </w:pPr>
      <w:r w:rsidRPr="00BC6272">
        <w:rPr>
          <w:rStyle w:val="FootnoteReference"/>
          <w:rFonts w:ascii="Times New Roman" w:hAnsi="Times New Roman" w:cs="Times New Roman"/>
        </w:rPr>
        <w:footnoteRef/>
      </w:r>
      <w:r w:rsidRPr="00BC6272">
        <w:rPr>
          <w:rFonts w:ascii="Times New Roman" w:hAnsi="Times New Roman" w:cs="Times New Roman"/>
        </w:rPr>
        <w:t xml:space="preserve"> The relevant language in the rule</w:t>
      </w:r>
      <w:r>
        <w:rPr>
          <w:rFonts w:ascii="Times New Roman" w:hAnsi="Times New Roman" w:cs="Times New Roman"/>
        </w:rPr>
        <w:t xml:space="preserve"> previously</w:t>
      </w:r>
      <w:r w:rsidRPr="00BC6272">
        <w:rPr>
          <w:rFonts w:ascii="Times New Roman" w:hAnsi="Times New Roman" w:cs="Times New Roman"/>
        </w:rPr>
        <w:t xml:space="preserve"> provided, </w:t>
      </w:r>
      <w:r>
        <w:rPr>
          <w:rFonts w:ascii="Times New Roman" w:hAnsi="Times New Roman" w:cs="Times New Roman"/>
        </w:rPr>
        <w:t>“</w:t>
      </w:r>
      <w:r w:rsidRPr="00AA3446">
        <w:rPr>
          <w:rFonts w:ascii="Times New Roman" w:hAnsi="Times New Roman" w:cs="Times New Roman"/>
        </w:rPr>
        <w:t xml:space="preserve">Any party to a part 76 proceeding aggrieved by any decision on the merits by an administrative law judge may file an appeal of the decision directly with the Commission, in accordance with §§1.276(a) and 1.277(a) through (c) of this chapter, except that in proceedings brought pursuant to §§76.1003, 76.1302, and 76.1513 of this part, unless a stay is granted by the Commission, the decision by the administrative law judge will become effective upon release and will remain in effect pending appeal.”  </w:t>
      </w:r>
      <w:r w:rsidRPr="00BC6272">
        <w:rPr>
          <w:rFonts w:ascii="Times New Roman" w:hAnsi="Times New Roman" w:cs="Times New Roman"/>
          <w:i/>
          <w:iCs/>
        </w:rPr>
        <w:t xml:space="preserve">See </w:t>
      </w:r>
      <w:r w:rsidRPr="00BC6272">
        <w:rPr>
          <w:rFonts w:ascii="Times New Roman" w:hAnsi="Times New Roman" w:cs="Times New Roman"/>
        </w:rPr>
        <w:t>47 CFR 76.10(c)(2).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372A09E2" w14:textId="77777777">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height-percent:0;mso-width-percent:0;mso-wrap-edited:f;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71614124" r:id="rId2"/>
      </w:pict>
    </w:r>
    <w:r w:rsidR="005368AD">
      <w:rPr>
        <w:rFonts w:ascii="CG Times (W1)" w:hAnsi="CG Times (W1)"/>
        <w:sz w:val="28"/>
      </w:rPr>
      <w:t>Federal Communications Commission</w:t>
    </w:r>
  </w:p>
  <w:p w:rsidR="00C62E5C" w14:paraId="62CA0495" w14:textId="77777777">
    <w:pPr>
      <w:jc w:val="center"/>
      <w:rPr>
        <w:rFonts w:ascii="CG Times (W1)" w:hAnsi="CG Times (W1)"/>
        <w:sz w:val="28"/>
      </w:rPr>
    </w:pPr>
    <w:r>
      <w:rPr>
        <w:rFonts w:ascii="CG Times (W1)" w:hAnsi="CG Times (W1)"/>
        <w:sz w:val="28"/>
      </w:rPr>
      <w:t>Washington, D.C. 20554</w:t>
    </w:r>
  </w:p>
  <w:p w:rsidR="00C62E5C" w14:paraId="7B1EAE07" w14:textId="0CEB9409">
    <w:pPr>
      <w:jc w:val="center"/>
      <w:rPr>
        <w:sz w:val="24"/>
        <w:szCs w:val="24"/>
      </w:rPr>
    </w:pPr>
    <w:r w:rsidRPr="00AA1A1D">
      <w:rPr>
        <w:rFonts w:ascii="CG Times (W1)" w:hAnsi="CG Times (W1)"/>
        <w:sz w:val="24"/>
        <w:szCs w:val="24"/>
      </w:rPr>
      <w:t>January 8,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71D66BBC"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p w:rsidR="00C62E5C" w14:paraId="18B1025A" w14:textId="77777777">
    <w:pPr>
      <w:pStyle w:val="Header"/>
      <w:spacing w:before="360" w:line="228"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
  </w:num>
  <w:num w:numId="5">
    <w:abstractNumId w:val="10"/>
  </w:num>
  <w:num w:numId="6">
    <w:abstractNumId w:val="4"/>
  </w:num>
  <w:num w:numId="7">
    <w:abstractNumId w:val="0"/>
  </w:num>
  <w:num w:numId="8">
    <w:abstractNumId w:val="9"/>
  </w:num>
  <w:num w:numId="9">
    <w:abstractNumId w:val="6"/>
  </w:num>
  <w:num w:numId="10">
    <w:abstractNumId w:val="1"/>
  </w:num>
  <w:num w:numId="11">
    <w:abstractNumId w:val="5"/>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3"/>
    </w:lvlOverride>
  </w:num>
  <w:num w:numId="14">
    <w:abstractNumId w:val="11"/>
  </w:num>
  <w:num w:numId="15">
    <w:abstractNumId w:val="9"/>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5C"/>
    <w:rsid w:val="000567AF"/>
    <w:rsid w:val="000754AC"/>
    <w:rsid w:val="000D5E91"/>
    <w:rsid w:val="000E2AD0"/>
    <w:rsid w:val="000F292A"/>
    <w:rsid w:val="001418A5"/>
    <w:rsid w:val="001418F5"/>
    <w:rsid w:val="00190988"/>
    <w:rsid w:val="001E614F"/>
    <w:rsid w:val="001F6DCB"/>
    <w:rsid w:val="00242E0B"/>
    <w:rsid w:val="00266749"/>
    <w:rsid w:val="002808DC"/>
    <w:rsid w:val="002914D7"/>
    <w:rsid w:val="002963D1"/>
    <w:rsid w:val="002B4BC4"/>
    <w:rsid w:val="002E1197"/>
    <w:rsid w:val="00307F45"/>
    <w:rsid w:val="00311DD0"/>
    <w:rsid w:val="0037791A"/>
    <w:rsid w:val="0038345A"/>
    <w:rsid w:val="003976AF"/>
    <w:rsid w:val="003C5DB3"/>
    <w:rsid w:val="003D3BF8"/>
    <w:rsid w:val="003E11C3"/>
    <w:rsid w:val="003E74CF"/>
    <w:rsid w:val="00402129"/>
    <w:rsid w:val="00415908"/>
    <w:rsid w:val="004378C9"/>
    <w:rsid w:val="00474207"/>
    <w:rsid w:val="00482CB9"/>
    <w:rsid w:val="004A139C"/>
    <w:rsid w:val="004E0127"/>
    <w:rsid w:val="004E5940"/>
    <w:rsid w:val="004F74FF"/>
    <w:rsid w:val="005368AD"/>
    <w:rsid w:val="00537C12"/>
    <w:rsid w:val="005C57D0"/>
    <w:rsid w:val="005D6747"/>
    <w:rsid w:val="006208D0"/>
    <w:rsid w:val="00632E4A"/>
    <w:rsid w:val="006A7F58"/>
    <w:rsid w:val="006D2DF3"/>
    <w:rsid w:val="006E6076"/>
    <w:rsid w:val="006F4B98"/>
    <w:rsid w:val="007100C5"/>
    <w:rsid w:val="00730EE1"/>
    <w:rsid w:val="00750039"/>
    <w:rsid w:val="0075102E"/>
    <w:rsid w:val="00757228"/>
    <w:rsid w:val="00764DEA"/>
    <w:rsid w:val="00790B32"/>
    <w:rsid w:val="007D1D3D"/>
    <w:rsid w:val="007E4A84"/>
    <w:rsid w:val="008414B4"/>
    <w:rsid w:val="00865A80"/>
    <w:rsid w:val="008A4F59"/>
    <w:rsid w:val="008D7DB6"/>
    <w:rsid w:val="00906A78"/>
    <w:rsid w:val="00920161"/>
    <w:rsid w:val="00937788"/>
    <w:rsid w:val="009415BA"/>
    <w:rsid w:val="009813BD"/>
    <w:rsid w:val="009A64EC"/>
    <w:rsid w:val="009C551A"/>
    <w:rsid w:val="009D70F8"/>
    <w:rsid w:val="00A1301B"/>
    <w:rsid w:val="00A2063A"/>
    <w:rsid w:val="00A244E8"/>
    <w:rsid w:val="00A26B1B"/>
    <w:rsid w:val="00A42603"/>
    <w:rsid w:val="00A74FC3"/>
    <w:rsid w:val="00AA1A1D"/>
    <w:rsid w:val="00AA3446"/>
    <w:rsid w:val="00AD76E2"/>
    <w:rsid w:val="00AE511A"/>
    <w:rsid w:val="00AF09DE"/>
    <w:rsid w:val="00B27CE4"/>
    <w:rsid w:val="00B3050C"/>
    <w:rsid w:val="00B32264"/>
    <w:rsid w:val="00B678DB"/>
    <w:rsid w:val="00B8224D"/>
    <w:rsid w:val="00BA28CA"/>
    <w:rsid w:val="00BC6272"/>
    <w:rsid w:val="00BE7D83"/>
    <w:rsid w:val="00BF0C37"/>
    <w:rsid w:val="00BF4405"/>
    <w:rsid w:val="00C07BF1"/>
    <w:rsid w:val="00C614B1"/>
    <w:rsid w:val="00C62E5C"/>
    <w:rsid w:val="00C70F2E"/>
    <w:rsid w:val="00CA5A01"/>
    <w:rsid w:val="00CA7E9E"/>
    <w:rsid w:val="00CD6320"/>
    <w:rsid w:val="00CF103C"/>
    <w:rsid w:val="00D2435B"/>
    <w:rsid w:val="00D3762B"/>
    <w:rsid w:val="00D8252F"/>
    <w:rsid w:val="00D83674"/>
    <w:rsid w:val="00D90207"/>
    <w:rsid w:val="00D962E8"/>
    <w:rsid w:val="00DA6C02"/>
    <w:rsid w:val="00DD4999"/>
    <w:rsid w:val="00DD4A0D"/>
    <w:rsid w:val="00DF4C03"/>
    <w:rsid w:val="00E03E66"/>
    <w:rsid w:val="00E34B50"/>
    <w:rsid w:val="00E36CF6"/>
    <w:rsid w:val="00E47A69"/>
    <w:rsid w:val="00E83BBA"/>
    <w:rsid w:val="00F27754"/>
    <w:rsid w:val="00F76140"/>
    <w:rsid w:val="00FB34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DE64FBA-A8E6-49B6-A837-9CDF69D4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Pr>
      <w:rFonts w:ascii="Times New Roman" w:eastAsia="Times New Roman" w:hAnsi="Times New Roman" w:cs="Times New Roman"/>
      <w:b/>
      <w:snapToGrid w:val="0"/>
      <w:kern w:val="28"/>
      <w:szCs w:val="20"/>
    </w:rPr>
  </w:style>
  <w:style w:type="paragraph" w:customStyle="1" w:styleId="ParaNum">
    <w:name w:val="ParaNum"/>
    <w:basedOn w:val="Normal"/>
    <w:link w:val="ParaNumChar"/>
    <w:pPr>
      <w:widowControl w:val="0"/>
      <w:numPr>
        <w:numId w:val="15"/>
      </w:numPr>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rPr>
      <w:rFonts w:eastAsiaTheme="minorEastAsia" w:cs="Times New Roman"/>
    </w:rPr>
  </w:style>
  <w:style w:type="paragraph" w:styleId="TOC3">
    <w:name w:val="toc 3"/>
    <w:basedOn w:val="Normal"/>
    <w:next w:val="Normal"/>
    <w:autoRedefine/>
    <w:uiPriority w:val="39"/>
    <w:unhideWhenUsed/>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ParaNumChar1">
    <w:name w:val="ParaNum Char1"/>
    <w:rPr>
      <w:snapToGrid w:val="0"/>
      <w:kern w:val="28"/>
      <w:sz w:val="22"/>
    </w:rPr>
  </w:style>
  <w:style w:type="character" w:styleId="FollowedHyperlink">
    <w:name w:val="FollowedHyperlink"/>
    <w:basedOn w:val="DefaultParagraphFont"/>
    <w:uiPriority w:val="99"/>
    <w:semiHidden/>
    <w:unhideWhenUsed/>
    <w:rsid w:val="004F7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20-162A1.pdf" TargetMode="External" /><Relationship Id="rId9" Type="http://schemas.openxmlformats.org/officeDocument/2006/relationships/hyperlink" Target="https://www.federalregister.gov/documents/2020/12/17/2020-26259/review-procedures-modernization-of-media-regulation-initiative-program-carriage-rule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