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4E16" w:rsidRPr="00511023" w:rsidP="000E4E16" w14:paraId="7F8A4183" w14:textId="14916618">
      <w:pPr>
        <w:spacing w:after="0"/>
        <w:rPr>
          <w:rFonts w:cs="Times New Roman"/>
        </w:rPr>
      </w:pPr>
      <w:r w:rsidRPr="00511023">
        <w:rPr>
          <w:rFonts w:cs="Times New Roman"/>
        </w:rPr>
        <w:t xml:space="preserve">                                                                  </w:t>
      </w:r>
    </w:p>
    <w:p w:rsidR="006F2901" w:rsidRPr="00511023" w:rsidP="006F2901" w14:paraId="76004994" w14:textId="77777777">
      <w:pPr>
        <w:spacing w:after="0" w:line="240" w:lineRule="auto"/>
        <w:rPr>
          <w:rFonts w:cs="Times New Roman"/>
        </w:rPr>
      </w:pPr>
      <w:r w:rsidRPr="00511023">
        <w:rPr>
          <w:rFonts w:cs="Times New Roman"/>
        </w:rPr>
        <w:t xml:space="preserve">                                                                </w:t>
      </w:r>
    </w:p>
    <w:p w:rsidR="000E4E16" w:rsidP="00511023" w14:paraId="02752977" w14:textId="3FB9AD9E">
      <w:pPr>
        <w:spacing w:after="0"/>
        <w:jc w:val="right"/>
        <w:rPr>
          <w:rFonts w:cs="Times New Roman"/>
          <w:b/>
          <w:sz w:val="24"/>
          <w:szCs w:val="24"/>
        </w:rPr>
      </w:pPr>
      <w:r w:rsidRPr="00511023">
        <w:rPr>
          <w:rFonts w:cs="Times New Roman"/>
        </w:rPr>
        <w:t xml:space="preserve">                                                          </w:t>
      </w:r>
      <w:r w:rsidRPr="00511023">
        <w:rPr>
          <w:rFonts w:cs="Times New Roman"/>
        </w:rPr>
        <w:t xml:space="preserve">                                                          </w:t>
      </w:r>
      <w:r w:rsidRPr="00511023" w:rsidR="00121A4A">
        <w:rPr>
          <w:rFonts w:cs="Times New Roman"/>
        </w:rPr>
        <w:tab/>
      </w:r>
      <w:r w:rsidRPr="00511023">
        <w:rPr>
          <w:rFonts w:cs="Times New Roman"/>
        </w:rPr>
        <w:t xml:space="preserve"> </w:t>
      </w:r>
      <w:r w:rsidR="00F4281B">
        <w:rPr>
          <w:rFonts w:cs="Times New Roman"/>
        </w:rPr>
        <w:t xml:space="preserve">        </w:t>
      </w:r>
      <w:r w:rsidRPr="00511023" w:rsidR="00F4281B">
        <w:rPr>
          <w:rFonts w:cs="Times New Roman"/>
          <w:sz w:val="24"/>
          <w:szCs w:val="24"/>
        </w:rPr>
        <w:t xml:space="preserve"> </w:t>
      </w:r>
      <w:r w:rsidRPr="00511023">
        <w:rPr>
          <w:rFonts w:cs="Times New Roman"/>
          <w:b/>
          <w:sz w:val="24"/>
          <w:szCs w:val="24"/>
        </w:rPr>
        <w:t xml:space="preserve">DA </w:t>
      </w:r>
      <w:r w:rsidR="008170D5">
        <w:rPr>
          <w:rFonts w:cs="Times New Roman"/>
          <w:b/>
          <w:sz w:val="24"/>
          <w:szCs w:val="24"/>
        </w:rPr>
        <w:t>2</w:t>
      </w:r>
      <w:r w:rsidR="00734228">
        <w:rPr>
          <w:rFonts w:cs="Times New Roman"/>
          <w:b/>
          <w:sz w:val="24"/>
          <w:szCs w:val="24"/>
        </w:rPr>
        <w:t>1-2</w:t>
      </w:r>
    </w:p>
    <w:p w:rsidR="006F117F" w:rsidRPr="00511023" w:rsidP="00511023" w14:paraId="700578AB" w14:textId="77777777">
      <w:pPr>
        <w:spacing w:after="0"/>
        <w:jc w:val="right"/>
        <w:rPr>
          <w:rFonts w:cs="Times New Roman"/>
          <w:sz w:val="24"/>
          <w:szCs w:val="24"/>
        </w:rPr>
      </w:pPr>
    </w:p>
    <w:p w:rsidR="000E4E16" w:rsidRPr="00511023" w:rsidP="00E5517F" w14:paraId="02B71EAA" w14:textId="094580B0">
      <w:pPr>
        <w:spacing w:after="0"/>
        <w:jc w:val="center"/>
        <w:rPr>
          <w:rFonts w:cs="Times New Roman"/>
          <w:b/>
        </w:rPr>
      </w:pPr>
      <w:r w:rsidRPr="00511023">
        <w:rPr>
          <w:rFonts w:cs="Times New Roman"/>
          <w:b/>
          <w:sz w:val="28"/>
          <w:szCs w:val="28"/>
        </w:rPr>
        <w:t>SMALL ENTITY COMPLIANCE GUIDE</w:t>
      </w:r>
    </w:p>
    <w:p w:rsidR="00CF5356" w:rsidRPr="00CF5356" w:rsidP="00CF5356" w14:paraId="75623A6B" w14:textId="201FDFA6">
      <w:pPr>
        <w:tabs>
          <w:tab w:val="center" w:pos="4680"/>
        </w:tabs>
        <w:suppressAutoHyphens/>
        <w:jc w:val="center"/>
        <w:rPr>
          <w:b/>
          <w:bCs/>
          <w:spacing w:val="-2"/>
        </w:rPr>
      </w:pPr>
      <w:r w:rsidRPr="00CF5356">
        <w:rPr>
          <w:b/>
          <w:bCs/>
          <w:spacing w:val="-2"/>
        </w:rPr>
        <w:t>Amendment of the Commission’s Rules Regarding Public Notice of the Filing of A</w:t>
      </w:r>
      <w:bookmarkStart w:id="0" w:name="_GoBack"/>
      <w:bookmarkEnd w:id="0"/>
      <w:r w:rsidRPr="00CF5356">
        <w:rPr>
          <w:b/>
          <w:bCs/>
          <w:spacing w:val="-2"/>
        </w:rPr>
        <w:t>pplications</w:t>
      </w:r>
    </w:p>
    <w:p w:rsidR="006F2901" w:rsidRPr="00511023" w:rsidP="00230183" w14:paraId="567AC2E3" w14:textId="13FD3EE3">
      <w:pPr>
        <w:spacing w:after="0"/>
        <w:ind w:hanging="90"/>
        <w:jc w:val="center"/>
        <w:rPr>
          <w:rFonts w:cs="Times New Roman"/>
          <w:b/>
        </w:rPr>
      </w:pPr>
    </w:p>
    <w:p w:rsidR="006F2901" w:rsidRPr="00511023" w:rsidP="00E5517F" w14:paraId="3E93547C" w14:textId="0F1ECA5E">
      <w:pPr>
        <w:spacing w:after="0"/>
        <w:jc w:val="center"/>
        <w:rPr>
          <w:rFonts w:cs="Times New Roman"/>
          <w:b/>
        </w:rPr>
      </w:pPr>
      <w:r w:rsidRPr="00511023">
        <w:rPr>
          <w:rFonts w:cs="Times New Roman"/>
          <w:b/>
        </w:rPr>
        <w:t xml:space="preserve">FCC </w:t>
      </w:r>
      <w:r w:rsidR="00CF5356">
        <w:rPr>
          <w:rFonts w:cs="Times New Roman"/>
          <w:b/>
        </w:rPr>
        <w:t>20-65</w:t>
      </w:r>
    </w:p>
    <w:p w:rsidR="006F2901" w:rsidRPr="00511023" w:rsidP="00E5517F" w14:paraId="351CE09B" w14:textId="4E1F5191">
      <w:pPr>
        <w:spacing w:after="0"/>
        <w:jc w:val="center"/>
        <w:rPr>
          <w:rFonts w:cs="Times New Roman"/>
        </w:rPr>
      </w:pPr>
      <w:r>
        <w:rPr>
          <w:rFonts w:cs="Times New Roman"/>
          <w:b/>
        </w:rPr>
        <w:t xml:space="preserve">MB </w:t>
      </w:r>
      <w:r w:rsidR="00C37AC8">
        <w:rPr>
          <w:rFonts w:cs="Times New Roman"/>
          <w:b/>
        </w:rPr>
        <w:t>Docket No</w:t>
      </w:r>
      <w:r w:rsidR="008821A1">
        <w:rPr>
          <w:rFonts w:cs="Times New Roman"/>
          <w:b/>
        </w:rPr>
        <w:t>s</w:t>
      </w:r>
      <w:r w:rsidR="00C37AC8">
        <w:rPr>
          <w:rFonts w:cs="Times New Roman"/>
          <w:b/>
        </w:rPr>
        <w:t xml:space="preserve">. </w:t>
      </w:r>
      <w:r w:rsidR="008821A1">
        <w:rPr>
          <w:rFonts w:cs="Times New Roman"/>
          <w:b/>
        </w:rPr>
        <w:t>17-264, 17-105, 05-6</w:t>
      </w:r>
    </w:p>
    <w:p w:rsidR="006F2901" w:rsidRPr="00511023" w:rsidP="00E5517F" w14:paraId="2FE15FB2" w14:textId="7073EAAC">
      <w:pPr>
        <w:spacing w:after="0"/>
        <w:jc w:val="center"/>
        <w:rPr>
          <w:rFonts w:cs="Times New Roman"/>
          <w:b/>
        </w:rPr>
      </w:pPr>
      <w:r w:rsidRPr="00511023">
        <w:rPr>
          <w:rFonts w:cs="Times New Roman"/>
          <w:b/>
        </w:rPr>
        <w:t xml:space="preserve">Released </w:t>
      </w:r>
      <w:r w:rsidR="008821A1">
        <w:rPr>
          <w:rFonts w:cs="Times New Roman"/>
          <w:b/>
        </w:rPr>
        <w:t>May 13, 2020</w:t>
      </w:r>
    </w:p>
    <w:p w:rsidR="000E4E16" w:rsidRPr="00511023" w:rsidP="000E4E16" w14:paraId="7420EAC8" w14:textId="77777777">
      <w:pPr>
        <w:spacing w:after="0"/>
        <w:rPr>
          <w:rFonts w:cs="Times New Roman"/>
        </w:rPr>
      </w:pPr>
    </w:p>
    <w:p w:rsidR="00FE346F" w:rsidRPr="00511023" w:rsidP="000E4E16" w14:paraId="6742A8FC" w14:textId="77777777">
      <w:pPr>
        <w:spacing w:after="0"/>
        <w:rPr>
          <w:rFonts w:cs="Times New Roman"/>
          <w:b/>
        </w:rPr>
      </w:pPr>
    </w:p>
    <w:p w:rsidR="006F2901" w:rsidRPr="00511023" w:rsidP="00FE346F" w14:paraId="0359BFFD" w14:textId="51464E2E">
      <w:pPr>
        <w:spacing w:after="0"/>
        <w:ind w:left="1080"/>
        <w:rPr>
          <w:rFonts w:cs="Times New Roman"/>
          <w:b/>
        </w:rPr>
      </w:pPr>
      <w:r w:rsidRPr="00B12C82">
        <w:rPr>
          <w:rFonts w:cs="Times New Roman"/>
          <w:b/>
        </w:rPr>
        <w:t>Th</w:t>
      </w:r>
      <w:r w:rsidRPr="00B12C82">
        <w:rPr>
          <w:rFonts w:cs="Times New Roman"/>
          <w:b/>
        </w:rPr>
        <w:t xml:space="preserve">is Guide is prepared in accordance with the requirements of </w:t>
      </w:r>
      <w:r w:rsidR="00C3455C">
        <w:rPr>
          <w:rFonts w:cs="Times New Roman"/>
          <w:b/>
        </w:rPr>
        <w:t>s</w:t>
      </w:r>
      <w:r w:rsidRPr="00B12C82" w:rsidR="00C3455C">
        <w:rPr>
          <w:rFonts w:cs="Times New Roman"/>
          <w:b/>
        </w:rPr>
        <w:t xml:space="preserve">ection </w:t>
      </w:r>
      <w:r w:rsidRPr="00B12C82">
        <w:rPr>
          <w:rFonts w:cs="Times New Roman"/>
          <w:b/>
        </w:rPr>
        <w:t xml:space="preserve">212 of the Small Business Regulatory Enforcement Fairness Act of 1996.  It is intended to help small entities—small businesses, small organizations (non-profits), and small governmental jurisdictions—comply with the </w:t>
      </w:r>
      <w:r w:rsidRPr="00E2092F" w:rsidR="00C47CEF">
        <w:rPr>
          <w:rFonts w:cs="Times New Roman"/>
          <w:b/>
        </w:rPr>
        <w:t xml:space="preserve">revised </w:t>
      </w:r>
      <w:r w:rsidRPr="00E2092F">
        <w:rPr>
          <w:rFonts w:cs="Times New Roman"/>
          <w:b/>
        </w:rPr>
        <w:t xml:space="preserve">rules adopted in the above-referenced </w:t>
      </w:r>
      <w:r w:rsidRPr="00E2092F" w:rsidR="00C47CEF">
        <w:rPr>
          <w:rFonts w:cs="Times New Roman"/>
          <w:b/>
        </w:rPr>
        <w:t>Federal Communications Commission (</w:t>
      </w:r>
      <w:r w:rsidRPr="00E2092F">
        <w:rPr>
          <w:rFonts w:cs="Times New Roman"/>
          <w:b/>
        </w:rPr>
        <w:t>FCC</w:t>
      </w:r>
      <w:r w:rsidRPr="00E2092F" w:rsidR="00C47CEF">
        <w:rPr>
          <w:rFonts w:cs="Times New Roman"/>
          <w:b/>
        </w:rPr>
        <w:t xml:space="preserve"> or Commission)</w:t>
      </w:r>
      <w:r w:rsidRPr="00E2092F">
        <w:rPr>
          <w:rFonts w:cs="Times New Roman"/>
          <w:b/>
        </w:rPr>
        <w:t xml:space="preserve"> rulemaking dockets.  This Guide is not intended to replace </w:t>
      </w:r>
      <w:r w:rsidRPr="00E2092F" w:rsidR="00C47CEF">
        <w:rPr>
          <w:rFonts w:cs="Times New Roman"/>
          <w:b/>
        </w:rPr>
        <w:t xml:space="preserve">or supersede </w:t>
      </w:r>
      <w:r w:rsidRPr="00E2092F">
        <w:rPr>
          <w:rFonts w:cs="Times New Roman"/>
          <w:b/>
        </w:rPr>
        <w:t>the</w:t>
      </w:r>
      <w:r w:rsidRPr="00E2092F" w:rsidR="00C47CEF">
        <w:rPr>
          <w:rFonts w:cs="Times New Roman"/>
          <w:b/>
        </w:rPr>
        <w:t>se</w:t>
      </w:r>
      <w:r w:rsidRPr="00E2092F">
        <w:rPr>
          <w:rFonts w:cs="Times New Roman"/>
          <w:b/>
        </w:rPr>
        <w:t xml:space="preserve"> rules</w:t>
      </w:r>
      <w:r w:rsidRPr="00E2092F" w:rsidR="00C47CEF">
        <w:rPr>
          <w:rFonts w:cs="Times New Roman"/>
          <w:b/>
        </w:rPr>
        <w:t xml:space="preserve">, but to facilitate compliance with the rules. </w:t>
      </w:r>
      <w:r w:rsidRPr="00E2092F">
        <w:rPr>
          <w:rFonts w:cs="Times New Roman"/>
          <w:b/>
        </w:rPr>
        <w:t xml:space="preserve"> Although we have attempted to cover all parts of the rules that might be especially important to small entities, the coverage may not be exhaustive.  This Guide </w:t>
      </w:r>
      <w:r w:rsidRPr="00E2092F" w:rsidR="00B629FE">
        <w:rPr>
          <w:rFonts w:cs="Times New Roman"/>
          <w:b/>
        </w:rPr>
        <w:t xml:space="preserve">cannot anticipate all situations in which the rules apply.   Furthermore, the Commission </w:t>
      </w:r>
      <w:r w:rsidRPr="00E2092F">
        <w:rPr>
          <w:rFonts w:cs="Times New Roman"/>
          <w:b/>
        </w:rPr>
        <w:t xml:space="preserve">retains the discretion to adopt </w:t>
      </w:r>
      <w:r w:rsidRPr="00E2092F" w:rsidR="00B629FE">
        <w:rPr>
          <w:rFonts w:cs="Times New Roman"/>
          <w:b/>
        </w:rPr>
        <w:t xml:space="preserve">case-by-case </w:t>
      </w:r>
      <w:r w:rsidRPr="00E2092F">
        <w:rPr>
          <w:rFonts w:cs="Times New Roman"/>
          <w:b/>
        </w:rPr>
        <w:t>approaches</w:t>
      </w:r>
      <w:r w:rsidRPr="00E2092F" w:rsidR="00B629FE">
        <w:rPr>
          <w:rFonts w:cs="Times New Roman"/>
          <w:b/>
        </w:rPr>
        <w:t>, where appropriate,</w:t>
      </w:r>
      <w:r w:rsidRPr="00E2092F">
        <w:rPr>
          <w:rFonts w:cs="Times New Roman"/>
          <w:b/>
        </w:rPr>
        <w:t xml:space="preserve"> that may differ from this Guide.  Any decision regarding a </w:t>
      </w:r>
      <w:r w:rsidRPr="00E2092F">
        <w:rPr>
          <w:rFonts w:cs="Times New Roman"/>
          <w:b/>
        </w:rPr>
        <w:t>particular small</w:t>
      </w:r>
      <w:r w:rsidRPr="00E2092F">
        <w:rPr>
          <w:rFonts w:cs="Times New Roman"/>
          <w:b/>
        </w:rPr>
        <w:t xml:space="preserve"> entity will be based on the statute and</w:t>
      </w:r>
      <w:r w:rsidRPr="00E2092F" w:rsidR="008E2841">
        <w:rPr>
          <w:rFonts w:cs="Times New Roman"/>
          <w:b/>
        </w:rPr>
        <w:t xml:space="preserve"> any relevant rules</w:t>
      </w:r>
      <w:r w:rsidRPr="00511023">
        <w:rPr>
          <w:rFonts w:cs="Times New Roman"/>
          <w:b/>
        </w:rPr>
        <w:t xml:space="preserve">. </w:t>
      </w:r>
    </w:p>
    <w:p w:rsidR="006F2901" w:rsidRPr="00511023" w:rsidP="00FE346F" w14:paraId="25270ABA" w14:textId="77777777">
      <w:pPr>
        <w:pStyle w:val="ListParagraph"/>
        <w:ind w:left="1080" w:hanging="1080"/>
        <w:rPr>
          <w:rFonts w:cs="Times New Roman"/>
          <w:b/>
        </w:rPr>
      </w:pPr>
    </w:p>
    <w:p w:rsidR="006F2901" w:rsidRPr="00511023" w:rsidP="000E4E16" w14:paraId="65D355CA" w14:textId="13621D8C">
      <w:pPr>
        <w:pStyle w:val="ListParagraph"/>
        <w:ind w:left="1080"/>
        <w:rPr>
          <w:rFonts w:cs="Times New Roman"/>
          <w:b/>
        </w:rPr>
      </w:pPr>
      <w:r w:rsidRPr="00E2092F">
        <w:rPr>
          <w:rFonts w:cs="Times New Roman"/>
          <w:b/>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w:t>
      </w:r>
      <w:r w:rsidRPr="00E2092F">
        <w:rPr>
          <w:rFonts w:cs="Times New Roman"/>
          <w:b/>
        </w:rPr>
        <w:t>particular situation</w:t>
      </w:r>
      <w:r w:rsidRPr="00E2092F" w:rsidR="00B47D0B">
        <w:rPr>
          <w:rFonts w:cs="Times New Roman"/>
          <w:b/>
        </w:rPr>
        <w:t>. T</w:t>
      </w:r>
      <w:r w:rsidRPr="00E2092F">
        <w:rPr>
          <w:rFonts w:cs="Times New Roman"/>
          <w:b/>
        </w:rPr>
        <w:t xml:space="preserve">he FCC will </w:t>
      </w:r>
      <w:r w:rsidRPr="00E2092F" w:rsidR="00FE30EB">
        <w:rPr>
          <w:rFonts w:cs="Times New Roman"/>
          <w:b/>
        </w:rPr>
        <w:t xml:space="preserve">then </w:t>
      </w:r>
      <w:r w:rsidRPr="00E2092F">
        <w:rPr>
          <w:rFonts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cs="Times New Roman"/>
          <w:b/>
        </w:rPr>
        <w:t>i</w:t>
      </w:r>
      <w:r w:rsidRPr="00E2092F">
        <w:rPr>
          <w:rFonts w:cs="Times New Roman"/>
          <w:b/>
        </w:rPr>
        <w:t>t</w:t>
      </w:r>
      <w:r w:rsidRPr="00E2092F" w:rsidR="00B47D0B">
        <w:rPr>
          <w:rFonts w:cs="Times New Roman"/>
          <w:b/>
        </w:rPr>
        <w:t xml:space="preserve"> may</w:t>
      </w:r>
      <w:r w:rsidRPr="00E2092F">
        <w:rPr>
          <w:rFonts w:cs="Times New Roman"/>
          <w:b/>
        </w:rPr>
        <w:t xml:space="preserve"> clarify or update the text of the Guide.  Direct your comments and recommendations, or calls for further assistance, to the FCC’s Consumer Center</w:t>
      </w:r>
      <w:r w:rsidRPr="00511023">
        <w:rPr>
          <w:rFonts w:cs="Times New Roman"/>
          <w:b/>
        </w:rPr>
        <w:t>:</w:t>
      </w:r>
    </w:p>
    <w:p w:rsidR="000E4E16" w:rsidRPr="00511023" w:rsidP="000E4E16" w14:paraId="44F9D184" w14:textId="77777777">
      <w:pPr>
        <w:pStyle w:val="ListParagraph"/>
        <w:ind w:left="1080"/>
        <w:rPr>
          <w:rFonts w:cs="Times New Roman"/>
          <w:b/>
        </w:rPr>
      </w:pPr>
    </w:p>
    <w:p w:rsidR="006F2901" w:rsidRPr="00E2092F" w:rsidP="00E2092F" w14:paraId="3EE78D98" w14:textId="05A6654E">
      <w:pPr>
        <w:pStyle w:val="ListParagraph"/>
        <w:ind w:left="1080"/>
        <w:jc w:val="center"/>
        <w:rPr>
          <w:rFonts w:cs="Times New Roman"/>
          <w:b/>
        </w:rPr>
      </w:pPr>
      <w:r w:rsidRPr="00E2092F">
        <w:rPr>
          <w:rFonts w:cs="Times New Roman"/>
          <w:b/>
        </w:rPr>
        <w:t>1-888-CALL-FCC (1-888-225-5322)</w:t>
      </w:r>
    </w:p>
    <w:p w:rsidR="00B47D0B" w:rsidRPr="00E2092F" w:rsidP="00E2092F" w14:paraId="7189DA74" w14:textId="5B89279E">
      <w:pPr>
        <w:pStyle w:val="ListParagraph"/>
        <w:ind w:left="1080"/>
        <w:jc w:val="center"/>
        <w:rPr>
          <w:rFonts w:cs="Times New Roman"/>
          <w:b/>
        </w:rPr>
      </w:pPr>
      <w:r w:rsidRPr="00E2092F">
        <w:rPr>
          <w:rFonts w:cs="Times New Roman"/>
          <w:b/>
        </w:rPr>
        <w:t>TTY: 1-888-TELL-FCC (1-888-835-5322)</w:t>
      </w:r>
    </w:p>
    <w:p w:rsidR="006F2901" w:rsidRPr="00E2092F" w:rsidP="00E2092F" w14:paraId="542FD57C" w14:textId="71A82108">
      <w:pPr>
        <w:pStyle w:val="ListParagraph"/>
        <w:ind w:left="1080"/>
        <w:jc w:val="center"/>
        <w:rPr>
          <w:rFonts w:cs="Times New Roman"/>
          <w:b/>
        </w:rPr>
      </w:pPr>
      <w:r w:rsidRPr="00E2092F">
        <w:rPr>
          <w:rFonts w:cs="Times New Roman"/>
          <w:b/>
        </w:rPr>
        <w:t>Videophone: 1-844-4-FCC-ASL (1-844-432-2275)</w:t>
      </w:r>
    </w:p>
    <w:p w:rsidR="0095132F" w:rsidRPr="00E2092F" w:rsidP="00E2092F" w14:paraId="4A1DEB02" w14:textId="37C1C0C6">
      <w:pPr>
        <w:pStyle w:val="ListParagraph"/>
        <w:ind w:left="1080"/>
        <w:jc w:val="center"/>
        <w:rPr>
          <w:rFonts w:cs="Times New Roman"/>
          <w:b/>
        </w:rPr>
        <w:sectPr w:rsidSect="00152909">
          <w:headerReference w:type="default" r:id="rId4"/>
          <w:footerReference w:type="default" r:id="rId5"/>
          <w:pgSz w:w="12240" w:h="15840"/>
          <w:pgMar w:top="1440" w:right="1440" w:bottom="1008" w:left="1440" w:header="720" w:footer="187" w:gutter="0"/>
          <w:cols w:space="720"/>
          <w:docGrid w:linePitch="360"/>
        </w:sectPr>
      </w:pPr>
      <w:r w:rsidRPr="00E2092F">
        <w:rPr>
          <w:rFonts w:cs="Times New Roman"/>
          <w:b/>
        </w:rPr>
        <w:t>Fax: 1-866-418-0232</w:t>
      </w:r>
    </w:p>
    <w:p w:rsidR="008D4AA5" w:rsidP="00074CA4" w14:paraId="3E1F4757" w14:textId="77777777">
      <w:pPr>
        <w:pStyle w:val="ListParagraph"/>
        <w:spacing w:after="0"/>
        <w:ind w:left="0"/>
        <w:rPr>
          <w:rFonts w:cs="Times New Roman"/>
          <w:b/>
        </w:rPr>
      </w:pPr>
      <w:r w:rsidRPr="00511023">
        <w:rPr>
          <w:rFonts w:cs="Times New Roman"/>
          <w:b/>
        </w:rPr>
        <w:t xml:space="preserve">                               </w:t>
      </w:r>
    </w:p>
    <w:p w:rsidR="008D4AA5" w:rsidRPr="00074CA4" w:rsidP="00074CA4" w14:paraId="2364AF40" w14:textId="77777777">
      <w:pPr>
        <w:rPr>
          <w:rFonts w:cs="Times New Roman"/>
          <w:b/>
        </w:rPr>
      </w:pPr>
    </w:p>
    <w:p w:rsidR="00463A2A" w:rsidP="00E97A21" w14:paraId="2A40148F" w14:textId="77777777">
      <w:pPr>
        <w:rPr>
          <w:rFonts w:cs="Times New Roman"/>
          <w:b/>
        </w:rPr>
      </w:pPr>
    </w:p>
    <w:p w:rsidR="001743EF" w:rsidP="00E97A21" w14:paraId="0E64538F" w14:textId="77777777">
      <w:pPr>
        <w:rPr>
          <w:rFonts w:cs="Times New Roman"/>
          <w:b/>
        </w:rPr>
        <w:sectPr w:rsidSect="001743EF">
          <w:headerReference w:type="default" r:id="rId6"/>
          <w:pgSz w:w="12240" w:h="15840"/>
          <w:pgMar w:top="1440" w:right="1440" w:bottom="1008" w:left="1440" w:header="720" w:footer="187" w:gutter="0"/>
          <w:pgNumType w:start="1"/>
          <w:cols w:space="720"/>
          <w:docGrid w:linePitch="360"/>
        </w:sectPr>
      </w:pPr>
    </w:p>
    <w:p w:rsidR="00E97A21" w:rsidRPr="00511023" w:rsidP="00286EA8" w14:paraId="003F6D71" w14:textId="5359E51D">
      <w:pPr>
        <w:tabs>
          <w:tab w:val="left" w:pos="720"/>
        </w:tabs>
        <w:rPr>
          <w:rFonts w:cs="Times New Roman"/>
          <w:b/>
        </w:rPr>
      </w:pPr>
      <w:r>
        <w:rPr>
          <w:rFonts w:cs="Times New Roman"/>
          <w:b/>
        </w:rPr>
        <w:t xml:space="preserve">I.            </w:t>
      </w:r>
      <w:r w:rsidRPr="00511023" w:rsidR="001A1EAC">
        <w:rPr>
          <w:rFonts w:cs="Times New Roman"/>
          <w:b/>
        </w:rPr>
        <w:t>OBJECTIVES OF THE PROCEEDING</w:t>
      </w:r>
    </w:p>
    <w:p w:rsidR="00531220" w:rsidP="008821A1" w14:paraId="554AF143" w14:textId="1C2B68EC">
      <w:pPr>
        <w:tabs>
          <w:tab w:val="center" w:pos="4680"/>
        </w:tabs>
        <w:suppressAutoHyphens/>
      </w:pPr>
      <w:r>
        <w:rPr>
          <w:rFonts w:cs="Times New Roman"/>
        </w:rPr>
        <w:t>In th</w:t>
      </w:r>
      <w:r w:rsidR="008170D5">
        <w:rPr>
          <w:rFonts w:cs="Times New Roman"/>
        </w:rPr>
        <w:t>e</w:t>
      </w:r>
      <w:r>
        <w:rPr>
          <w:rFonts w:cs="Times New Roman"/>
        </w:rPr>
        <w:t xml:space="preserve"> </w:t>
      </w:r>
      <w:r w:rsidR="008821A1">
        <w:rPr>
          <w:rFonts w:cs="Times New Roman"/>
          <w:i/>
        </w:rPr>
        <w:t>Second</w:t>
      </w:r>
      <w:r w:rsidRPr="001E36B9">
        <w:rPr>
          <w:rFonts w:cs="Times New Roman"/>
          <w:i/>
        </w:rPr>
        <w:t xml:space="preserve"> Report and Order</w:t>
      </w:r>
      <w:r>
        <w:rPr>
          <w:rFonts w:cs="Times New Roman"/>
        </w:rPr>
        <w:t xml:space="preserve"> in MB Docket</w:t>
      </w:r>
      <w:r w:rsidR="008821A1">
        <w:rPr>
          <w:rFonts w:cs="Times New Roman"/>
        </w:rPr>
        <w:t>s</w:t>
      </w:r>
      <w:r>
        <w:rPr>
          <w:rFonts w:cs="Times New Roman"/>
        </w:rPr>
        <w:t xml:space="preserve"> </w:t>
      </w:r>
      <w:r w:rsidR="008821A1">
        <w:rPr>
          <w:rFonts w:cs="Times New Roman"/>
        </w:rPr>
        <w:t>17-264</w:t>
      </w:r>
      <w:r>
        <w:rPr>
          <w:rFonts w:cs="Times New Roman"/>
        </w:rPr>
        <w:t xml:space="preserve">, </w:t>
      </w:r>
      <w:r w:rsidRPr="008821A1" w:rsidR="008821A1">
        <w:rPr>
          <w:i/>
          <w:iCs/>
          <w:spacing w:val="-2"/>
        </w:rPr>
        <w:t>Amendment of Section 73.3580 of the Commission’s Rules Regarding Public Notice of the Filing of Applications</w:t>
      </w:r>
      <w:r w:rsidR="008821A1">
        <w:rPr>
          <w:rFonts w:cs="Times New Roman"/>
        </w:rPr>
        <w:t xml:space="preserve">; 17-105, </w:t>
      </w:r>
      <w:r w:rsidRPr="008821A1" w:rsidR="008821A1">
        <w:rPr>
          <w:rFonts w:cs="Times New Roman"/>
          <w:i/>
          <w:iCs/>
        </w:rPr>
        <w:t>Modernization of Media Regulation In</w:t>
      </w:r>
      <w:r w:rsidR="006C7C44">
        <w:rPr>
          <w:rFonts w:cs="Times New Roman"/>
          <w:i/>
          <w:iCs/>
        </w:rPr>
        <w:t>i</w:t>
      </w:r>
      <w:r w:rsidRPr="008821A1" w:rsidR="008821A1">
        <w:rPr>
          <w:rFonts w:cs="Times New Roman"/>
          <w:i/>
          <w:iCs/>
        </w:rPr>
        <w:t>tiative</w:t>
      </w:r>
      <w:r w:rsidR="008821A1">
        <w:rPr>
          <w:rFonts w:cs="Times New Roman"/>
        </w:rPr>
        <w:t xml:space="preserve">; and 05-6, </w:t>
      </w:r>
      <w:r w:rsidRPr="008821A1" w:rsidR="008821A1">
        <w:rPr>
          <w:i/>
          <w:iCs/>
          <w:spacing w:val="-2"/>
        </w:rPr>
        <w:t>Revision of the Public Notice Requirements of Section 73.3580</w:t>
      </w:r>
      <w:r w:rsidR="008821A1">
        <w:rPr>
          <w:spacing w:val="-2"/>
        </w:rPr>
        <w:t xml:space="preserve">, </w:t>
      </w:r>
      <w:r>
        <w:rPr>
          <w:rFonts w:cs="Times New Roman"/>
        </w:rPr>
        <w:t>the Commission amended certain rule</w:t>
      </w:r>
      <w:r w:rsidR="00D160D1">
        <w:rPr>
          <w:rFonts w:cs="Times New Roman"/>
        </w:rPr>
        <w:t>s, described in detail in Section II,</w:t>
      </w:r>
      <w:r w:rsidR="008821A1">
        <w:rPr>
          <w:rFonts w:cs="Times New Roman"/>
        </w:rPr>
        <w:t xml:space="preserve"> pertaining to the local public notice given by some applicants in the mass media services</w:t>
      </w:r>
      <w:r>
        <w:rPr>
          <w:rFonts w:cs="Times New Roman"/>
        </w:rPr>
        <w:t xml:space="preserve">, in order </w:t>
      </w:r>
      <w:r w:rsidRPr="001C641C" w:rsidR="003C7B5C">
        <w:t xml:space="preserve">to update, clarify, and streamline section 73.3580 and the local public notice obligations contained in that and other related rule sections.  </w:t>
      </w:r>
      <w:bookmarkStart w:id="1" w:name="_Hlk38875379"/>
      <w:r w:rsidR="00B17827">
        <w:t>The Communications Act of 1934, as amended (the Act)</w:t>
      </w:r>
      <w:r w:rsidR="00D160D1">
        <w:t>,</w:t>
      </w:r>
      <w:r w:rsidR="00B17827">
        <w:t xml:space="preserve"> requires applicants for certain broadcast authorizations to give notice of application filing in the principal area which is served or is to be served by the station.  This is to ensure that relevant communities are made aware of applications and are given the opportunity to participate in the broadcast licensing process.  However, section</w:t>
      </w:r>
      <w:r w:rsidRPr="001C641C" w:rsidR="00B17827">
        <w:t xml:space="preserve"> 73.3580</w:t>
      </w:r>
      <w:r>
        <w:t xml:space="preserve"> of the Commission’s rules, which sets forth the public notice requirement,</w:t>
      </w:r>
      <w:r w:rsidRPr="001C641C" w:rsidR="00B17827">
        <w:t xml:space="preserve"> </w:t>
      </w:r>
      <w:r>
        <w:t>had</w:t>
      </w:r>
      <w:r w:rsidR="00B17827">
        <w:t xml:space="preserve"> become unnecessarily complicated and confusing</w:t>
      </w:r>
      <w:r w:rsidRPr="001C641C" w:rsidR="00B17827">
        <w:t xml:space="preserve">.  </w:t>
      </w:r>
      <w:bookmarkEnd w:id="1"/>
    </w:p>
    <w:p w:rsidR="00F20130" w:rsidP="008821A1" w14:paraId="19A57F42" w14:textId="4864F4C9">
      <w:pPr>
        <w:tabs>
          <w:tab w:val="center" w:pos="4680"/>
        </w:tabs>
        <w:suppressAutoHyphens/>
      </w:pPr>
      <w:r>
        <w:rPr>
          <w:rFonts w:cs="Times New Roman"/>
        </w:rPr>
        <w:t>Prior to the rule amendments, broadcasters gave local public notice of applications by publishing such notices in local newspapers, and/or by broadcasting detailed announcements on the air.  Newspaper publication is expensive and therefore burdensome on broadcasters, and many newspapers are going out of business</w:t>
      </w:r>
      <w:r>
        <w:rPr>
          <w:rFonts w:cs="Times New Roman"/>
        </w:rPr>
        <w:t>.  C</w:t>
      </w:r>
      <w:r>
        <w:rPr>
          <w:rFonts w:cs="Times New Roman"/>
        </w:rPr>
        <w:t xml:space="preserve">onsumers increasingly turn to the Internet for news and local information.  </w:t>
      </w:r>
      <w:r>
        <w:rPr>
          <w:rFonts w:cs="Times New Roman"/>
        </w:rPr>
        <w:t>Long</w:t>
      </w:r>
      <w:r>
        <w:rPr>
          <w:rFonts w:cs="Times New Roman"/>
        </w:rPr>
        <w:t xml:space="preserve"> on-air announcements consume </w:t>
      </w:r>
      <w:r w:rsidR="00671E00">
        <w:rPr>
          <w:rFonts w:cs="Times New Roman"/>
        </w:rPr>
        <w:t xml:space="preserve">valuable </w:t>
      </w:r>
      <w:r>
        <w:rPr>
          <w:rFonts w:cs="Times New Roman"/>
        </w:rPr>
        <w:t>air time</w:t>
      </w:r>
      <w:r>
        <w:rPr>
          <w:rFonts w:cs="Times New Roman"/>
        </w:rPr>
        <w:t xml:space="preserve"> that could be used to generate revenue or programming.  Additionally, under the prior rules local notice consisted largely of </w:t>
      </w:r>
      <w:r w:rsidR="00D85347">
        <w:rPr>
          <w:rFonts w:cs="Times New Roman"/>
        </w:rPr>
        <w:t>a summary</w:t>
      </w:r>
      <w:r>
        <w:rPr>
          <w:rFonts w:cs="Times New Roman"/>
        </w:rPr>
        <w:t xml:space="preserve"> of </w:t>
      </w:r>
      <w:r w:rsidR="00D85347">
        <w:rPr>
          <w:rFonts w:cs="Times New Roman"/>
        </w:rPr>
        <w:t xml:space="preserve">the filed </w:t>
      </w:r>
      <w:r>
        <w:rPr>
          <w:rFonts w:cs="Times New Roman"/>
        </w:rPr>
        <w:t>application, with the public having to travel to the station’s main studio or other site to view the actual application.  The Commission initiated th</w:t>
      </w:r>
      <w:r>
        <w:rPr>
          <w:rFonts w:cs="Times New Roman"/>
        </w:rPr>
        <w:t>is</w:t>
      </w:r>
      <w:r>
        <w:rPr>
          <w:rFonts w:cs="Times New Roman"/>
        </w:rPr>
        <w:t xml:space="preserve"> rule making to </w:t>
      </w:r>
      <w:r>
        <w:rPr>
          <w:rFonts w:cs="Times New Roman"/>
        </w:rPr>
        <w:t xml:space="preserve">make broadcasters’ public notice obligations clearer, simpler, and less expensive, and to make it easier for the public to read applications on the Internet rather than having to travel to the station or rely on summaries of applications.  </w:t>
      </w:r>
    </w:p>
    <w:p w:rsidR="001E36B9" w:rsidP="008821A1" w14:paraId="20AE2DCB" w14:textId="640F8EB2">
      <w:pPr>
        <w:tabs>
          <w:tab w:val="center" w:pos="4680"/>
        </w:tabs>
        <w:suppressAutoHyphens/>
        <w:rPr>
          <w:rFonts w:cs="Times New Roman"/>
        </w:rPr>
      </w:pPr>
      <w:r>
        <w:t>Notably</w:t>
      </w:r>
      <w:r w:rsidR="003C7B5C">
        <w:t>,</w:t>
      </w:r>
      <w:r w:rsidRPr="001C641C" w:rsidR="003C7B5C">
        <w:t xml:space="preserve"> </w:t>
      </w:r>
      <w:r w:rsidR="003C7B5C">
        <w:t>the Commission eliminated</w:t>
      </w:r>
      <w:r w:rsidRPr="001C641C" w:rsidR="003C7B5C">
        <w:t xml:space="preserve"> the obligation to publish public notices in print newspapers</w:t>
      </w:r>
      <w:r w:rsidR="003C7B5C">
        <w:t>, and required instead that</w:t>
      </w:r>
      <w:r w:rsidRPr="001C641C" w:rsidR="003C7B5C">
        <w:t xml:space="preserve"> applicants provide public notice through online notices that link directly to the Commission-hosted online public inspection file</w:t>
      </w:r>
      <w:r w:rsidR="00F20130">
        <w:t xml:space="preserve"> (OPIF)</w:t>
      </w:r>
      <w:r w:rsidRPr="001C641C" w:rsidR="003C7B5C">
        <w:t xml:space="preserve"> or </w:t>
      </w:r>
      <w:r w:rsidR="00F20130">
        <w:t xml:space="preserve">the Commission’s </w:t>
      </w:r>
      <w:r w:rsidRPr="001C641C" w:rsidR="003C7B5C">
        <w:t xml:space="preserve">application </w:t>
      </w:r>
      <w:r w:rsidR="00F20130">
        <w:t xml:space="preserve">filing </w:t>
      </w:r>
      <w:r w:rsidRPr="001C641C" w:rsidR="003C7B5C">
        <w:t xml:space="preserve">databases, and/or through on-air announcements that direct viewers and listeners to those application resources.  </w:t>
      </w:r>
      <w:r w:rsidR="003C7B5C">
        <w:t>The Commission adopted these new rules in order</w:t>
      </w:r>
      <w:r w:rsidRPr="001C641C" w:rsidR="003C7B5C">
        <w:t xml:space="preserve"> to simplify broadcasters’ local public notice obligations in a manner that reduces costs and burdens on applicants, while facilitating robust public participation in the broadcast licensing process.</w:t>
      </w:r>
    </w:p>
    <w:p w:rsidR="001E36B9" w:rsidP="00E97A21" w14:paraId="51151622" w14:textId="570CF446">
      <w:pPr>
        <w:rPr>
          <w:rFonts w:cs="Times New Roman"/>
        </w:rPr>
      </w:pPr>
      <w:r>
        <w:rPr>
          <w:rFonts w:cs="Times New Roman"/>
        </w:rPr>
        <w:t xml:space="preserve">Specifically, in the </w:t>
      </w:r>
      <w:r w:rsidR="003C7B5C">
        <w:rPr>
          <w:rFonts w:cs="Times New Roman"/>
          <w:i/>
        </w:rPr>
        <w:t>Second</w:t>
      </w:r>
      <w:r w:rsidRPr="005B6532">
        <w:rPr>
          <w:rFonts w:cs="Times New Roman"/>
          <w:i/>
        </w:rPr>
        <w:t xml:space="preserve"> Report and Order</w:t>
      </w:r>
      <w:r>
        <w:rPr>
          <w:rFonts w:cs="Times New Roman"/>
        </w:rPr>
        <w:t xml:space="preserve"> the Commission</w:t>
      </w:r>
      <w:r w:rsidR="00C8488C">
        <w:rPr>
          <w:rFonts w:cs="Times New Roman"/>
        </w:rPr>
        <w:t xml:space="preserve"> (a)</w:t>
      </w:r>
      <w:r>
        <w:rPr>
          <w:rFonts w:cs="Times New Roman"/>
        </w:rPr>
        <w:t xml:space="preserve"> </w:t>
      </w:r>
      <w:r w:rsidR="00814C33">
        <w:rPr>
          <w:rFonts w:cs="Times New Roman"/>
          <w:szCs w:val="24"/>
        </w:rPr>
        <w:t>amended 47 CFR § 73.3580 by providing for online notice of application filing, eliminating the need to publish such notice in newspapers, with standard online notice texts to be posted for 30 continuous days on applicant-affiliated</w:t>
      </w:r>
      <w:r w:rsidR="00EA0939">
        <w:rPr>
          <w:rFonts w:cs="Times New Roman"/>
          <w:szCs w:val="24"/>
        </w:rPr>
        <w:t>,</w:t>
      </w:r>
      <w:r w:rsidR="00814C33">
        <w:rPr>
          <w:rFonts w:cs="Times New Roman"/>
          <w:szCs w:val="24"/>
        </w:rPr>
        <w:t xml:space="preserve"> or publicly accessible</w:t>
      </w:r>
      <w:r w:rsidR="00EA0939">
        <w:rPr>
          <w:rFonts w:cs="Times New Roman"/>
          <w:szCs w:val="24"/>
        </w:rPr>
        <w:t xml:space="preserve"> and</w:t>
      </w:r>
      <w:r w:rsidR="00814C33">
        <w:rPr>
          <w:rFonts w:cs="Times New Roman"/>
          <w:szCs w:val="24"/>
        </w:rPr>
        <w:t xml:space="preserve"> locally targeted websites linking the public to the application in Commission databases; (b) further </w:t>
      </w:r>
      <w:r w:rsidR="005B6532">
        <w:rPr>
          <w:rFonts w:cs="Times New Roman"/>
          <w:szCs w:val="24"/>
        </w:rPr>
        <w:t>amended 47 CFR § 73.</w:t>
      </w:r>
      <w:r w:rsidR="003C7B5C">
        <w:rPr>
          <w:rFonts w:cs="Times New Roman"/>
          <w:szCs w:val="24"/>
        </w:rPr>
        <w:t>3580</w:t>
      </w:r>
      <w:r w:rsidRPr="005B6532" w:rsidR="005B6532">
        <w:rPr>
          <w:rFonts w:cs="Times New Roman"/>
          <w:szCs w:val="24"/>
        </w:rPr>
        <w:t xml:space="preserve"> </w:t>
      </w:r>
      <w:r w:rsidR="005B6532">
        <w:rPr>
          <w:rFonts w:cs="Times New Roman"/>
          <w:szCs w:val="24"/>
        </w:rPr>
        <w:t xml:space="preserve">to </w:t>
      </w:r>
      <w:r w:rsidR="003C7B5C">
        <w:rPr>
          <w:rFonts w:cs="Times New Roman"/>
          <w:szCs w:val="24"/>
        </w:rPr>
        <w:t xml:space="preserve">clarify and update the </w:t>
      </w:r>
      <w:r w:rsidR="00D214C5">
        <w:rPr>
          <w:rFonts w:cs="Times New Roman"/>
          <w:szCs w:val="24"/>
        </w:rPr>
        <w:t>rule regarding</w:t>
      </w:r>
      <w:r w:rsidR="003C7B5C">
        <w:rPr>
          <w:rFonts w:cs="Times New Roman"/>
          <w:szCs w:val="24"/>
        </w:rPr>
        <w:t xml:space="preserve"> on-air </w:t>
      </w:r>
      <w:r w:rsidR="00C15B54">
        <w:rPr>
          <w:rFonts w:cs="Times New Roman"/>
          <w:szCs w:val="24"/>
        </w:rPr>
        <w:t xml:space="preserve">notice of application filing, by </w:t>
      </w:r>
      <w:r w:rsidR="00D214C5">
        <w:rPr>
          <w:rFonts w:cs="Times New Roman"/>
          <w:szCs w:val="24"/>
        </w:rPr>
        <w:t>providing a</w:t>
      </w:r>
      <w:r w:rsidR="00C15B54">
        <w:rPr>
          <w:rFonts w:cs="Times New Roman"/>
          <w:szCs w:val="24"/>
        </w:rPr>
        <w:t xml:space="preserve"> shorter and </w:t>
      </w:r>
      <w:r w:rsidR="00D214C5">
        <w:rPr>
          <w:rFonts w:cs="Times New Roman"/>
          <w:szCs w:val="24"/>
        </w:rPr>
        <w:t>simpler on-air script for public notice announcements</w:t>
      </w:r>
      <w:r w:rsidR="00EC6EF8">
        <w:rPr>
          <w:rFonts w:cs="Times New Roman"/>
          <w:szCs w:val="24"/>
        </w:rPr>
        <w:t>, so that t</w:t>
      </w:r>
      <w:r w:rsidR="00C15B54">
        <w:rPr>
          <w:rFonts w:cs="Times New Roman"/>
          <w:szCs w:val="24"/>
        </w:rPr>
        <w:t>he on-air announcements</w:t>
      </w:r>
      <w:r w:rsidR="00D214C5">
        <w:rPr>
          <w:rFonts w:cs="Times New Roman"/>
          <w:szCs w:val="24"/>
        </w:rPr>
        <w:t xml:space="preserve"> now </w:t>
      </w:r>
      <w:r w:rsidR="00EE4A1F">
        <w:rPr>
          <w:rFonts w:cs="Times New Roman"/>
          <w:szCs w:val="24"/>
        </w:rPr>
        <w:t>direct viewers and listeners</w:t>
      </w:r>
      <w:r w:rsidR="00C15B54">
        <w:rPr>
          <w:rFonts w:cs="Times New Roman"/>
          <w:szCs w:val="24"/>
        </w:rPr>
        <w:t xml:space="preserve"> to the actual </w:t>
      </w:r>
      <w:r w:rsidR="0086312B">
        <w:rPr>
          <w:rFonts w:cs="Times New Roman"/>
          <w:szCs w:val="24"/>
        </w:rPr>
        <w:t xml:space="preserve">filed </w:t>
      </w:r>
      <w:r w:rsidR="00C15B54">
        <w:rPr>
          <w:rFonts w:cs="Times New Roman"/>
          <w:szCs w:val="24"/>
        </w:rPr>
        <w:t>application</w:t>
      </w:r>
      <w:r w:rsidR="0086312B">
        <w:rPr>
          <w:rFonts w:cs="Times New Roman"/>
          <w:szCs w:val="24"/>
        </w:rPr>
        <w:t>,</w:t>
      </w:r>
      <w:r w:rsidR="00C15B54">
        <w:rPr>
          <w:rFonts w:cs="Times New Roman"/>
          <w:szCs w:val="24"/>
        </w:rPr>
        <w:t xml:space="preserve"> as available in </w:t>
      </w:r>
      <w:r w:rsidR="00CB257B">
        <w:rPr>
          <w:rFonts w:cs="Times New Roman"/>
          <w:szCs w:val="24"/>
        </w:rPr>
        <w:t xml:space="preserve">the </w:t>
      </w:r>
      <w:r w:rsidR="00C15B54">
        <w:rPr>
          <w:rFonts w:cs="Times New Roman"/>
          <w:szCs w:val="24"/>
        </w:rPr>
        <w:t xml:space="preserve">online Commission databases; </w:t>
      </w:r>
      <w:r w:rsidR="00C8488C">
        <w:rPr>
          <w:rFonts w:cs="Times New Roman"/>
          <w:szCs w:val="24"/>
        </w:rPr>
        <w:t>(</w:t>
      </w:r>
      <w:r w:rsidR="00C15B54">
        <w:rPr>
          <w:rFonts w:cs="Times New Roman"/>
          <w:szCs w:val="24"/>
        </w:rPr>
        <w:t>c</w:t>
      </w:r>
      <w:r w:rsidR="00C8488C">
        <w:rPr>
          <w:rFonts w:cs="Times New Roman"/>
          <w:szCs w:val="24"/>
        </w:rPr>
        <w:t xml:space="preserve">) </w:t>
      </w:r>
      <w:r w:rsidR="00FF425E">
        <w:rPr>
          <w:rFonts w:cs="Times New Roman"/>
          <w:szCs w:val="24"/>
        </w:rPr>
        <w:t>amended 47 CFR § 73.3594</w:t>
      </w:r>
      <w:r w:rsidR="001B5226">
        <w:rPr>
          <w:rFonts w:cs="Times New Roman"/>
          <w:szCs w:val="24"/>
        </w:rPr>
        <w:t xml:space="preserve"> to </w:t>
      </w:r>
      <w:r w:rsidR="00FF425E">
        <w:rPr>
          <w:rFonts w:cs="Times New Roman"/>
          <w:szCs w:val="24"/>
        </w:rPr>
        <w:t xml:space="preserve">modify notice to be given in the case of an application designated for an evidentiary hearing, </w:t>
      </w:r>
      <w:r w:rsidR="004C0EDD">
        <w:rPr>
          <w:rFonts w:cs="Times New Roman"/>
          <w:szCs w:val="24"/>
        </w:rPr>
        <w:t>conform</w:t>
      </w:r>
      <w:r w:rsidR="005B3BA6">
        <w:rPr>
          <w:rFonts w:cs="Times New Roman"/>
          <w:szCs w:val="24"/>
        </w:rPr>
        <w:t>ing</w:t>
      </w:r>
      <w:r w:rsidR="00FF425E">
        <w:rPr>
          <w:rFonts w:cs="Times New Roman"/>
          <w:szCs w:val="24"/>
        </w:rPr>
        <w:t xml:space="preserve"> such notice </w:t>
      </w:r>
      <w:r w:rsidR="005B3BA6">
        <w:rPr>
          <w:rFonts w:cs="Times New Roman"/>
          <w:szCs w:val="24"/>
        </w:rPr>
        <w:t>to</w:t>
      </w:r>
      <w:r w:rsidR="00FF425E">
        <w:rPr>
          <w:rFonts w:cs="Times New Roman"/>
          <w:szCs w:val="24"/>
        </w:rPr>
        <w:t xml:space="preserve"> that given under section 73.3580</w:t>
      </w:r>
      <w:r w:rsidR="00C8488C">
        <w:rPr>
          <w:rFonts w:cs="Times New Roman"/>
          <w:szCs w:val="24"/>
        </w:rPr>
        <w:t>; (</w:t>
      </w:r>
      <w:r w:rsidR="00CB257B">
        <w:rPr>
          <w:rFonts w:cs="Times New Roman"/>
          <w:szCs w:val="24"/>
        </w:rPr>
        <w:t>d</w:t>
      </w:r>
      <w:r w:rsidR="00C8488C">
        <w:rPr>
          <w:rFonts w:cs="Times New Roman"/>
          <w:szCs w:val="24"/>
        </w:rPr>
        <w:t>)</w:t>
      </w:r>
      <w:r w:rsidRPr="005B6532" w:rsidR="005B6532">
        <w:rPr>
          <w:rFonts w:cs="Times New Roman"/>
          <w:szCs w:val="24"/>
        </w:rPr>
        <w:t xml:space="preserve"> </w:t>
      </w:r>
      <w:r w:rsidR="005638E2">
        <w:rPr>
          <w:rFonts w:cs="Times New Roman"/>
        </w:rPr>
        <w:t>amended</w:t>
      </w:r>
      <w:r w:rsidR="00FF425E">
        <w:rPr>
          <w:rFonts w:cs="Times New Roman"/>
        </w:rPr>
        <w:t xml:space="preserve"> 47 CFR §73.801 to add section 73.3580 to the list of rule sections applicable to low-power FM (LPFM) stations</w:t>
      </w:r>
      <w:r w:rsidRPr="005B6532" w:rsidR="005B6532">
        <w:rPr>
          <w:rFonts w:cs="Times New Roman"/>
        </w:rPr>
        <w:t>;</w:t>
      </w:r>
      <w:r w:rsidR="00C8488C">
        <w:rPr>
          <w:rFonts w:cs="Times New Roman"/>
        </w:rPr>
        <w:t xml:space="preserve"> </w:t>
      </w:r>
      <w:r w:rsidR="00FF425E">
        <w:rPr>
          <w:rFonts w:cs="Times New Roman"/>
        </w:rPr>
        <w:t xml:space="preserve">and </w:t>
      </w:r>
      <w:r w:rsidR="00C8488C">
        <w:rPr>
          <w:rFonts w:cs="Times New Roman"/>
        </w:rPr>
        <w:t>(</w:t>
      </w:r>
      <w:r w:rsidR="00CB257B">
        <w:rPr>
          <w:rFonts w:cs="Times New Roman"/>
        </w:rPr>
        <w:t>e</w:t>
      </w:r>
      <w:r w:rsidR="00C8488C">
        <w:rPr>
          <w:rFonts w:cs="Times New Roman"/>
        </w:rPr>
        <w:t>)</w:t>
      </w:r>
      <w:r w:rsidR="00FF425E">
        <w:rPr>
          <w:rFonts w:cs="Times New Roman"/>
        </w:rPr>
        <w:t xml:space="preserve"> amended 47 CFR §§ </w:t>
      </w:r>
      <w:r w:rsidR="00153001">
        <w:rPr>
          <w:rFonts w:cs="Times New Roman"/>
        </w:rPr>
        <w:t xml:space="preserve">73.3526, 73.3527, 73.3571, and 73.3573, to </w:t>
      </w:r>
      <w:r w:rsidR="004C0EDD">
        <w:rPr>
          <w:rFonts w:cs="Times New Roman"/>
        </w:rPr>
        <w:t>conform</w:t>
      </w:r>
      <w:r w:rsidR="00153001">
        <w:rPr>
          <w:rFonts w:cs="Times New Roman"/>
        </w:rPr>
        <w:t xml:space="preserve"> those sections with the modifications to section 73.3580</w:t>
      </w:r>
      <w:r w:rsidRPr="005B6532" w:rsidR="005B6532">
        <w:rPr>
          <w:rFonts w:cs="Times New Roman"/>
        </w:rPr>
        <w:t>.</w:t>
      </w:r>
    </w:p>
    <w:p w:rsidR="00C8488C" w:rsidRPr="005B6532" w:rsidP="00E97A21" w14:paraId="3D4BA4A0" w14:textId="5DF0E191">
      <w:pPr>
        <w:rPr>
          <w:rFonts w:cs="Times New Roman"/>
        </w:rPr>
      </w:pPr>
      <w:r>
        <w:rPr>
          <w:rFonts w:cs="Times New Roman"/>
        </w:rPr>
        <w:t>The rule amendments in th</w:t>
      </w:r>
      <w:r w:rsidR="00B43335">
        <w:rPr>
          <w:rFonts w:cs="Times New Roman"/>
        </w:rPr>
        <w:t>e</w:t>
      </w:r>
      <w:r>
        <w:rPr>
          <w:rFonts w:cs="Times New Roman"/>
        </w:rPr>
        <w:t xml:space="preserve"> </w:t>
      </w:r>
      <w:r w:rsidR="00153001">
        <w:rPr>
          <w:rFonts w:cs="Times New Roman"/>
          <w:i/>
        </w:rPr>
        <w:t>Second</w:t>
      </w:r>
      <w:r w:rsidRPr="00C8488C">
        <w:rPr>
          <w:rFonts w:cs="Times New Roman"/>
          <w:i/>
        </w:rPr>
        <w:t xml:space="preserve"> Report and Order</w:t>
      </w:r>
      <w:r>
        <w:rPr>
          <w:rFonts w:cs="Times New Roman"/>
        </w:rPr>
        <w:t xml:space="preserve"> reduce the burdens on broadcasters </w:t>
      </w:r>
      <w:r w:rsidR="00153001">
        <w:rPr>
          <w:rFonts w:cs="Times New Roman"/>
        </w:rPr>
        <w:t xml:space="preserve">and international broadcast stations by simplifying the public notice to be given, </w:t>
      </w:r>
      <w:r w:rsidR="009F2B15">
        <w:rPr>
          <w:rFonts w:cs="Times New Roman"/>
        </w:rPr>
        <w:t xml:space="preserve">by </w:t>
      </w:r>
      <w:r w:rsidR="00153001">
        <w:rPr>
          <w:rFonts w:cs="Times New Roman"/>
        </w:rPr>
        <w:t>linking public notices</w:t>
      </w:r>
      <w:r w:rsidR="00335EE9">
        <w:rPr>
          <w:rFonts w:cs="Times New Roman"/>
        </w:rPr>
        <w:t xml:space="preserve"> directly</w:t>
      </w:r>
      <w:r w:rsidR="00153001">
        <w:rPr>
          <w:rFonts w:cs="Times New Roman"/>
        </w:rPr>
        <w:t xml:space="preserve"> to </w:t>
      </w:r>
      <w:r w:rsidR="00335EE9">
        <w:rPr>
          <w:rFonts w:cs="Times New Roman"/>
        </w:rPr>
        <w:t xml:space="preserve">the filed application in the </w:t>
      </w:r>
      <w:r w:rsidR="00153001">
        <w:rPr>
          <w:rFonts w:cs="Times New Roman"/>
        </w:rPr>
        <w:t xml:space="preserve">online Commission databases, and </w:t>
      </w:r>
      <w:r w:rsidR="009F2B15">
        <w:rPr>
          <w:rFonts w:cs="Times New Roman"/>
        </w:rPr>
        <w:t xml:space="preserve">by </w:t>
      </w:r>
      <w:r w:rsidR="00153001">
        <w:rPr>
          <w:rFonts w:cs="Times New Roman"/>
        </w:rPr>
        <w:t>eliminating the expense of publishing notice in newspapers</w:t>
      </w:r>
      <w:r>
        <w:rPr>
          <w:rFonts w:cs="Times New Roman"/>
        </w:rPr>
        <w:t>.</w:t>
      </w:r>
    </w:p>
    <w:p w:rsidR="00EF4B82" w:rsidRPr="00511023" w:rsidP="00286EA8" w14:paraId="2676F6DC" w14:textId="7549C6E7">
      <w:pPr>
        <w:tabs>
          <w:tab w:val="left" w:pos="720"/>
        </w:tabs>
        <w:rPr>
          <w:rFonts w:cs="Times New Roman"/>
          <w:b/>
        </w:rPr>
      </w:pPr>
      <w:r w:rsidRPr="00511023">
        <w:rPr>
          <w:rFonts w:cs="Times New Roman"/>
          <w:b/>
        </w:rPr>
        <w:t xml:space="preserve">II. </w:t>
      </w:r>
      <w:r w:rsidR="00286EA8">
        <w:rPr>
          <w:rFonts w:cs="Times New Roman"/>
          <w:b/>
        </w:rPr>
        <w:tab/>
      </w:r>
      <w:r w:rsidRPr="00511023">
        <w:rPr>
          <w:rFonts w:cs="Times New Roman"/>
          <w:b/>
        </w:rPr>
        <w:t>COMPLIANCE REQUIREMENTS</w:t>
      </w:r>
    </w:p>
    <w:p w:rsidR="00B97D78" w:rsidRPr="00A95A87" w:rsidP="00A95A87" w14:paraId="60BBD135" w14:textId="200D44FD">
      <w:pPr>
        <w:spacing w:after="120" w:line="240" w:lineRule="auto"/>
        <w:rPr>
          <w:rFonts w:cs="Times New Roman"/>
        </w:rPr>
      </w:pPr>
      <w:r>
        <w:rPr>
          <w:rFonts w:cs="Times New Roman"/>
        </w:rPr>
        <w:t xml:space="preserve">The </w:t>
      </w:r>
      <w:r w:rsidR="00375AF8">
        <w:rPr>
          <w:rFonts w:cs="Times New Roman"/>
          <w:i/>
        </w:rPr>
        <w:t>Second</w:t>
      </w:r>
      <w:r w:rsidRPr="00B97D78">
        <w:rPr>
          <w:rFonts w:cs="Times New Roman"/>
          <w:i/>
        </w:rPr>
        <w:t xml:space="preserve"> Report and Order</w:t>
      </w:r>
      <w:r w:rsidR="00D17570">
        <w:rPr>
          <w:rFonts w:cs="Times New Roman"/>
          <w:iCs/>
        </w:rPr>
        <w:t>,</w:t>
      </w:r>
      <w:r>
        <w:rPr>
          <w:rFonts w:cs="Times New Roman"/>
        </w:rPr>
        <w:t xml:space="preserve"> </w:t>
      </w:r>
      <w:r w:rsidR="0049762A">
        <w:rPr>
          <w:rFonts w:cs="Times New Roman"/>
        </w:rPr>
        <w:t xml:space="preserve">as </w:t>
      </w:r>
      <w:r w:rsidR="003E2C3F">
        <w:rPr>
          <w:rFonts w:cs="Times New Roman"/>
        </w:rPr>
        <w:t xml:space="preserve">explained </w:t>
      </w:r>
      <w:r w:rsidR="00EC5A67">
        <w:rPr>
          <w:rFonts w:cs="Times New Roman"/>
        </w:rPr>
        <w:t>below</w:t>
      </w:r>
      <w:r w:rsidR="00D17570">
        <w:rPr>
          <w:rFonts w:cs="Times New Roman"/>
        </w:rPr>
        <w:t>,</w:t>
      </w:r>
      <w:r w:rsidR="00EC5A67">
        <w:rPr>
          <w:rFonts w:cs="Times New Roman"/>
        </w:rPr>
        <w:t xml:space="preserve"> </w:t>
      </w:r>
      <w:r>
        <w:rPr>
          <w:rFonts w:cs="Times New Roman"/>
        </w:rPr>
        <w:t xml:space="preserve">modifies the rules governing the </w:t>
      </w:r>
      <w:r w:rsidR="00077CB7">
        <w:rPr>
          <w:rFonts w:cs="Times New Roman"/>
        </w:rPr>
        <w:t>local public notice to be given by certain applicants for new broadcast and international broadcast construction permits and licenses, renewals of licenses, and assignments or transfers of station authorizations</w:t>
      </w:r>
      <w:r>
        <w:rPr>
          <w:rFonts w:cs="Times New Roman"/>
        </w:rPr>
        <w:t>, as found in 47 CFR § 73.</w:t>
      </w:r>
      <w:r w:rsidR="00077CB7">
        <w:rPr>
          <w:rFonts w:cs="Times New Roman"/>
        </w:rPr>
        <w:t>3580</w:t>
      </w:r>
      <w:r>
        <w:rPr>
          <w:rFonts w:cs="Times New Roman"/>
        </w:rPr>
        <w:t xml:space="preserve">, as well as </w:t>
      </w:r>
      <w:r w:rsidR="00077CB7">
        <w:rPr>
          <w:rFonts w:cs="Times New Roman"/>
        </w:rPr>
        <w:t>the rules governing local public notice given by broadcast licensees and permittees whose facilities or applications are designated for hearing, as found in 47 CFR § 73.3594</w:t>
      </w:r>
      <w:r>
        <w:rPr>
          <w:rFonts w:cs="Times New Roman"/>
        </w:rPr>
        <w:t>.</w:t>
      </w:r>
    </w:p>
    <w:p w:rsidR="00A95A87" w:rsidP="00A95A87" w14:paraId="3C54F0D2" w14:textId="33CAF588">
      <w:pPr>
        <w:pStyle w:val="ListParagraph"/>
        <w:numPr>
          <w:ilvl w:val="0"/>
          <w:numId w:val="12"/>
        </w:numPr>
        <w:spacing w:after="120" w:line="240" w:lineRule="auto"/>
        <w:contextualSpacing w:val="0"/>
        <w:rPr>
          <w:rFonts w:cs="Times New Roman"/>
        </w:rPr>
      </w:pPr>
      <w:r w:rsidRPr="00CF7F9F">
        <w:rPr>
          <w:b/>
          <w:bCs/>
          <w:i/>
          <w:iCs/>
        </w:rPr>
        <w:t>Online Posting of Notice</w:t>
      </w:r>
      <w:r>
        <w:t xml:space="preserve">.  </w:t>
      </w:r>
      <w:r>
        <w:t xml:space="preserve">The </w:t>
      </w:r>
      <w:r w:rsidRPr="0027433C">
        <w:rPr>
          <w:i/>
          <w:iCs/>
        </w:rPr>
        <w:t>Second Report and Order</w:t>
      </w:r>
      <w:r>
        <w:t xml:space="preserve"> </w:t>
      </w:r>
      <w:r w:rsidR="00C15B54">
        <w:t xml:space="preserve">revises 47 CFR </w:t>
      </w:r>
      <w:r w:rsidR="00C15B54">
        <w:rPr>
          <w:rFonts w:cs="Times New Roman"/>
        </w:rPr>
        <w:t>§</w:t>
      </w:r>
      <w:r w:rsidR="00C15B54">
        <w:t xml:space="preserve"> 73.3</w:t>
      </w:r>
      <w:r w:rsidR="0068423D">
        <w:t>5</w:t>
      </w:r>
      <w:r w:rsidR="00C15B54">
        <w:t>80, by replacing</w:t>
      </w:r>
      <w:r>
        <w:t xml:space="preserve"> the </w:t>
      </w:r>
      <w:r w:rsidR="006B4A60">
        <w:t xml:space="preserve">former </w:t>
      </w:r>
      <w:r>
        <w:t>requirement that some public notice be accomplished through newspaper publication with a requirement that public notice be posted online on a locally targeted (and, in most cases, applicant-affiliated) publicly accessible website with a link to the application itself</w:t>
      </w:r>
      <w:r w:rsidR="002F77E2">
        <w:t xml:space="preserve">, </w:t>
      </w:r>
      <w:r w:rsidR="00383A4F">
        <w:t xml:space="preserve">thereby </w:t>
      </w:r>
      <w:r w:rsidR="002F77E2">
        <w:t xml:space="preserve">enabling </w:t>
      </w:r>
      <w:r>
        <w:t xml:space="preserve">the public to </w:t>
      </w:r>
      <w:r w:rsidR="00B05152">
        <w:t>view</w:t>
      </w:r>
      <w:r>
        <w:t xml:space="preserve"> the</w:t>
      </w:r>
      <w:r w:rsidR="00414264">
        <w:t xml:space="preserve"> entire</w:t>
      </w:r>
      <w:r>
        <w:t xml:space="preserve"> application rather than relying on a summary of the application, as under the </w:t>
      </w:r>
      <w:r w:rsidR="00414264">
        <w:t>previous</w:t>
      </w:r>
      <w:r>
        <w:t xml:space="preserve"> rule.  </w:t>
      </w:r>
    </w:p>
    <w:p w:rsidR="0016686E" w:rsidP="00A95A87" w14:paraId="519E4B5D" w14:textId="08893626">
      <w:pPr>
        <w:pStyle w:val="ListParagraph"/>
        <w:numPr>
          <w:ilvl w:val="0"/>
          <w:numId w:val="12"/>
        </w:numPr>
        <w:spacing w:after="120" w:line="240" w:lineRule="auto"/>
        <w:contextualSpacing w:val="0"/>
        <w:rPr>
          <w:rFonts w:cs="Times New Roman"/>
        </w:rPr>
      </w:pPr>
      <w:r w:rsidRPr="0027433C">
        <w:t>The</w:t>
      </w:r>
      <w:r w:rsidRPr="0027433C">
        <w:rPr>
          <w:i/>
          <w:iCs/>
        </w:rPr>
        <w:t xml:space="preserve"> </w:t>
      </w:r>
      <w:r>
        <w:t xml:space="preserve">station posting online notice </w:t>
      </w:r>
      <w:r w:rsidR="002F77E2">
        <w:t xml:space="preserve">must </w:t>
      </w:r>
      <w:r>
        <w:t xml:space="preserve">include on </w:t>
      </w:r>
      <w:r w:rsidR="00D130E8">
        <w:t>the website</w:t>
      </w:r>
      <w:r>
        <w:t xml:space="preserve"> home page a link or tab</w:t>
      </w:r>
      <w:r w:rsidR="002F77E2">
        <w:t xml:space="preserve">, </w:t>
      </w:r>
      <w:r w:rsidR="003348EA">
        <w:t>connecting</w:t>
      </w:r>
      <w:r w:rsidR="002F77E2">
        <w:t xml:space="preserve"> to a separate page containing the online notice,</w:t>
      </w:r>
      <w:r>
        <w:t xml:space="preserve"> that is conspicuously displayed so that it is readily readable, understandable, and locatable by visitors to that page, and thus may be quickly found among other web content</w:t>
      </w:r>
      <w:r>
        <w:rPr>
          <w:rFonts w:cs="Times New Roman"/>
        </w:rPr>
        <w:t>.</w:t>
      </w:r>
      <w:r w:rsidR="002F77E2">
        <w:rPr>
          <w:rFonts w:cs="Times New Roman"/>
        </w:rPr>
        <w:t xml:space="preserve">  </w:t>
      </w:r>
      <w:r w:rsidR="002F77E2">
        <w:t xml:space="preserve">The </w:t>
      </w:r>
      <w:r w:rsidR="00CA33A5">
        <w:t xml:space="preserve">rule-prescribed text of the </w:t>
      </w:r>
      <w:r w:rsidR="002F77E2">
        <w:t>online notice, which is shorter than the previously required newspaper notice</w:t>
      </w:r>
      <w:r w:rsidR="00215B6A">
        <w:t xml:space="preserve"> text</w:t>
      </w:r>
      <w:r w:rsidR="002F77E2">
        <w:t xml:space="preserve">, must contain hyperlinks to the filed application in the station’s online public inspection file (OPIF) or, if there is no OPIF, to the </w:t>
      </w:r>
      <w:r w:rsidR="00006E69">
        <w:t xml:space="preserve">filed </w:t>
      </w:r>
      <w:r w:rsidR="002F77E2">
        <w:t xml:space="preserve">application in the </w:t>
      </w:r>
      <w:r w:rsidR="00215B6A">
        <w:t>Media Bureau</w:t>
      </w:r>
      <w:r w:rsidR="002F77E2">
        <w:t xml:space="preserve">’s LMS or CDBS database.  The online notice must be posted for a period of 30 consecutive days, starting no </w:t>
      </w:r>
      <w:r w:rsidR="00006E69">
        <w:t>later</w:t>
      </w:r>
      <w:r w:rsidR="002F77E2">
        <w:t xml:space="preserve"> than </w:t>
      </w:r>
      <w:r w:rsidR="00D1020E">
        <w:t>the fifth business</w:t>
      </w:r>
      <w:r w:rsidR="002F77E2">
        <w:t xml:space="preserve"> day after the Commission releases </w:t>
      </w:r>
      <w:r w:rsidR="004A450A">
        <w:t>a P</w:t>
      </w:r>
      <w:r w:rsidR="002F77E2">
        <w:t xml:space="preserve">ublic </w:t>
      </w:r>
      <w:r w:rsidR="004A450A">
        <w:t>N</w:t>
      </w:r>
      <w:r w:rsidR="002F77E2">
        <w:t xml:space="preserve">otice </w:t>
      </w:r>
      <w:r w:rsidR="004A450A">
        <w:t>accepting</w:t>
      </w:r>
      <w:r w:rsidR="002F77E2">
        <w:t xml:space="preserve"> the application for filing.  The notice must be posted on the station’s, applicant’s, or parent entity’s website if available.  If an applicant-affiliated website is not available, the applicant may post online notice on a publicly accessible website that is locally targeted to the community to be served by the station or proposed station.  If the applicant cannot locate such a publicly accessible, locally targeted website that will allow it to post the notice without cost for 30 consecutive days, it must post on a pay-to-post website for four 24-hour periods, once per week for four consecutive weeks.  Noncommercial educational (NCE) stations </w:t>
      </w:r>
      <w:r w:rsidR="00EC02C5">
        <w:t>are</w:t>
      </w:r>
      <w:r w:rsidR="002F77E2">
        <w:t xml:space="preserve"> exempt from online notice requirements (as they </w:t>
      </w:r>
      <w:r w:rsidR="00BF4E5F">
        <w:t>were previously</w:t>
      </w:r>
      <w:r w:rsidR="002F77E2">
        <w:t xml:space="preserve"> exempted from newspaper publication), except when </w:t>
      </w:r>
      <w:r w:rsidR="00BF4E5F">
        <w:t xml:space="preserve">the </w:t>
      </w:r>
      <w:r w:rsidR="00C00F5E">
        <w:t xml:space="preserve">NCE </w:t>
      </w:r>
      <w:r w:rsidR="00BF4E5F">
        <w:t>station is</w:t>
      </w:r>
      <w:r w:rsidR="002F77E2">
        <w:t xml:space="preserve"> silent or when filing</w:t>
      </w:r>
      <w:r w:rsidR="00BF4E5F">
        <w:t xml:space="preserve"> the</w:t>
      </w:r>
      <w:r w:rsidR="002F77E2">
        <w:t xml:space="preserve"> initial construction permit application.</w:t>
      </w:r>
    </w:p>
    <w:p w:rsidR="0027433C" w:rsidRPr="008178C6" w:rsidP="008178C6" w14:paraId="318C0948" w14:textId="0F0DBA85">
      <w:pPr>
        <w:pStyle w:val="ListParagraph"/>
        <w:numPr>
          <w:ilvl w:val="0"/>
          <w:numId w:val="12"/>
        </w:numPr>
        <w:spacing w:after="120" w:line="240" w:lineRule="auto"/>
        <w:contextualSpacing w:val="0"/>
      </w:pPr>
      <w:r w:rsidRPr="00CF7F9F">
        <w:rPr>
          <w:b/>
          <w:bCs/>
          <w:i/>
          <w:iCs/>
        </w:rPr>
        <w:t>On-Air Announcements</w:t>
      </w:r>
      <w:r>
        <w:t xml:space="preserve">.  </w:t>
      </w:r>
      <w:r w:rsidR="00C15B54">
        <w:t xml:space="preserve">The </w:t>
      </w:r>
      <w:r w:rsidRPr="00C15B54" w:rsidR="00C15B54">
        <w:rPr>
          <w:i/>
          <w:iCs/>
        </w:rPr>
        <w:t>Second Report and Order</w:t>
      </w:r>
      <w:r w:rsidR="00C15B54">
        <w:t xml:space="preserve"> simplifies and standardizes the public notice requirements for on-air </w:t>
      </w:r>
      <w:r w:rsidR="00C15B54">
        <w:t>announcements</w:t>
      </w:r>
      <w:r w:rsidR="00710760">
        <w:t>, and</w:t>
      </w:r>
      <w:r w:rsidR="00710760">
        <w:t xml:space="preserve"> eliminates </w:t>
      </w:r>
      <w:r w:rsidR="00E57E3C">
        <w:t xml:space="preserve">all </w:t>
      </w:r>
      <w:r w:rsidR="00710760">
        <w:t>p</w:t>
      </w:r>
      <w:r w:rsidR="00C15B54">
        <w:t xml:space="preserve">re-filing announcements </w:t>
      </w:r>
      <w:r w:rsidR="00E57E3C">
        <w:t>for</w:t>
      </w:r>
      <w:r w:rsidR="00C15B54">
        <w:t xml:space="preserve"> renewal applications</w:t>
      </w:r>
      <w:r w:rsidR="00710760">
        <w:t>.</w:t>
      </w:r>
      <w:r w:rsidR="00C15B54">
        <w:t xml:space="preserve"> </w:t>
      </w:r>
      <w:r w:rsidR="003348EA">
        <w:t xml:space="preserve">The script of the on-air announcement is shorter than the previously required on-air announcement.  </w:t>
      </w:r>
      <w:r w:rsidR="00710760">
        <w:t>On-air a</w:t>
      </w:r>
      <w:r w:rsidR="00C15B54">
        <w:t xml:space="preserve">nnouncements </w:t>
      </w:r>
      <w:r w:rsidR="00E448A0">
        <w:t xml:space="preserve">now </w:t>
      </w:r>
      <w:r w:rsidR="00C15B54">
        <w:t xml:space="preserve">direct viewers and listeners to the </w:t>
      </w:r>
      <w:r w:rsidR="00E448A0">
        <w:t xml:space="preserve">filed application in the </w:t>
      </w:r>
      <w:r w:rsidR="00C15B54">
        <w:t xml:space="preserve">station’s </w:t>
      </w:r>
      <w:r w:rsidR="00710760">
        <w:t>online public inspection file (</w:t>
      </w:r>
      <w:r w:rsidR="00C15B54">
        <w:t>OPIF</w:t>
      </w:r>
      <w:r w:rsidR="00710760">
        <w:t>)</w:t>
      </w:r>
      <w:r w:rsidR="00C15B54">
        <w:t xml:space="preserve"> rather than providing a lengthy summary of the application</w:t>
      </w:r>
      <w:r w:rsidR="00710760">
        <w:t xml:space="preserve"> as was previously the case.</w:t>
      </w:r>
      <w:r>
        <w:t xml:space="preserve">  Applicants making on-air announcements must make six announcements, once per week for four consecutive weeks, with no more than one announcement in a single day and no more than two per week.  On-air announcements </w:t>
      </w:r>
      <w:r w:rsidR="008178C6">
        <w:t xml:space="preserve">may be made </w:t>
      </w:r>
      <w:r>
        <w:t>anytime between 7:00 a.m. and 11:00 p.m. Monday through Friday, commencing immediately after the Commission issues a Public Notice accepting the application for filing</w:t>
      </w:r>
      <w:r w:rsidR="00D1020E">
        <w:t>, but not later than the fifth business day following release of the</w:t>
      </w:r>
      <w:r w:rsidR="005079B3">
        <w:t xml:space="preserve"> Commission</w:t>
      </w:r>
      <w:r w:rsidR="00D1020E">
        <w:t xml:space="preserve"> </w:t>
      </w:r>
      <w:r w:rsidR="00A24F81">
        <w:t>P</w:t>
      </w:r>
      <w:r w:rsidR="00D1020E">
        <w:t xml:space="preserve">ublic </w:t>
      </w:r>
      <w:r w:rsidR="00A24F81">
        <w:t>N</w:t>
      </w:r>
      <w:r w:rsidR="00D1020E">
        <w:t>otice of acceptance</w:t>
      </w:r>
      <w:r>
        <w:t xml:space="preserve">.  As </w:t>
      </w:r>
      <w:r w:rsidR="00A24F81">
        <w:t>was previously</w:t>
      </w:r>
      <w:r>
        <w:t xml:space="preserve"> the case, a</w:t>
      </w:r>
      <w:r w:rsidRPr="00BB438A">
        <w:t xml:space="preserve"> station </w:t>
      </w:r>
      <w:r>
        <w:t>must</w:t>
      </w:r>
      <w:r w:rsidRPr="00BB438A">
        <w:t xml:space="preserve"> broadcast on-air announcements only on its primary program channel and not on multicast channels, except for a separately licensed television station broadcasting on a multicast channel </w:t>
      </w:r>
      <w:r w:rsidR="008178C6">
        <w:t>under</w:t>
      </w:r>
      <w:r w:rsidRPr="00BB438A">
        <w:t xml:space="preserve"> a channel sharing agreement, which has an </w:t>
      </w:r>
      <w:r w:rsidRPr="00BF2471">
        <w:rPr>
          <w:rFonts w:cstheme="minorHAnsi"/>
        </w:rPr>
        <w:t>independent obligation to comply with all pertinent statutory requirements and Commission rules</w:t>
      </w:r>
      <w:r w:rsidRPr="00BB438A">
        <w:t>.</w:t>
      </w:r>
    </w:p>
    <w:p w:rsidR="00C8336A" w:rsidRPr="00550D60" w:rsidP="00A95A87" w14:paraId="482107F4" w14:textId="25758285">
      <w:pPr>
        <w:pStyle w:val="ListParagraph"/>
        <w:numPr>
          <w:ilvl w:val="0"/>
          <w:numId w:val="12"/>
        </w:numPr>
        <w:spacing w:after="120" w:line="240" w:lineRule="auto"/>
        <w:contextualSpacing w:val="0"/>
        <w:rPr>
          <w:rFonts w:cs="Times New Roman"/>
        </w:rPr>
      </w:pPr>
      <w:r>
        <w:rPr>
          <w:rFonts w:cs="Times New Roman"/>
        </w:rPr>
        <w:t xml:space="preserve">The </w:t>
      </w:r>
      <w:r w:rsidRPr="00C8336A">
        <w:rPr>
          <w:rFonts w:cs="Times New Roman"/>
          <w:i/>
          <w:iCs/>
        </w:rPr>
        <w:t>Second Report and Order</w:t>
      </w:r>
      <w:r>
        <w:rPr>
          <w:rFonts w:cs="Times New Roman"/>
        </w:rPr>
        <w:t xml:space="preserve"> </w:t>
      </w:r>
      <w:r>
        <w:t xml:space="preserve">confirms that low-power FM (LPFM) stations and international broadcast stations have local public notice obligations, which are spelled out in the amended 47 CFR </w:t>
      </w:r>
      <w:r>
        <w:rPr>
          <w:rFonts w:cs="Times New Roman"/>
        </w:rPr>
        <w:t>§</w:t>
      </w:r>
      <w:r>
        <w:t xml:space="preserve"> 73.3580.</w:t>
      </w:r>
    </w:p>
    <w:p w:rsidR="00550D60" w:rsidP="00550D60" w14:paraId="2B61052E" w14:textId="77777777">
      <w:pPr>
        <w:pStyle w:val="ListParagraph"/>
        <w:numPr>
          <w:ilvl w:val="0"/>
          <w:numId w:val="12"/>
        </w:numPr>
        <w:spacing w:after="120" w:line="240" w:lineRule="auto"/>
        <w:contextualSpacing w:val="0"/>
        <w:rPr>
          <w:rFonts w:cs="Times New Roman"/>
        </w:rPr>
      </w:pPr>
      <w:r w:rsidRPr="0015576D">
        <w:rPr>
          <w:rFonts w:cs="Times New Roman"/>
          <w:b/>
          <w:bCs/>
          <w:i/>
          <w:iCs/>
        </w:rPr>
        <w:t>International Broadcast Stations</w:t>
      </w:r>
      <w:r>
        <w:rPr>
          <w:rFonts w:cs="Times New Roman"/>
        </w:rPr>
        <w:t xml:space="preserve">:  These are commonly known as shortwave stations, designed to be heard by the public in countries other than the United States.  These stations must give online notice of application filing, by posting on a publicly accessible website locally targeted to the community where the station’s transmission facilities are located (47 CFR § 73.3580(c)(1)(ii), (c)(2)(iv), (c)(3)(iii), (c)(4)(iv)). </w:t>
      </w:r>
    </w:p>
    <w:p w:rsidR="00550D60" w:rsidP="00550D60" w14:paraId="44107493" w14:textId="798C5EF8">
      <w:pPr>
        <w:pStyle w:val="ListParagraph"/>
        <w:numPr>
          <w:ilvl w:val="0"/>
          <w:numId w:val="12"/>
        </w:numPr>
        <w:spacing w:after="120" w:line="240" w:lineRule="auto"/>
        <w:contextualSpacing w:val="0"/>
        <w:rPr>
          <w:rFonts w:cs="Times New Roman"/>
        </w:rPr>
      </w:pPr>
      <w:r w:rsidRPr="0015576D">
        <w:rPr>
          <w:rFonts w:cs="Times New Roman"/>
          <w:b/>
          <w:bCs/>
          <w:i/>
          <w:iCs/>
        </w:rPr>
        <w:t>U.S. Studios of Foreign Stations Broadcasting to the U.S.</w:t>
      </w:r>
      <w:r>
        <w:rPr>
          <w:rFonts w:cs="Times New Roman"/>
        </w:rPr>
        <w:t>:  A station applying for an authorization under section 325(c) of the Communications Act, to have a studio in the United States that supplies programming to a foreign station that broadcasts back to the United States, must give online notice as described above (47 CFR § 73.3580(c)(6)).</w:t>
      </w:r>
    </w:p>
    <w:p w:rsidR="008170D5" w:rsidP="008212C0" w14:paraId="7D7DD2C8" w14:textId="48D54837">
      <w:pPr>
        <w:pStyle w:val="ListParagraph"/>
        <w:numPr>
          <w:ilvl w:val="0"/>
          <w:numId w:val="12"/>
        </w:numPr>
        <w:spacing w:after="120" w:line="240" w:lineRule="auto"/>
        <w:contextualSpacing w:val="0"/>
        <w:rPr>
          <w:rFonts w:cs="Times New Roman"/>
        </w:rPr>
      </w:pPr>
      <w:r w:rsidRPr="0015576D">
        <w:rPr>
          <w:rFonts w:cs="Times New Roman"/>
          <w:b/>
          <w:bCs/>
          <w:i/>
          <w:iCs/>
        </w:rPr>
        <w:t xml:space="preserve">Stations Whose Licenses Have Been Designated </w:t>
      </w:r>
      <w:r w:rsidR="00BF2036">
        <w:rPr>
          <w:rFonts w:cs="Times New Roman"/>
          <w:b/>
          <w:bCs/>
          <w:i/>
          <w:iCs/>
        </w:rPr>
        <w:t>f</w:t>
      </w:r>
      <w:r w:rsidRPr="0015576D">
        <w:rPr>
          <w:rFonts w:cs="Times New Roman"/>
          <w:b/>
          <w:bCs/>
          <w:i/>
          <w:iCs/>
        </w:rPr>
        <w:t>or Hearing</w:t>
      </w:r>
      <w:r>
        <w:rPr>
          <w:rFonts w:cs="Times New Roman"/>
        </w:rPr>
        <w:t>:  A station whose license has been designated for an evidentiary hearing must give public notice of the issues on which it has been designated.  This does not happen often.  A station so designated must give both online notice and make on-air announcements, as detailed above.  However, the station designated for hearing must also, in the online notice, provide a list of the issues in the hearing, as listed in the Hearing Designation Order, or a summary of the Hearing Designation Order (47 CFR § 73.3594).</w:t>
      </w:r>
    </w:p>
    <w:p w:rsidR="008212C0" w:rsidRPr="008212C0" w:rsidP="008212C0" w14:paraId="48AA96BD" w14:textId="77777777">
      <w:pPr>
        <w:spacing w:after="120" w:line="240" w:lineRule="auto"/>
        <w:ind w:left="360"/>
        <w:rPr>
          <w:rFonts w:cs="Times New Roman"/>
        </w:rPr>
      </w:pPr>
    </w:p>
    <w:p w:rsidR="00DE567B" w:rsidRPr="00511023" w:rsidP="00286EA8" w14:paraId="1759BBF7" w14:textId="59C85934">
      <w:pPr>
        <w:tabs>
          <w:tab w:val="left" w:pos="720"/>
        </w:tabs>
        <w:spacing w:after="0"/>
        <w:rPr>
          <w:rFonts w:cs="Times New Roman"/>
          <w:b/>
        </w:rPr>
      </w:pPr>
      <w:r w:rsidRPr="00511023">
        <w:rPr>
          <w:rFonts w:cs="Times New Roman"/>
          <w:b/>
        </w:rPr>
        <w:t>I</w:t>
      </w:r>
      <w:r w:rsidR="00BA1697">
        <w:rPr>
          <w:rFonts w:cs="Times New Roman"/>
          <w:b/>
        </w:rPr>
        <w:t>II.</w:t>
      </w:r>
      <w:r w:rsidR="00286EA8">
        <w:rPr>
          <w:rFonts w:cs="Times New Roman"/>
          <w:b/>
        </w:rPr>
        <w:tab/>
      </w:r>
      <w:r w:rsidRPr="00511023">
        <w:rPr>
          <w:rFonts w:cs="Times New Roman"/>
          <w:b/>
        </w:rPr>
        <w:t xml:space="preserve">RECORDKEEPING </w:t>
      </w:r>
      <w:r w:rsidR="00292357">
        <w:rPr>
          <w:rFonts w:cs="Times New Roman"/>
          <w:b/>
        </w:rPr>
        <w:t xml:space="preserve">AND REPORTING </w:t>
      </w:r>
      <w:r w:rsidRPr="00511023">
        <w:rPr>
          <w:rFonts w:cs="Times New Roman"/>
          <w:b/>
        </w:rPr>
        <w:t>REQUIREMENTS</w:t>
      </w:r>
    </w:p>
    <w:p w:rsidR="00034878" w:rsidRPr="00511023" w:rsidP="007F0A80" w14:paraId="688CB6D7" w14:textId="77777777">
      <w:pPr>
        <w:spacing w:after="0"/>
        <w:rPr>
          <w:rFonts w:cs="Times New Roman"/>
          <w:b/>
        </w:rPr>
      </w:pPr>
    </w:p>
    <w:p w:rsidR="00F20689" w:rsidP="007F0A80" w14:paraId="571BC2F5" w14:textId="340E963F">
      <w:pPr>
        <w:spacing w:after="0"/>
        <w:rPr>
          <w:rFonts w:cs="Times New Roman"/>
          <w:color w:val="010101"/>
        </w:rPr>
      </w:pPr>
      <w:r w:rsidRPr="00883000">
        <w:t xml:space="preserve">The </w:t>
      </w:r>
      <w:r>
        <w:rPr>
          <w:i/>
        </w:rPr>
        <w:t>Second Report and Order</w:t>
      </w:r>
      <w:r w:rsidRPr="00883000">
        <w:t xml:space="preserve"> does not adopt </w:t>
      </w:r>
      <w:r w:rsidR="0099497C">
        <w:t xml:space="preserve">new </w:t>
      </w:r>
      <w:r w:rsidRPr="00883000">
        <w:t>reporting requirements</w:t>
      </w:r>
      <w:r w:rsidR="0099497C">
        <w:t xml:space="preserve">.  While the </w:t>
      </w:r>
      <w:r w:rsidRPr="0099497C" w:rsidR="0099497C">
        <w:rPr>
          <w:i/>
          <w:iCs/>
        </w:rPr>
        <w:t>Second Report and Order</w:t>
      </w:r>
      <w:r w:rsidR="0099497C">
        <w:t xml:space="preserve"> retains the </w:t>
      </w:r>
      <w:r w:rsidR="00F36151">
        <w:t xml:space="preserve">compliance </w:t>
      </w:r>
      <w:r w:rsidR="0099497C">
        <w:t xml:space="preserve">certification of on-air announcements found in 47 CFR </w:t>
      </w:r>
      <w:r w:rsidR="0099497C">
        <w:rPr>
          <w:rFonts w:cs="Times New Roman"/>
        </w:rPr>
        <w:t>§§</w:t>
      </w:r>
      <w:r w:rsidR="0099497C">
        <w:t xml:space="preserve"> 73.3526(e) and 73.3527(e), as described in paragraph 8 below the </w:t>
      </w:r>
      <w:r w:rsidR="00F36151">
        <w:t xml:space="preserve">new </w:t>
      </w:r>
      <w:r w:rsidR="00743480">
        <w:t>rules</w:t>
      </w:r>
      <w:r w:rsidR="0099497C">
        <w:t xml:space="preserve"> omit the former requirement that the</w:t>
      </w:r>
      <w:r w:rsidR="00F36151">
        <w:t xml:space="preserve"> entire</w:t>
      </w:r>
      <w:r w:rsidR="0099497C">
        <w:t xml:space="preserve"> on-air announcement text be included</w:t>
      </w:r>
      <w:r w:rsidR="00743480">
        <w:t xml:space="preserve"> in the </w:t>
      </w:r>
      <w:r w:rsidR="00926EAA">
        <w:t xml:space="preserve">filed </w:t>
      </w:r>
      <w:r w:rsidR="00743480">
        <w:t>certification</w:t>
      </w:r>
      <w:r w:rsidR="00926EAA">
        <w:t xml:space="preserve"> statement</w:t>
      </w:r>
      <w:r w:rsidR="0099497C">
        <w:t xml:space="preserve">.  </w:t>
      </w:r>
      <w:r w:rsidRPr="00926EAA" w:rsidR="00926EAA">
        <w:t>Along with the dates and times that the on-air announcements were broadcast, the new certification statement now simply verifies that the on-air announcement was broadcast using the standardized text set forth in section 73.3580(b)(1)(</w:t>
      </w:r>
      <w:r w:rsidRPr="00926EAA" w:rsidR="00926EAA">
        <w:t>i</w:t>
      </w:r>
      <w:r w:rsidRPr="00926EAA" w:rsidR="00926EAA">
        <w:t>).</w:t>
      </w:r>
    </w:p>
    <w:p w:rsidR="00F20689" w:rsidP="007F0A80" w14:paraId="785D3498" w14:textId="77777777">
      <w:pPr>
        <w:spacing w:after="0"/>
        <w:rPr>
          <w:rFonts w:cs="Times New Roman"/>
          <w:color w:val="010101"/>
        </w:rPr>
      </w:pPr>
    </w:p>
    <w:p w:rsidR="005717FB" w:rsidP="007F0A80" w14:paraId="75B9B3E0" w14:textId="4DF6CA2F">
      <w:pPr>
        <w:spacing w:after="0"/>
      </w:pPr>
      <w:r w:rsidRPr="00511023">
        <w:rPr>
          <w:rFonts w:cs="Times New Roman"/>
          <w:color w:val="010101"/>
        </w:rPr>
        <w:t xml:space="preserve">The Commission’s actions in the </w:t>
      </w:r>
      <w:r w:rsidR="00C8336A">
        <w:rPr>
          <w:rFonts w:cs="Times New Roman"/>
          <w:i/>
          <w:color w:val="010101"/>
        </w:rPr>
        <w:t>Second</w:t>
      </w:r>
      <w:r w:rsidR="00BA76C8">
        <w:rPr>
          <w:rFonts w:cs="Times New Roman"/>
          <w:color w:val="010101"/>
        </w:rPr>
        <w:t xml:space="preserve"> </w:t>
      </w:r>
      <w:r w:rsidRPr="00511023">
        <w:rPr>
          <w:rFonts w:cs="Times New Roman"/>
          <w:i/>
          <w:color w:val="010101"/>
        </w:rPr>
        <w:t>Report and Order</w:t>
      </w:r>
      <w:r w:rsidRPr="00511023">
        <w:rPr>
          <w:rFonts w:cs="Times New Roman"/>
          <w:color w:val="010101"/>
        </w:rPr>
        <w:t xml:space="preserve"> </w:t>
      </w:r>
      <w:r w:rsidR="008E6A12">
        <w:t>adopt</w:t>
      </w:r>
      <w:r w:rsidRPr="00883000" w:rsidR="008E6A12">
        <w:t xml:space="preserve"> recordkeeping requirements</w:t>
      </w:r>
      <w:r w:rsidR="008E6A12">
        <w:t xml:space="preserve"> insofar as they amend 47 CFR </w:t>
      </w:r>
      <w:r w:rsidR="008E6A12">
        <w:rPr>
          <w:rFonts w:cs="Times New Roman"/>
        </w:rPr>
        <w:t>§§</w:t>
      </w:r>
      <w:r w:rsidR="008E6A12">
        <w:t xml:space="preserve"> 73.3526(e) and 73.3527(e) of the rules to reflect the nature of the new on-air announcement requirements for which licensees must certify compliance and retain the certification in the online public inspection file (OPIF)</w:t>
      </w:r>
      <w:r w:rsidRPr="00883000" w:rsidR="008E6A12">
        <w:t>.</w:t>
      </w:r>
      <w:r w:rsidR="008E6A12">
        <w:t xml:space="preserve">  The new requirements are no more extensive than the </w:t>
      </w:r>
      <w:r w:rsidR="008C519D">
        <w:t>previous</w:t>
      </w:r>
      <w:r w:rsidR="008E6A12">
        <w:t xml:space="preserve"> certification and retention requirements, and in fact are less onerous in that there are fewer </w:t>
      </w:r>
      <w:r w:rsidR="00F5056C">
        <w:t xml:space="preserve">on-air </w:t>
      </w:r>
      <w:r w:rsidR="008E6A12">
        <w:t>announcements requiring certification, and OPIF is online rather than a physical file</w:t>
      </w:r>
      <w:r w:rsidR="00B4040F">
        <w:t xml:space="preserve"> kept at the station studio or other locale</w:t>
      </w:r>
      <w:r w:rsidR="008E6A12">
        <w:t xml:space="preserve">.  Thus, the impact on small entities will be no greater than </w:t>
      </w:r>
      <w:r w:rsidR="007C79FC">
        <w:t>it was formerly</w:t>
      </w:r>
      <w:r w:rsidR="008E6A12">
        <w:t>, and in most cases the new rules will be less burdensome</w:t>
      </w:r>
      <w:r w:rsidRPr="00883000" w:rsidR="008E6A12">
        <w:t>.</w:t>
      </w:r>
    </w:p>
    <w:p w:rsidR="008E6A12" w:rsidP="007F0A80" w14:paraId="271028CD" w14:textId="77777777">
      <w:pPr>
        <w:spacing w:after="0"/>
        <w:rPr>
          <w:rFonts w:cs="Times New Roman"/>
          <w:b/>
        </w:rPr>
      </w:pPr>
    </w:p>
    <w:p w:rsidR="00066CB4" w:rsidRPr="00511023" w:rsidP="00286EA8" w14:paraId="2F69183C" w14:textId="7612FBF9">
      <w:pPr>
        <w:tabs>
          <w:tab w:val="left" w:pos="720"/>
        </w:tabs>
        <w:spacing w:after="0"/>
        <w:rPr>
          <w:rFonts w:cs="Times New Roman"/>
          <w:b/>
        </w:rPr>
      </w:pPr>
      <w:r>
        <w:rPr>
          <w:rFonts w:cs="Times New Roman"/>
          <w:b/>
        </w:rPr>
        <w:t>I</w:t>
      </w:r>
      <w:r w:rsidRPr="00511023">
        <w:rPr>
          <w:rFonts w:cs="Times New Roman"/>
          <w:b/>
        </w:rPr>
        <w:t xml:space="preserve">V. </w:t>
      </w:r>
      <w:r w:rsidR="00286EA8">
        <w:rPr>
          <w:rFonts w:cs="Times New Roman"/>
          <w:b/>
        </w:rPr>
        <w:tab/>
      </w:r>
      <w:r w:rsidRPr="00511023">
        <w:rPr>
          <w:rFonts w:cs="Times New Roman"/>
          <w:b/>
        </w:rPr>
        <w:t>IMPLEMENTATION</w:t>
      </w:r>
      <w:r w:rsidR="00716724">
        <w:rPr>
          <w:rFonts w:cs="Times New Roman"/>
          <w:b/>
        </w:rPr>
        <w:t xml:space="preserve"> DATE</w:t>
      </w:r>
    </w:p>
    <w:p w:rsidR="00066CB4" w:rsidP="007F0A80" w14:paraId="6DD3727C" w14:textId="77777777">
      <w:pPr>
        <w:spacing w:after="0"/>
        <w:rPr>
          <w:rFonts w:cs="Times New Roman"/>
          <w:b/>
        </w:rPr>
      </w:pPr>
    </w:p>
    <w:p w:rsidR="00BA76C8" w:rsidP="007F0A80" w14:paraId="3F732459" w14:textId="5132CF36">
      <w:pPr>
        <w:spacing w:after="0"/>
        <w:rPr>
          <w:rFonts w:cs="Times New Roman"/>
        </w:rPr>
      </w:pPr>
      <w:r w:rsidRPr="00BA76C8">
        <w:rPr>
          <w:rFonts w:cs="Times New Roman"/>
        </w:rPr>
        <w:t xml:space="preserve">The </w:t>
      </w:r>
      <w:r>
        <w:rPr>
          <w:rFonts w:cs="Times New Roman"/>
        </w:rPr>
        <w:t xml:space="preserve">following rule in the </w:t>
      </w:r>
      <w:r w:rsidR="00082B98">
        <w:rPr>
          <w:rFonts w:cs="Times New Roman"/>
          <w:i/>
        </w:rPr>
        <w:t>Second</w:t>
      </w:r>
      <w:r w:rsidRPr="00230183">
        <w:rPr>
          <w:rFonts w:cs="Times New Roman"/>
          <w:i/>
        </w:rPr>
        <w:t xml:space="preserve"> Report and Order</w:t>
      </w:r>
      <w:r w:rsidRPr="00BA76C8">
        <w:rPr>
          <w:rFonts w:cs="Times New Roman"/>
        </w:rPr>
        <w:t xml:space="preserve"> </w:t>
      </w:r>
      <w:r>
        <w:rPr>
          <w:rFonts w:cs="Times New Roman"/>
        </w:rPr>
        <w:t>became effective</w:t>
      </w:r>
      <w:r w:rsidRPr="00BA76C8">
        <w:rPr>
          <w:rFonts w:cs="Times New Roman"/>
        </w:rPr>
        <w:t xml:space="preserve"> 30 days after publication </w:t>
      </w:r>
      <w:r>
        <w:rPr>
          <w:rFonts w:cs="Times New Roman"/>
        </w:rPr>
        <w:t xml:space="preserve">of the text or summary thereof </w:t>
      </w:r>
      <w:r w:rsidRPr="00BA76C8">
        <w:rPr>
          <w:rFonts w:cs="Times New Roman"/>
        </w:rPr>
        <w:t xml:space="preserve">in the </w:t>
      </w:r>
      <w:r w:rsidRPr="00BA76C8">
        <w:rPr>
          <w:rFonts w:cs="Times New Roman"/>
          <w:i/>
        </w:rPr>
        <w:t>Federal Register</w:t>
      </w:r>
      <w:r>
        <w:rPr>
          <w:rFonts w:cs="Times New Roman"/>
        </w:rPr>
        <w:t xml:space="preserve">, i.e., on </w:t>
      </w:r>
      <w:r w:rsidR="00D009B7">
        <w:rPr>
          <w:rFonts w:cs="Times New Roman"/>
        </w:rPr>
        <w:t>July 20</w:t>
      </w:r>
      <w:r w:rsidR="00082B98">
        <w:rPr>
          <w:rFonts w:cs="Times New Roman"/>
        </w:rPr>
        <w:t>, 2020</w:t>
      </w:r>
      <w:r>
        <w:rPr>
          <w:rFonts w:cs="Times New Roman"/>
        </w:rPr>
        <w:t>:  47 CFR § 73.</w:t>
      </w:r>
      <w:r w:rsidR="00082B98">
        <w:rPr>
          <w:rFonts w:cs="Times New Roman"/>
        </w:rPr>
        <w:t>801</w:t>
      </w:r>
      <w:r>
        <w:rPr>
          <w:rFonts w:cs="Times New Roman"/>
        </w:rPr>
        <w:t>.</w:t>
      </w:r>
    </w:p>
    <w:p w:rsidR="00B264C4" w:rsidP="007F0A80" w14:paraId="7DA9CBF9" w14:textId="77777777">
      <w:pPr>
        <w:spacing w:after="0"/>
        <w:rPr>
          <w:rFonts w:cs="Times New Roman"/>
        </w:rPr>
      </w:pPr>
    </w:p>
    <w:p w:rsidR="00B264C4" w:rsidP="007F0A80" w14:paraId="76030B29" w14:textId="42376E2D">
      <w:pPr>
        <w:spacing w:after="0"/>
        <w:rPr>
          <w:rFonts w:cs="Times New Roman"/>
        </w:rPr>
      </w:pPr>
      <w:r>
        <w:rPr>
          <w:rFonts w:cs="Times New Roman"/>
        </w:rPr>
        <w:t xml:space="preserve">The following rules in the </w:t>
      </w:r>
      <w:r w:rsidR="00082B98">
        <w:rPr>
          <w:rFonts w:cs="Times New Roman"/>
          <w:i/>
        </w:rPr>
        <w:t>Second</w:t>
      </w:r>
      <w:r w:rsidRPr="00230183">
        <w:rPr>
          <w:rFonts w:cs="Times New Roman"/>
          <w:i/>
        </w:rPr>
        <w:t xml:space="preserve"> Report and Order</w:t>
      </w:r>
      <w:r>
        <w:rPr>
          <w:rFonts w:cs="Times New Roman"/>
        </w:rPr>
        <w:t xml:space="preserve"> </w:t>
      </w:r>
      <w:r w:rsidRPr="00B264C4">
        <w:rPr>
          <w:rFonts w:cs="Times New Roman"/>
        </w:rPr>
        <w:t>require</w:t>
      </w:r>
      <w:r w:rsidR="004F4681">
        <w:rPr>
          <w:rFonts w:cs="Times New Roman"/>
        </w:rPr>
        <w:t>d</w:t>
      </w:r>
      <w:r w:rsidRPr="00B264C4">
        <w:rPr>
          <w:rFonts w:cs="Times New Roman"/>
        </w:rPr>
        <w:t xml:space="preserve"> approval by the Office of Management and Budget (OMB) under the Paperwork Reduction Act:  </w:t>
      </w:r>
      <w:r>
        <w:rPr>
          <w:rFonts w:cs="Times New Roman"/>
        </w:rPr>
        <w:t xml:space="preserve">47 CFR § </w:t>
      </w:r>
      <w:r w:rsidR="00082B98">
        <w:rPr>
          <w:rFonts w:cs="Times New Roman"/>
        </w:rPr>
        <w:t>73.3525(b) (deleted)</w:t>
      </w:r>
      <w:r w:rsidRPr="00B264C4">
        <w:rPr>
          <w:rFonts w:cs="Times New Roman"/>
        </w:rPr>
        <w:t xml:space="preserve">, </w:t>
      </w:r>
      <w:r>
        <w:rPr>
          <w:rFonts w:cs="Times New Roman"/>
        </w:rPr>
        <w:t xml:space="preserve">47 CFR § </w:t>
      </w:r>
      <w:r w:rsidR="00082B98">
        <w:rPr>
          <w:rFonts w:cs="Times New Roman"/>
        </w:rPr>
        <w:t>73.3526(e)(13)</w:t>
      </w:r>
      <w:r w:rsidRPr="00B264C4">
        <w:rPr>
          <w:rFonts w:cs="Times New Roman"/>
        </w:rPr>
        <w:t xml:space="preserve">, </w:t>
      </w:r>
      <w:r>
        <w:rPr>
          <w:rFonts w:cs="Times New Roman"/>
        </w:rPr>
        <w:t xml:space="preserve">47 CFR § </w:t>
      </w:r>
      <w:r w:rsidR="00082B98">
        <w:rPr>
          <w:rFonts w:cs="Times New Roman"/>
        </w:rPr>
        <w:t>73.3527(e)(10)</w:t>
      </w:r>
      <w:r w:rsidRPr="00B264C4">
        <w:rPr>
          <w:rFonts w:cs="Times New Roman"/>
        </w:rPr>
        <w:t xml:space="preserve">, </w:t>
      </w:r>
      <w:r>
        <w:rPr>
          <w:rFonts w:cs="Times New Roman"/>
        </w:rPr>
        <w:t xml:space="preserve">47 CFR § </w:t>
      </w:r>
      <w:r w:rsidRPr="00B264C4">
        <w:rPr>
          <w:rFonts w:cs="Times New Roman"/>
        </w:rPr>
        <w:t>73.</w:t>
      </w:r>
      <w:r w:rsidR="00082B98">
        <w:rPr>
          <w:rFonts w:cs="Times New Roman"/>
        </w:rPr>
        <w:t>3571(j)(3)</w:t>
      </w:r>
      <w:r w:rsidRPr="00B264C4">
        <w:rPr>
          <w:rFonts w:cs="Times New Roman"/>
        </w:rPr>
        <w:t xml:space="preserve">, </w:t>
      </w:r>
      <w:r w:rsidR="00082B98">
        <w:rPr>
          <w:rFonts w:cs="Times New Roman"/>
        </w:rPr>
        <w:t xml:space="preserve">47 CFR § 73.3573(g)(3), 47 CFR §73.3580, </w:t>
      </w:r>
      <w:r w:rsidRPr="00B264C4">
        <w:rPr>
          <w:rFonts w:cs="Times New Roman"/>
        </w:rPr>
        <w:t xml:space="preserve">and </w:t>
      </w:r>
      <w:r>
        <w:rPr>
          <w:rFonts w:cs="Times New Roman"/>
        </w:rPr>
        <w:t xml:space="preserve">47 CFR § </w:t>
      </w:r>
      <w:r w:rsidRPr="00B264C4">
        <w:rPr>
          <w:rFonts w:cs="Times New Roman"/>
        </w:rPr>
        <w:t>73.</w:t>
      </w:r>
      <w:r w:rsidR="00082B98">
        <w:rPr>
          <w:rFonts w:cs="Times New Roman"/>
        </w:rPr>
        <w:t>3594</w:t>
      </w:r>
      <w:r w:rsidRPr="00B264C4">
        <w:rPr>
          <w:rFonts w:cs="Times New Roman"/>
        </w:rPr>
        <w:t xml:space="preserve">. </w:t>
      </w:r>
      <w:r w:rsidR="004F4681">
        <w:rPr>
          <w:rFonts w:cs="Times New Roman"/>
        </w:rPr>
        <w:t xml:space="preserve">Notice of OMB approval was published in the </w:t>
      </w:r>
      <w:r w:rsidRPr="004F4681" w:rsidR="004F4681">
        <w:rPr>
          <w:rFonts w:cs="Times New Roman"/>
          <w:i/>
          <w:iCs/>
        </w:rPr>
        <w:t>Federal Register</w:t>
      </w:r>
      <w:r w:rsidR="004F4681">
        <w:rPr>
          <w:rFonts w:cs="Times New Roman"/>
        </w:rPr>
        <w:t xml:space="preserve"> on October 29, 2020, announcing the </w:t>
      </w:r>
      <w:r w:rsidRPr="00B264C4" w:rsidR="004F4681">
        <w:rPr>
          <w:rFonts w:cs="Times New Roman"/>
        </w:rPr>
        <w:t xml:space="preserve">effective </w:t>
      </w:r>
      <w:r w:rsidR="004F4681">
        <w:rPr>
          <w:rFonts w:cs="Times New Roman"/>
        </w:rPr>
        <w:t>date of October 30, 2020.</w:t>
      </w:r>
    </w:p>
    <w:p w:rsidR="001F484C" w:rsidP="007F0A80" w14:paraId="3B8FAE78" w14:textId="1224FF86">
      <w:pPr>
        <w:spacing w:after="0"/>
        <w:rPr>
          <w:rFonts w:cs="Times New Roman"/>
        </w:rPr>
      </w:pPr>
    </w:p>
    <w:p w:rsidR="001F484C" w:rsidRPr="00B264C4" w:rsidP="007F0A80" w14:paraId="306B678F" w14:textId="77777777">
      <w:pPr>
        <w:spacing w:after="0"/>
        <w:rPr>
          <w:rFonts w:cs="Times New Roman"/>
          <w:b/>
        </w:rPr>
      </w:pPr>
    </w:p>
    <w:p w:rsidR="00491F77" w:rsidRPr="00BA76C8" w:rsidP="007F0A80" w14:paraId="6176B903" w14:textId="77777777">
      <w:pPr>
        <w:spacing w:after="0"/>
        <w:rPr>
          <w:rFonts w:cs="Times New Roman"/>
          <w:b/>
        </w:rPr>
      </w:pPr>
    </w:p>
    <w:p w:rsidR="00C5062A" w:rsidRPr="00511023" w:rsidP="00286EA8" w14:paraId="79679D59" w14:textId="5FC232EB">
      <w:pPr>
        <w:tabs>
          <w:tab w:val="left" w:pos="720"/>
        </w:tabs>
        <w:spacing w:after="0"/>
        <w:rPr>
          <w:rFonts w:cs="Times New Roman"/>
          <w:b/>
        </w:rPr>
      </w:pPr>
      <w:r>
        <w:rPr>
          <w:rFonts w:cs="Times New Roman"/>
          <w:b/>
        </w:rPr>
        <w:t>V.</w:t>
      </w:r>
      <w:r>
        <w:rPr>
          <w:rFonts w:cs="Times New Roman"/>
          <w:b/>
        </w:rPr>
        <w:tab/>
      </w:r>
      <w:r w:rsidRPr="00511023">
        <w:rPr>
          <w:rFonts w:cs="Times New Roman"/>
          <w:b/>
        </w:rPr>
        <w:t>INTERNET LINKS</w:t>
      </w:r>
    </w:p>
    <w:p w:rsidR="00233B90" w:rsidP="00C5062A" w14:paraId="170C5BF1" w14:textId="77777777">
      <w:pPr>
        <w:spacing w:after="0"/>
        <w:rPr>
          <w:rFonts w:cs="Times New Roman"/>
          <w:b/>
        </w:rPr>
      </w:pPr>
    </w:p>
    <w:p w:rsidR="00C5062A" w:rsidRPr="00230183" w:rsidP="00C5062A" w14:paraId="502FE2B9" w14:textId="7D6959FF">
      <w:pPr>
        <w:spacing w:after="0"/>
        <w:rPr>
          <w:rFonts w:cs="Times New Roman"/>
          <w:b/>
        </w:rPr>
      </w:pPr>
      <w:r w:rsidRPr="00511023">
        <w:rPr>
          <w:rFonts w:cs="Times New Roman"/>
          <w:b/>
        </w:rPr>
        <w:t xml:space="preserve">A copy of the </w:t>
      </w:r>
      <w:r w:rsidR="00375AF8">
        <w:rPr>
          <w:rFonts w:cs="Times New Roman"/>
          <w:b/>
          <w:i/>
        </w:rPr>
        <w:t>Second</w:t>
      </w:r>
      <w:r w:rsidR="00230183">
        <w:rPr>
          <w:rFonts w:cs="Times New Roman"/>
          <w:b/>
          <w:i/>
        </w:rPr>
        <w:t xml:space="preserve"> Report and Order</w:t>
      </w:r>
      <w:r w:rsidRPr="00511023">
        <w:rPr>
          <w:rFonts w:cs="Times New Roman"/>
          <w:b/>
        </w:rPr>
        <w:t xml:space="preserve"> is available at: </w:t>
      </w:r>
      <w:hyperlink r:id="rId7" w:history="1">
        <w:r w:rsidRPr="003035A8" w:rsidR="00375AF8">
          <w:rPr>
            <w:rStyle w:val="Hyperlink"/>
          </w:rPr>
          <w:t>https://docs.fcc.gov/public/attachments/FCC-20-65A1.pdf</w:t>
        </w:r>
      </w:hyperlink>
      <w:r w:rsidR="00375AF8">
        <w:t xml:space="preserve"> </w:t>
      </w:r>
      <w:r w:rsidR="00230183">
        <w:rPr>
          <w:rFonts w:cs="Times New Roman"/>
        </w:rPr>
        <w:t xml:space="preserve"> </w:t>
      </w:r>
    </w:p>
    <w:p w:rsidR="002973BD" w:rsidRPr="00511023" w:rsidP="00C5062A" w14:paraId="5819B98F" w14:textId="77777777">
      <w:pPr>
        <w:spacing w:after="0"/>
        <w:rPr>
          <w:rFonts w:cs="Times New Roman"/>
          <w:b/>
        </w:rPr>
      </w:pPr>
    </w:p>
    <w:p w:rsidR="00C5062A" w:rsidRPr="00511023" w:rsidP="00C5062A" w14:paraId="3EA25B09" w14:textId="396818FC">
      <w:pPr>
        <w:spacing w:after="0"/>
        <w:rPr>
          <w:rFonts w:cs="Times New Roman"/>
          <w:b/>
        </w:rPr>
      </w:pPr>
      <w:r w:rsidRPr="00511023">
        <w:rPr>
          <w:rFonts w:cs="Times New Roman"/>
          <w:b/>
        </w:rPr>
        <w:t xml:space="preserve">A copy of the </w:t>
      </w:r>
      <w:r w:rsidRPr="00DD4B85">
        <w:rPr>
          <w:rFonts w:cs="Times New Roman"/>
          <w:b/>
          <w:i/>
          <w:iCs/>
        </w:rPr>
        <w:t>Federal Register</w:t>
      </w:r>
      <w:r w:rsidRPr="00511023">
        <w:rPr>
          <w:rFonts w:cs="Times New Roman"/>
          <w:b/>
        </w:rPr>
        <w:t xml:space="preserve"> Summary of the </w:t>
      </w:r>
      <w:r w:rsidR="00344C30">
        <w:rPr>
          <w:rFonts w:cs="Times New Roman"/>
          <w:b/>
          <w:i/>
        </w:rPr>
        <w:t>Second</w:t>
      </w:r>
      <w:r w:rsidR="00230183">
        <w:rPr>
          <w:rFonts w:cs="Times New Roman"/>
          <w:b/>
          <w:i/>
        </w:rPr>
        <w:t xml:space="preserve"> Report and Order</w:t>
      </w:r>
      <w:r w:rsidRPr="00511023">
        <w:rPr>
          <w:rFonts w:cs="Times New Roman"/>
          <w:b/>
        </w:rPr>
        <w:t xml:space="preserve"> is available at: </w:t>
      </w:r>
    </w:p>
    <w:p w:rsidR="004008B8" w:rsidP="00972776" w14:paraId="76D7AB80" w14:textId="49300F36">
      <w:pPr>
        <w:spacing w:after="0"/>
      </w:pPr>
      <w:hyperlink r:id="rId8" w:history="1">
        <w:r w:rsidRPr="003035A8" w:rsidR="00375AF8">
          <w:rPr>
            <w:rStyle w:val="Hyperlink"/>
          </w:rPr>
          <w:t>https://www.federalregister.gov/documents/2020/06/18/2020-11127/filing-of-applications-modernization-of-media-regulation-initiative-revision-of-the-public-notice</w:t>
        </w:r>
      </w:hyperlink>
      <w:r w:rsidR="00375AF8">
        <w:t xml:space="preserve"> </w:t>
      </w:r>
    </w:p>
    <w:p w:rsidR="00DD4B85" w:rsidP="00972776" w14:paraId="53C476BD" w14:textId="330C0E9F">
      <w:pPr>
        <w:spacing w:after="0"/>
      </w:pPr>
    </w:p>
    <w:p w:rsidR="00DD4B85" w:rsidRPr="00511023" w:rsidP="00972776" w14:paraId="7099BB0E" w14:textId="0DD1FA47">
      <w:pPr>
        <w:spacing w:after="0"/>
        <w:rPr>
          <w:rFonts w:cs="Times New Roman"/>
          <w:b/>
        </w:rPr>
      </w:pPr>
      <w:r w:rsidRPr="00DD4B85">
        <w:rPr>
          <w:b/>
          <w:bCs/>
        </w:rPr>
        <w:t xml:space="preserve">A copy of the </w:t>
      </w:r>
      <w:r w:rsidRPr="00DD4B85">
        <w:rPr>
          <w:b/>
          <w:bCs/>
          <w:i/>
          <w:iCs/>
        </w:rPr>
        <w:t>Federal Register</w:t>
      </w:r>
      <w:r w:rsidRPr="00DD4B85">
        <w:rPr>
          <w:b/>
          <w:bCs/>
        </w:rPr>
        <w:t xml:space="preserve"> notice of OMB approval and effective date of rules adopted in the </w:t>
      </w:r>
      <w:r w:rsidRPr="00DD4B85">
        <w:rPr>
          <w:b/>
          <w:bCs/>
          <w:i/>
          <w:iCs/>
        </w:rPr>
        <w:t>Second Report and Order</w:t>
      </w:r>
      <w:r w:rsidRPr="00DD4B85">
        <w:rPr>
          <w:b/>
          <w:bCs/>
        </w:rPr>
        <w:t xml:space="preserve"> is available at:</w:t>
      </w:r>
      <w:r>
        <w:t xml:space="preserve">  </w:t>
      </w:r>
      <w:hyperlink r:id="rId9" w:history="1">
        <w:r w:rsidRPr="00CC175E">
          <w:rPr>
            <w:rStyle w:val="Hyperlink"/>
          </w:rPr>
          <w:t>https://www.federalregister.gov/documents/2020/10/29/2020-23441/filing-of-applications-modernization-of-media-regulation-initiative-revision-of-the-public-notice</w:t>
        </w:r>
      </w:hyperlink>
      <w:r>
        <w:t xml:space="preserve"> </w:t>
      </w:r>
    </w:p>
    <w:sectPr w:rsidSect="001743EF">
      <w:headerReference w:type="default" r:id="rId10"/>
      <w:footerReference w:type="default" r:id="rId11"/>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21A4A" w14:paraId="0B5C5E41"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71262567" r:id="rId2"/>
      </w:pict>
    </w:r>
    <w:r>
      <w:rPr>
        <w:rFonts w:ascii="CG Times (W1)" w:hAnsi="CG Times (W1)"/>
        <w:sz w:val="28"/>
      </w:rPr>
      <w:t>Federal Communications Commission</w:t>
    </w:r>
  </w:p>
  <w:p w:rsidR="00121A4A" w:rsidP="00121A4A" w14:paraId="71989AC2" w14:textId="77777777">
    <w:pPr>
      <w:jc w:val="center"/>
      <w:rPr>
        <w:rFonts w:ascii="CG Times (W1)" w:hAnsi="CG Times (W1)"/>
        <w:sz w:val="28"/>
      </w:rPr>
    </w:pPr>
    <w:r>
      <w:rPr>
        <w:rFonts w:ascii="CG Times (W1)" w:hAnsi="CG Times (W1)"/>
        <w:sz w:val="28"/>
      </w:rPr>
      <w:t>Washington, D.C. 20554</w:t>
    </w:r>
  </w:p>
  <w:p w:rsidR="00121A4A" w:rsidRPr="003172B5" w:rsidP="00511023" w14:paraId="0675F8B2" w14:textId="64BDA152">
    <w:pPr>
      <w:jc w:val="center"/>
      <w:rPr>
        <w:sz w:val="24"/>
        <w:szCs w:val="24"/>
      </w:rPr>
    </w:pPr>
    <w:r>
      <w:rPr>
        <w:rFonts w:ascii="CG Times (W1)" w:hAnsi="CG Times (W1)"/>
        <w:sz w:val="24"/>
        <w:szCs w:val="24"/>
      </w:rPr>
      <w:t>January 4</w:t>
    </w:r>
    <w:r w:rsidR="008170D5">
      <w:rPr>
        <w:rFonts w:ascii="CG Times (W1)" w:hAnsi="CG Times (W1)"/>
        <w:sz w:val="24"/>
        <w:szCs w:val="24"/>
      </w:rPr>
      <w:t>, 202</w:t>
    </w:r>
    <w:r>
      <w:rPr>
        <w:rFonts w:ascii="CG Times (W1)" w:hAnsi="CG Times (W1)"/>
        <w:sz w:val="24"/>
        <w:szCs w:val="24"/>
      </w:rPr>
      <w:t>1</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21B60"/>
    <w:multiLevelType w:val="hybridMultilevel"/>
    <w:tmpl w:val="D256B1A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ED824A0"/>
    <w:multiLevelType w:val="hybridMultilevel"/>
    <w:tmpl w:val="A9909C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0BD573F"/>
    <w:multiLevelType w:val="hybridMultilevel"/>
    <w:tmpl w:val="C9F8AD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4E41B14"/>
    <w:multiLevelType w:val="hybridMultilevel"/>
    <w:tmpl w:val="03E018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E6D6A7D"/>
    <w:multiLevelType w:val="hybridMultilevel"/>
    <w:tmpl w:val="2B5CF30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DD5733A"/>
    <w:multiLevelType w:val="hybridMultilevel"/>
    <w:tmpl w:val="796A74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0195BB7"/>
    <w:multiLevelType w:val="hybridMultilevel"/>
    <w:tmpl w:val="EE108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1D96F15"/>
    <w:multiLevelType w:val="hybridMultilevel"/>
    <w:tmpl w:val="AC5A9B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4"/>
  </w:num>
  <w:num w:numId="3">
    <w:abstractNumId w:val="13"/>
  </w:num>
  <w:num w:numId="4">
    <w:abstractNumId w:val="3"/>
  </w:num>
  <w:num w:numId="5">
    <w:abstractNumId w:val="17"/>
  </w:num>
  <w:num w:numId="6">
    <w:abstractNumId w:val="7"/>
  </w:num>
  <w:num w:numId="7">
    <w:abstractNumId w:val="1"/>
  </w:num>
  <w:num w:numId="8">
    <w:abstractNumId w:val="15"/>
  </w:num>
  <w:num w:numId="9">
    <w:abstractNumId w:val="11"/>
  </w:num>
  <w:num w:numId="10">
    <w:abstractNumId w:val="2"/>
  </w:num>
  <w:num w:numId="11">
    <w:abstractNumId w:val="9"/>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3"/>
    </w:lvlOverride>
  </w:num>
  <w:num w:numId="14">
    <w:abstractNumId w:val="0"/>
  </w:num>
  <w:num w:numId="15">
    <w:abstractNumId w:val="6"/>
  </w:num>
  <w:num w:numId="16">
    <w:abstractNumId w:val="12"/>
  </w:num>
  <w:num w:numId="17">
    <w:abstractNumId w:val="10"/>
  </w:num>
  <w:num w:numId="18">
    <w:abstractNumId w:val="8"/>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6E69"/>
    <w:rsid w:val="0000705E"/>
    <w:rsid w:val="00013982"/>
    <w:rsid w:val="0001453A"/>
    <w:rsid w:val="00025AB0"/>
    <w:rsid w:val="00031052"/>
    <w:rsid w:val="000320CC"/>
    <w:rsid w:val="000325F9"/>
    <w:rsid w:val="00034878"/>
    <w:rsid w:val="000601FD"/>
    <w:rsid w:val="00064737"/>
    <w:rsid w:val="00066CB4"/>
    <w:rsid w:val="00074CA4"/>
    <w:rsid w:val="00077CB7"/>
    <w:rsid w:val="00077EAC"/>
    <w:rsid w:val="00082B98"/>
    <w:rsid w:val="00087BBD"/>
    <w:rsid w:val="0009430B"/>
    <w:rsid w:val="000A1B02"/>
    <w:rsid w:val="000B37C6"/>
    <w:rsid w:val="000B7E9D"/>
    <w:rsid w:val="000C1FA6"/>
    <w:rsid w:val="000D2F0F"/>
    <w:rsid w:val="000D790A"/>
    <w:rsid w:val="000E0750"/>
    <w:rsid w:val="000E0906"/>
    <w:rsid w:val="000E4E16"/>
    <w:rsid w:val="000F616D"/>
    <w:rsid w:val="000F7BE7"/>
    <w:rsid w:val="00115515"/>
    <w:rsid w:val="00121A4A"/>
    <w:rsid w:val="00131CCC"/>
    <w:rsid w:val="001338B0"/>
    <w:rsid w:val="00133D08"/>
    <w:rsid w:val="00152909"/>
    <w:rsid w:val="00153001"/>
    <w:rsid w:val="001544BD"/>
    <w:rsid w:val="0015576D"/>
    <w:rsid w:val="0016686E"/>
    <w:rsid w:val="00173AB8"/>
    <w:rsid w:val="001743EF"/>
    <w:rsid w:val="00181462"/>
    <w:rsid w:val="001939D1"/>
    <w:rsid w:val="001961AA"/>
    <w:rsid w:val="001A1EAC"/>
    <w:rsid w:val="001B5226"/>
    <w:rsid w:val="001C641C"/>
    <w:rsid w:val="001D6690"/>
    <w:rsid w:val="001E36B9"/>
    <w:rsid w:val="001F484C"/>
    <w:rsid w:val="00215B6A"/>
    <w:rsid w:val="00222526"/>
    <w:rsid w:val="00230183"/>
    <w:rsid w:val="00230205"/>
    <w:rsid w:val="00233B90"/>
    <w:rsid w:val="00243CE9"/>
    <w:rsid w:val="00247E1B"/>
    <w:rsid w:val="0027433C"/>
    <w:rsid w:val="00282849"/>
    <w:rsid w:val="002835DF"/>
    <w:rsid w:val="00286EA8"/>
    <w:rsid w:val="00292357"/>
    <w:rsid w:val="002973BD"/>
    <w:rsid w:val="002A57BD"/>
    <w:rsid w:val="002A73FE"/>
    <w:rsid w:val="002B11B3"/>
    <w:rsid w:val="002B61F5"/>
    <w:rsid w:val="002B6FD0"/>
    <w:rsid w:val="002C1EA9"/>
    <w:rsid w:val="002D0DED"/>
    <w:rsid w:val="002F683E"/>
    <w:rsid w:val="002F7376"/>
    <w:rsid w:val="002F77E2"/>
    <w:rsid w:val="003017A1"/>
    <w:rsid w:val="003035A8"/>
    <w:rsid w:val="00305E5B"/>
    <w:rsid w:val="0030636D"/>
    <w:rsid w:val="003149AB"/>
    <w:rsid w:val="003172B5"/>
    <w:rsid w:val="00320D58"/>
    <w:rsid w:val="00320E44"/>
    <w:rsid w:val="00330480"/>
    <w:rsid w:val="003322AF"/>
    <w:rsid w:val="003348EA"/>
    <w:rsid w:val="00334EB4"/>
    <w:rsid w:val="00335EE9"/>
    <w:rsid w:val="003423E5"/>
    <w:rsid w:val="00344C30"/>
    <w:rsid w:val="0034659A"/>
    <w:rsid w:val="00364D35"/>
    <w:rsid w:val="00366EE5"/>
    <w:rsid w:val="00367858"/>
    <w:rsid w:val="003733F4"/>
    <w:rsid w:val="00375AF8"/>
    <w:rsid w:val="003837F4"/>
    <w:rsid w:val="00383A4F"/>
    <w:rsid w:val="003868AE"/>
    <w:rsid w:val="003C7B5C"/>
    <w:rsid w:val="003D1B5B"/>
    <w:rsid w:val="003D226E"/>
    <w:rsid w:val="003E2C3F"/>
    <w:rsid w:val="003E344A"/>
    <w:rsid w:val="003E6E81"/>
    <w:rsid w:val="003E7BFE"/>
    <w:rsid w:val="003F1DFC"/>
    <w:rsid w:val="003F5CB7"/>
    <w:rsid w:val="004008B8"/>
    <w:rsid w:val="0040311E"/>
    <w:rsid w:val="004126D5"/>
    <w:rsid w:val="00414264"/>
    <w:rsid w:val="00427757"/>
    <w:rsid w:val="00463A2A"/>
    <w:rsid w:val="004740BF"/>
    <w:rsid w:val="004749A4"/>
    <w:rsid w:val="00485B77"/>
    <w:rsid w:val="00491D54"/>
    <w:rsid w:val="00491F77"/>
    <w:rsid w:val="00496C3A"/>
    <w:rsid w:val="0049762A"/>
    <w:rsid w:val="004A450A"/>
    <w:rsid w:val="004B012E"/>
    <w:rsid w:val="004B6491"/>
    <w:rsid w:val="004B7242"/>
    <w:rsid w:val="004C0927"/>
    <w:rsid w:val="004C0EDD"/>
    <w:rsid w:val="004F3108"/>
    <w:rsid w:val="004F4681"/>
    <w:rsid w:val="004F68F6"/>
    <w:rsid w:val="005008FB"/>
    <w:rsid w:val="0050544C"/>
    <w:rsid w:val="005079B3"/>
    <w:rsid w:val="00511023"/>
    <w:rsid w:val="00514667"/>
    <w:rsid w:val="00514BCB"/>
    <w:rsid w:val="005165A7"/>
    <w:rsid w:val="005275C1"/>
    <w:rsid w:val="00527F85"/>
    <w:rsid w:val="00531220"/>
    <w:rsid w:val="005449FD"/>
    <w:rsid w:val="00544ADD"/>
    <w:rsid w:val="00550D60"/>
    <w:rsid w:val="005638E2"/>
    <w:rsid w:val="005717FB"/>
    <w:rsid w:val="005869BB"/>
    <w:rsid w:val="005B3852"/>
    <w:rsid w:val="005B3BA6"/>
    <w:rsid w:val="005B6532"/>
    <w:rsid w:val="005B6FA7"/>
    <w:rsid w:val="005C1817"/>
    <w:rsid w:val="005E70B7"/>
    <w:rsid w:val="00610B56"/>
    <w:rsid w:val="0061448B"/>
    <w:rsid w:val="006175DB"/>
    <w:rsid w:val="00637613"/>
    <w:rsid w:val="00657EA8"/>
    <w:rsid w:val="00671E00"/>
    <w:rsid w:val="00677244"/>
    <w:rsid w:val="00683C2E"/>
    <w:rsid w:val="0068423D"/>
    <w:rsid w:val="006A0193"/>
    <w:rsid w:val="006B4A60"/>
    <w:rsid w:val="006B4F31"/>
    <w:rsid w:val="006C3A5F"/>
    <w:rsid w:val="006C7C44"/>
    <w:rsid w:val="006E50A3"/>
    <w:rsid w:val="006E542F"/>
    <w:rsid w:val="006F117F"/>
    <w:rsid w:val="006F2901"/>
    <w:rsid w:val="006F411B"/>
    <w:rsid w:val="00701319"/>
    <w:rsid w:val="00710760"/>
    <w:rsid w:val="00716724"/>
    <w:rsid w:val="00716B68"/>
    <w:rsid w:val="00734228"/>
    <w:rsid w:val="00734B5A"/>
    <w:rsid w:val="00735330"/>
    <w:rsid w:val="00740ED6"/>
    <w:rsid w:val="00743480"/>
    <w:rsid w:val="00765ABD"/>
    <w:rsid w:val="0077683E"/>
    <w:rsid w:val="00777CF9"/>
    <w:rsid w:val="00791348"/>
    <w:rsid w:val="00794548"/>
    <w:rsid w:val="00794908"/>
    <w:rsid w:val="007B3DDC"/>
    <w:rsid w:val="007C79FC"/>
    <w:rsid w:val="007E64DB"/>
    <w:rsid w:val="007F0A80"/>
    <w:rsid w:val="008104E2"/>
    <w:rsid w:val="00814C33"/>
    <w:rsid w:val="00815E82"/>
    <w:rsid w:val="008170D5"/>
    <w:rsid w:val="008178C6"/>
    <w:rsid w:val="008178D8"/>
    <w:rsid w:val="008212C0"/>
    <w:rsid w:val="00821520"/>
    <w:rsid w:val="00831688"/>
    <w:rsid w:val="0086312B"/>
    <w:rsid w:val="00864203"/>
    <w:rsid w:val="0087704C"/>
    <w:rsid w:val="008821A1"/>
    <w:rsid w:val="00883000"/>
    <w:rsid w:val="00890382"/>
    <w:rsid w:val="008A1E77"/>
    <w:rsid w:val="008C3B06"/>
    <w:rsid w:val="008C519D"/>
    <w:rsid w:val="008D4AA5"/>
    <w:rsid w:val="008E2841"/>
    <w:rsid w:val="008E6A12"/>
    <w:rsid w:val="008F02BA"/>
    <w:rsid w:val="00910EFF"/>
    <w:rsid w:val="00926EAA"/>
    <w:rsid w:val="009464B8"/>
    <w:rsid w:val="0095028B"/>
    <w:rsid w:val="0095132F"/>
    <w:rsid w:val="00951C24"/>
    <w:rsid w:val="00972776"/>
    <w:rsid w:val="00972B46"/>
    <w:rsid w:val="00975125"/>
    <w:rsid w:val="009827ED"/>
    <w:rsid w:val="0099497C"/>
    <w:rsid w:val="00996590"/>
    <w:rsid w:val="009A61EC"/>
    <w:rsid w:val="009B3815"/>
    <w:rsid w:val="009B41FC"/>
    <w:rsid w:val="009C2362"/>
    <w:rsid w:val="009C5AF7"/>
    <w:rsid w:val="009C7F6E"/>
    <w:rsid w:val="009D0993"/>
    <w:rsid w:val="009D47E7"/>
    <w:rsid w:val="009E3B8F"/>
    <w:rsid w:val="009F2B15"/>
    <w:rsid w:val="009F38BA"/>
    <w:rsid w:val="00A01E01"/>
    <w:rsid w:val="00A24F81"/>
    <w:rsid w:val="00A27522"/>
    <w:rsid w:val="00A422B6"/>
    <w:rsid w:val="00A71A7A"/>
    <w:rsid w:val="00A95A87"/>
    <w:rsid w:val="00AA34B7"/>
    <w:rsid w:val="00AA5C0E"/>
    <w:rsid w:val="00AA7D23"/>
    <w:rsid w:val="00AB1D1E"/>
    <w:rsid w:val="00AB1E95"/>
    <w:rsid w:val="00AC1A95"/>
    <w:rsid w:val="00AC5039"/>
    <w:rsid w:val="00AC6478"/>
    <w:rsid w:val="00AD0BD0"/>
    <w:rsid w:val="00AD7A25"/>
    <w:rsid w:val="00B05152"/>
    <w:rsid w:val="00B0585E"/>
    <w:rsid w:val="00B06D94"/>
    <w:rsid w:val="00B12C82"/>
    <w:rsid w:val="00B15ED8"/>
    <w:rsid w:val="00B17827"/>
    <w:rsid w:val="00B264C4"/>
    <w:rsid w:val="00B4040F"/>
    <w:rsid w:val="00B41F8C"/>
    <w:rsid w:val="00B43335"/>
    <w:rsid w:val="00B47D0B"/>
    <w:rsid w:val="00B629FE"/>
    <w:rsid w:val="00B7401E"/>
    <w:rsid w:val="00B8024D"/>
    <w:rsid w:val="00B81F96"/>
    <w:rsid w:val="00B849ED"/>
    <w:rsid w:val="00B97D78"/>
    <w:rsid w:val="00BA1697"/>
    <w:rsid w:val="00BA76C8"/>
    <w:rsid w:val="00BB1633"/>
    <w:rsid w:val="00BB438A"/>
    <w:rsid w:val="00BE2EC0"/>
    <w:rsid w:val="00BF2036"/>
    <w:rsid w:val="00BF2471"/>
    <w:rsid w:val="00BF4E5F"/>
    <w:rsid w:val="00BF51F0"/>
    <w:rsid w:val="00C00F5E"/>
    <w:rsid w:val="00C15B54"/>
    <w:rsid w:val="00C235FA"/>
    <w:rsid w:val="00C3455C"/>
    <w:rsid w:val="00C37AC8"/>
    <w:rsid w:val="00C47CEF"/>
    <w:rsid w:val="00C5062A"/>
    <w:rsid w:val="00C518A3"/>
    <w:rsid w:val="00C679F6"/>
    <w:rsid w:val="00C67CA7"/>
    <w:rsid w:val="00C8336A"/>
    <w:rsid w:val="00C8488C"/>
    <w:rsid w:val="00C86B4D"/>
    <w:rsid w:val="00C93959"/>
    <w:rsid w:val="00CA33A5"/>
    <w:rsid w:val="00CB257B"/>
    <w:rsid w:val="00CC175E"/>
    <w:rsid w:val="00CC1EC9"/>
    <w:rsid w:val="00CC7874"/>
    <w:rsid w:val="00CD59E5"/>
    <w:rsid w:val="00CF5356"/>
    <w:rsid w:val="00CF7F9F"/>
    <w:rsid w:val="00D009B7"/>
    <w:rsid w:val="00D1020E"/>
    <w:rsid w:val="00D130E8"/>
    <w:rsid w:val="00D160D1"/>
    <w:rsid w:val="00D17570"/>
    <w:rsid w:val="00D214C5"/>
    <w:rsid w:val="00D277C1"/>
    <w:rsid w:val="00D3573A"/>
    <w:rsid w:val="00D44618"/>
    <w:rsid w:val="00D4618C"/>
    <w:rsid w:val="00D47DB5"/>
    <w:rsid w:val="00D85347"/>
    <w:rsid w:val="00DA51FF"/>
    <w:rsid w:val="00DA673B"/>
    <w:rsid w:val="00DA6B99"/>
    <w:rsid w:val="00DB4D1A"/>
    <w:rsid w:val="00DB66A4"/>
    <w:rsid w:val="00DB784D"/>
    <w:rsid w:val="00DC5B9C"/>
    <w:rsid w:val="00DD2774"/>
    <w:rsid w:val="00DD4B85"/>
    <w:rsid w:val="00DD7D06"/>
    <w:rsid w:val="00DE567B"/>
    <w:rsid w:val="00DE653F"/>
    <w:rsid w:val="00E154FC"/>
    <w:rsid w:val="00E179C6"/>
    <w:rsid w:val="00E2092F"/>
    <w:rsid w:val="00E446F0"/>
    <w:rsid w:val="00E448A0"/>
    <w:rsid w:val="00E47D90"/>
    <w:rsid w:val="00E5079A"/>
    <w:rsid w:val="00E52F5F"/>
    <w:rsid w:val="00E5517F"/>
    <w:rsid w:val="00E56A46"/>
    <w:rsid w:val="00E57E3C"/>
    <w:rsid w:val="00E778BB"/>
    <w:rsid w:val="00E97A21"/>
    <w:rsid w:val="00EA0939"/>
    <w:rsid w:val="00EA4DD4"/>
    <w:rsid w:val="00EB64E6"/>
    <w:rsid w:val="00EC02C5"/>
    <w:rsid w:val="00EC30F1"/>
    <w:rsid w:val="00EC5A67"/>
    <w:rsid w:val="00EC6EF8"/>
    <w:rsid w:val="00EC723E"/>
    <w:rsid w:val="00ED021A"/>
    <w:rsid w:val="00ED5EC2"/>
    <w:rsid w:val="00ED7745"/>
    <w:rsid w:val="00EE4A1F"/>
    <w:rsid w:val="00EF4B82"/>
    <w:rsid w:val="00F0469C"/>
    <w:rsid w:val="00F11502"/>
    <w:rsid w:val="00F1379B"/>
    <w:rsid w:val="00F20130"/>
    <w:rsid w:val="00F20689"/>
    <w:rsid w:val="00F22A4B"/>
    <w:rsid w:val="00F25963"/>
    <w:rsid w:val="00F36151"/>
    <w:rsid w:val="00F37D03"/>
    <w:rsid w:val="00F41273"/>
    <w:rsid w:val="00F426F6"/>
    <w:rsid w:val="00F4281B"/>
    <w:rsid w:val="00F445A1"/>
    <w:rsid w:val="00F4551F"/>
    <w:rsid w:val="00F5056C"/>
    <w:rsid w:val="00F66F85"/>
    <w:rsid w:val="00F75BD2"/>
    <w:rsid w:val="00FA7A46"/>
    <w:rsid w:val="00FE30EB"/>
    <w:rsid w:val="00FE346F"/>
    <w:rsid w:val="00FE767A"/>
    <w:rsid w:val="00FF42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356"/>
    <w:rPr>
      <w:rFonts w:ascii="Times New Roman" w:hAnsi="Times New Roman"/>
    </w:rPr>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B97D78"/>
    <w:pPr>
      <w:keepNext/>
      <w:widowControl w:val="0"/>
      <w:spacing w:after="120" w:line="240" w:lineRule="auto"/>
      <w:ind w:left="1440"/>
      <w:outlineLvl w:val="1"/>
    </w:pPr>
    <w:rPr>
      <w:rFonts w:eastAsia="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eastAsia="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eastAsia="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eastAsia="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eastAsia="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eastAsia="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eastAsia="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eastAsia="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B97D78"/>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eastAsia="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eastAsia="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eastAsia="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375AF8"/>
    <w:rPr>
      <w:color w:val="605E5C"/>
      <w:shd w:val="clear" w:color="auto" w:fill="E1DFDD"/>
    </w:rPr>
  </w:style>
  <w:style w:type="character" w:customStyle="1" w:styleId="ListParagraphChar">
    <w:name w:val="List Paragraph Char"/>
    <w:basedOn w:val="DefaultParagraphFont"/>
    <w:link w:val="ListParagraph"/>
    <w:uiPriority w:val="34"/>
    <w:locked/>
    <w:rsid w:val="00C8336A"/>
    <w:rPr>
      <w:rFonts w:ascii="Times New Roman" w:hAnsi="Times New Roman"/>
    </w:rPr>
  </w:style>
  <w:style w:type="character" w:styleId="FollowedHyperlink">
    <w:name w:val="FollowedHyperlink"/>
    <w:basedOn w:val="DefaultParagraphFont"/>
    <w:uiPriority w:val="99"/>
    <w:semiHidden/>
    <w:unhideWhenUsed/>
    <w:rsid w:val="00DD4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s://docs.fcc.gov/public/attachments/FCC-20-65A1.pdf" TargetMode="External" /><Relationship Id="rId8" Type="http://schemas.openxmlformats.org/officeDocument/2006/relationships/hyperlink" Target="https://www.federalregister.gov/documents/2020/06/18/2020-11127/filing-of-applications-modernization-of-media-regulation-initiative-revision-of-the-public-notice" TargetMode="External" /><Relationship Id="rId9" Type="http://schemas.openxmlformats.org/officeDocument/2006/relationships/hyperlink" Target="https://www.federalregister.gov/documents/2020/10/29/2020-23441/filing-of-applications-modernization-of-media-regulation-initiative-revision-of-the-public-notice"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