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77777777">
            <w:pPr>
              <w:ind w:right="-18"/>
              <w:rPr>
                <w:szCs w:val="22"/>
              </w:rPr>
            </w:pPr>
            <w:r w:rsidRPr="00683723">
              <w:rPr>
                <w:szCs w:val="22"/>
              </w:rPr>
              <w:t xml:space="preserve">In re Application of  </w:t>
            </w:r>
          </w:p>
          <w:p w:rsidR="00AE2D78" w:rsidRPr="00683723" w:rsidP="00197841" w14:paraId="4B8E20A0" w14:textId="77777777">
            <w:pPr>
              <w:ind w:right="-18"/>
              <w:rPr>
                <w:szCs w:val="22"/>
              </w:rPr>
            </w:pPr>
          </w:p>
          <w:p w:rsidR="00AE2D78" w:rsidRPr="00683723" w:rsidP="00197841" w14:paraId="2686789D" w14:textId="5D635480">
            <w:pPr>
              <w:tabs>
                <w:tab w:val="left" w:pos="0"/>
              </w:tabs>
              <w:suppressAutoHyphens/>
              <w:ind w:left="5040" w:hanging="5040"/>
              <w:rPr>
                <w:bCs/>
                <w:szCs w:val="22"/>
              </w:rPr>
            </w:pPr>
            <w:r>
              <w:rPr>
                <w:bCs/>
                <w:szCs w:val="22"/>
              </w:rPr>
              <w:t>Cultural Energy</w:t>
            </w:r>
          </w:p>
          <w:p w:rsidR="00762D8E" w:rsidRPr="00683723" w:rsidP="00197841" w14:paraId="0FCDD463" w14:textId="77777777">
            <w:pPr>
              <w:tabs>
                <w:tab w:val="left" w:pos="0"/>
              </w:tabs>
              <w:suppressAutoHyphens/>
              <w:ind w:left="5040" w:hanging="5040"/>
              <w:rPr>
                <w:szCs w:val="22"/>
              </w:rPr>
            </w:pPr>
          </w:p>
          <w:p w:rsidR="00AE2D78" w:rsidRPr="00683723" w:rsidP="00471790" w14:paraId="1676E400" w14:textId="62AD235C">
            <w:pPr>
              <w:ind w:right="-18"/>
              <w:rPr>
                <w:b/>
                <w:szCs w:val="22"/>
              </w:rPr>
            </w:pPr>
            <w:r w:rsidRPr="00683723">
              <w:rPr>
                <w:szCs w:val="22"/>
              </w:rPr>
              <w:t xml:space="preserve">For Renewal of </w:t>
            </w:r>
            <w:r w:rsidR="00471790">
              <w:rPr>
                <w:szCs w:val="22"/>
              </w:rPr>
              <w:t>KCEI(FM)</w:t>
            </w:r>
          </w:p>
          <w:p w:rsidR="00AE2D78" w:rsidRPr="00683723" w:rsidP="00197841" w14:paraId="6A15853A" w14:textId="35A189A8">
            <w:pPr>
              <w:ind w:right="-18"/>
              <w:rPr>
                <w:szCs w:val="22"/>
              </w:rPr>
            </w:pPr>
            <w:r>
              <w:rPr>
                <w:szCs w:val="22"/>
              </w:rPr>
              <w:t>Red River</w:t>
            </w:r>
            <w:r w:rsidRPr="00683723" w:rsidR="003C67E5">
              <w:rPr>
                <w:szCs w:val="22"/>
              </w:rPr>
              <w:t>,</w:t>
            </w:r>
            <w:r w:rsidRPr="00683723" w:rsidR="00762D8E">
              <w:rPr>
                <w:szCs w:val="22"/>
              </w:rPr>
              <w:t xml:space="preserve"> </w:t>
            </w:r>
            <w:r>
              <w:rPr>
                <w:szCs w:val="22"/>
              </w:rPr>
              <w:t>New Mexico</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RPr="00683723" w:rsidP="00197841" w14:paraId="2DACACCC" w14:textId="39A93281">
            <w:pPr>
              <w:rPr>
                <w:b/>
                <w:szCs w:val="22"/>
              </w:rPr>
            </w:pPr>
            <w:r w:rsidRPr="00683723">
              <w:rPr>
                <w:b/>
                <w:szCs w:val="22"/>
              </w:rPr>
              <w:t>)</w:t>
            </w:r>
          </w:p>
        </w:tc>
        <w:tc>
          <w:tcPr>
            <w:tcW w:w="4230" w:type="dxa"/>
          </w:tcPr>
          <w:p w:rsidR="00AE2D78" w:rsidRPr="00683723" w:rsidP="00197841" w14:paraId="546DDA16" w14:textId="77777777">
            <w:pPr>
              <w:rPr>
                <w:szCs w:val="22"/>
              </w:rPr>
            </w:pPr>
          </w:p>
          <w:p w:rsidR="00AE2D78" w:rsidRPr="00683723" w:rsidP="00197841" w14:paraId="15545EE1" w14:textId="77777777">
            <w:pPr>
              <w:rPr>
                <w:szCs w:val="22"/>
              </w:rPr>
            </w:pPr>
          </w:p>
          <w:p w:rsidR="00AE2D78" w:rsidRPr="00683723" w:rsidP="00197841" w14:paraId="60C88BE4" w14:textId="0E8EF391">
            <w:pPr>
              <w:rPr>
                <w:szCs w:val="22"/>
              </w:rPr>
            </w:pPr>
            <w:r w:rsidRPr="00683723">
              <w:rPr>
                <w:szCs w:val="22"/>
              </w:rPr>
              <w:t xml:space="preserve">Facility ID No. </w:t>
            </w:r>
            <w:r w:rsidR="002011A6">
              <w:rPr>
                <w:szCs w:val="22"/>
              </w:rPr>
              <w:t>82299</w:t>
            </w:r>
          </w:p>
          <w:p w:rsidR="00AE2D78" w:rsidRPr="00683723" w:rsidP="00197841" w14:paraId="08ABA5D7" w14:textId="7AF7A714">
            <w:pPr>
              <w:rPr>
                <w:szCs w:val="22"/>
              </w:rPr>
            </w:pPr>
            <w:r w:rsidRPr="00683723">
              <w:rPr>
                <w:szCs w:val="22"/>
              </w:rPr>
              <w:t>NAL/Acct. No. MB-202</w:t>
            </w:r>
            <w:r w:rsidR="0036418E">
              <w:rPr>
                <w:szCs w:val="22"/>
              </w:rPr>
              <w:t>1</w:t>
            </w:r>
            <w:r w:rsidR="00C73240">
              <w:rPr>
                <w:szCs w:val="22"/>
              </w:rPr>
              <w:t>41410024</w:t>
            </w:r>
          </w:p>
          <w:p w:rsidR="00AE2D78" w:rsidRPr="00683723" w:rsidP="00197841" w14:paraId="3C05CDD2" w14:textId="6A1C0C57">
            <w:pPr>
              <w:rPr>
                <w:szCs w:val="22"/>
              </w:rPr>
            </w:pPr>
            <w:r w:rsidRPr="00683723">
              <w:rPr>
                <w:szCs w:val="22"/>
              </w:rPr>
              <w:t xml:space="preserve">FRN:  </w:t>
            </w:r>
            <w:r w:rsidRPr="0044571B" w:rsidR="0044571B">
              <w:rPr>
                <w:szCs w:val="22"/>
              </w:rPr>
              <w:t>0017027764</w:t>
            </w:r>
          </w:p>
          <w:p w:rsidR="00AE2D78" w:rsidRPr="00683723" w:rsidP="00197841" w14:paraId="45B5CB47" w14:textId="4B6378D4">
            <w:pPr>
              <w:rPr>
                <w:szCs w:val="22"/>
              </w:rPr>
            </w:pPr>
            <w:r w:rsidRPr="00683723">
              <w:rPr>
                <w:szCs w:val="22"/>
              </w:rPr>
              <w:t>File No</w:t>
            </w:r>
            <w:r w:rsidRPr="00683723" w:rsidR="00762D8E">
              <w:rPr>
                <w:szCs w:val="22"/>
              </w:rPr>
              <w:t xml:space="preserve">. </w:t>
            </w:r>
            <w:bookmarkStart w:id="0" w:name="_Hlk64625364"/>
            <w:r w:rsidRPr="0044571B" w:rsidR="0044571B">
              <w:rPr>
                <w:szCs w:val="22"/>
              </w:rPr>
              <w:t>0000122398</w:t>
            </w:r>
            <w:bookmarkEnd w:id="0"/>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0443A82B">
      <w:pPr>
        <w:tabs>
          <w:tab w:val="left" w:pos="5760"/>
        </w:tabs>
        <w:rPr>
          <w:b/>
          <w:szCs w:val="22"/>
        </w:rPr>
      </w:pPr>
      <w:r w:rsidRPr="00683723">
        <w:rPr>
          <w:b/>
          <w:szCs w:val="22"/>
        </w:rPr>
        <w:t xml:space="preserve">Adopted: </w:t>
      </w:r>
      <w:r w:rsidRPr="00683723" w:rsidR="00787F68">
        <w:rPr>
          <w:b/>
          <w:szCs w:val="22"/>
        </w:rPr>
        <w:t xml:space="preserve"> </w:t>
      </w:r>
      <w:r w:rsidR="00DD728C">
        <w:rPr>
          <w:b/>
          <w:szCs w:val="22"/>
        </w:rPr>
        <w:t>March</w:t>
      </w:r>
      <w:r w:rsidRPr="00683723" w:rsidR="00762D8E">
        <w:rPr>
          <w:b/>
          <w:szCs w:val="22"/>
        </w:rPr>
        <w:t xml:space="preserve"> </w:t>
      </w:r>
      <w:r w:rsidR="00C73240">
        <w:rPr>
          <w:b/>
          <w:szCs w:val="22"/>
        </w:rPr>
        <w:t>12</w:t>
      </w:r>
      <w:r w:rsidRPr="00683723" w:rsidR="00787F68">
        <w:rPr>
          <w:b/>
          <w:szCs w:val="22"/>
        </w:rPr>
        <w:t>,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DD728C">
        <w:rPr>
          <w:b/>
          <w:szCs w:val="22"/>
        </w:rPr>
        <w:t>March</w:t>
      </w:r>
      <w:r w:rsidRPr="00683723" w:rsidR="00762D8E">
        <w:rPr>
          <w:b/>
          <w:szCs w:val="22"/>
        </w:rPr>
        <w:t xml:space="preserve"> </w:t>
      </w:r>
      <w:r w:rsidR="00C73240">
        <w:rPr>
          <w:b/>
          <w:szCs w:val="22"/>
        </w:rPr>
        <w:t>12</w:t>
      </w:r>
      <w:r w:rsidRPr="00683723" w:rsidR="003344E3">
        <w:rPr>
          <w:b/>
          <w:szCs w:val="22"/>
        </w:rPr>
        <w:t>,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581D3E" w:rsidRPr="00F03E36" w:rsidP="00581D3E" w14:paraId="3524B4B7" w14:textId="0CC35603">
      <w:pPr>
        <w:pStyle w:val="ParaNum"/>
        <w:rPr>
          <w:szCs w:val="22"/>
        </w:rPr>
      </w:pPr>
      <w:r w:rsidRPr="00683723">
        <w:rPr>
          <w:szCs w:val="22"/>
        </w:rPr>
        <w:t xml:space="preserve">The </w:t>
      </w:r>
      <w:r w:rsidRPr="00F03E36">
        <w:rPr>
          <w:szCs w:val="22"/>
        </w:rPr>
        <w:t>Media Bureau (Bureau) has before it the application (Application)</w:t>
      </w:r>
      <w:r>
        <w:rPr>
          <w:rStyle w:val="FootnoteReference"/>
          <w:sz w:val="22"/>
          <w:szCs w:val="22"/>
        </w:rPr>
        <w:footnoteReference w:id="3"/>
      </w:r>
      <w:r w:rsidRPr="00F03E36">
        <w:rPr>
          <w:szCs w:val="22"/>
        </w:rPr>
        <w:t xml:space="preserve"> of </w:t>
      </w:r>
      <w:r w:rsidRPr="00F03E36" w:rsidR="00BB563D">
        <w:rPr>
          <w:szCs w:val="22"/>
        </w:rPr>
        <w:t>Cultural Energy</w:t>
      </w:r>
      <w:r w:rsidRPr="00F03E36" w:rsidR="00573FFC">
        <w:rPr>
          <w:szCs w:val="22"/>
        </w:rPr>
        <w:t xml:space="preserve"> </w:t>
      </w:r>
      <w:r w:rsidRPr="00F03E36">
        <w:rPr>
          <w:szCs w:val="22"/>
        </w:rPr>
        <w:t xml:space="preserve">(Licensee) for renewal of its license for </w:t>
      </w:r>
      <w:r w:rsidRPr="00F03E36" w:rsidR="00BB563D">
        <w:rPr>
          <w:szCs w:val="22"/>
        </w:rPr>
        <w:t>KCEI(FM), Red River, New Mexico</w:t>
      </w:r>
      <w:r w:rsidRPr="00F03E36">
        <w:rPr>
          <w:szCs w:val="22"/>
        </w:rPr>
        <w:t xml:space="preserve"> (Station).  In this </w:t>
      </w:r>
      <w:r w:rsidRPr="00F03E36">
        <w:rPr>
          <w:i/>
          <w:iCs/>
          <w:szCs w:val="22"/>
        </w:rPr>
        <w:t>Memorandum Opinion and Order and Notice of Apparent Liability for Forfeiture</w:t>
      </w:r>
      <w:r w:rsidRPr="00F03E36">
        <w:rPr>
          <w:szCs w:val="22"/>
        </w:rPr>
        <w:t xml:space="preserve"> (</w:t>
      </w:r>
      <w:r w:rsidRPr="00F03E36">
        <w:rPr>
          <w:i/>
          <w:iCs/>
          <w:szCs w:val="22"/>
        </w:rPr>
        <w:t>NAL</w:t>
      </w:r>
      <w:r w:rsidRPr="00F03E36">
        <w:rPr>
          <w:szCs w:val="22"/>
        </w:rPr>
        <w:t>)</w:t>
      </w:r>
      <w:r w:rsidRPr="00F03E36" w:rsidR="003364B8">
        <w:rPr>
          <w:szCs w:val="22"/>
        </w:rPr>
        <w:t>,</w:t>
      </w:r>
      <w:r>
        <w:rPr>
          <w:rStyle w:val="FootnoteReference"/>
          <w:sz w:val="22"/>
          <w:szCs w:val="22"/>
        </w:rPr>
        <w:footnoteReference w:id="4"/>
      </w:r>
      <w:r w:rsidRPr="00F03E36">
        <w:rPr>
          <w:szCs w:val="22"/>
        </w:rPr>
        <w:t xml:space="preserve"> we find </w:t>
      </w:r>
      <w:r w:rsidRPr="00F03E36" w:rsidR="003364B8">
        <w:rPr>
          <w:szCs w:val="22"/>
        </w:rPr>
        <w:t>the</w:t>
      </w:r>
      <w:r w:rsidRPr="00F03E36">
        <w:rPr>
          <w:szCs w:val="22"/>
        </w:rPr>
        <w:t xml:space="preserve"> Licensee apparently </w:t>
      </w:r>
      <w:r w:rsidRPr="00F03E36" w:rsidR="003364B8">
        <w:rPr>
          <w:szCs w:val="22"/>
        </w:rPr>
        <w:t xml:space="preserve">willfully violated </w:t>
      </w:r>
      <w:r w:rsidRPr="00F03E36">
        <w:rPr>
          <w:szCs w:val="22"/>
        </w:rPr>
        <w:t xml:space="preserve">section 73.3539 of the </w:t>
      </w:r>
      <w:r w:rsidRPr="00F03E36" w:rsidR="00E4775B">
        <w:rPr>
          <w:szCs w:val="22"/>
        </w:rPr>
        <w:t xml:space="preserve">Commission’s </w:t>
      </w:r>
      <w:r w:rsidRPr="00F03E36">
        <w:rPr>
          <w:szCs w:val="22"/>
        </w:rPr>
        <w:t>Rules</w:t>
      </w:r>
      <w:r w:rsidRPr="00F03E36" w:rsidR="00E4775B">
        <w:rPr>
          <w:szCs w:val="22"/>
        </w:rPr>
        <w:t xml:space="preserve"> (Rules)</w:t>
      </w:r>
      <w:r>
        <w:rPr>
          <w:rStyle w:val="FootnoteReference"/>
          <w:sz w:val="22"/>
          <w:szCs w:val="22"/>
        </w:rPr>
        <w:footnoteReference w:id="5"/>
      </w:r>
      <w:r w:rsidRPr="00F03E36">
        <w:rPr>
          <w:szCs w:val="22"/>
        </w:rPr>
        <w:t xml:space="preserve"> by failing to </w:t>
      </w:r>
      <w:r w:rsidRPr="00F03E36" w:rsidR="003364B8">
        <w:rPr>
          <w:szCs w:val="22"/>
        </w:rPr>
        <w:t xml:space="preserve">timely </w:t>
      </w:r>
      <w:r w:rsidRPr="00F03E36">
        <w:rPr>
          <w:szCs w:val="22"/>
        </w:rPr>
        <w:t xml:space="preserve">file a license renewal application for the Station.  Based upon our review of the </w:t>
      </w:r>
      <w:r w:rsidRPr="00F03E36" w:rsidR="003364B8">
        <w:rPr>
          <w:szCs w:val="22"/>
        </w:rPr>
        <w:t>facts and circumstances</w:t>
      </w:r>
      <w:r w:rsidRPr="00F03E36">
        <w:rPr>
          <w:szCs w:val="22"/>
        </w:rPr>
        <w:t xml:space="preserve"> before us, we conclude that </w:t>
      </w:r>
      <w:r w:rsidRPr="00F03E36" w:rsidR="003364B8">
        <w:rPr>
          <w:szCs w:val="22"/>
        </w:rPr>
        <w:t xml:space="preserve">the </w:t>
      </w:r>
      <w:r w:rsidRPr="00F03E36">
        <w:rPr>
          <w:szCs w:val="22"/>
        </w:rPr>
        <w:t xml:space="preserve">Licensee is apparently liable for a monetary forfeiture in the amount of </w:t>
      </w:r>
      <w:r w:rsidRPr="00F03E36" w:rsidR="00F03E36">
        <w:rPr>
          <w:szCs w:val="22"/>
        </w:rPr>
        <w:t>three</w:t>
      </w:r>
      <w:r w:rsidRPr="00F03E36">
        <w:rPr>
          <w:szCs w:val="22"/>
        </w:rPr>
        <w:t xml:space="preserve"> thousand dollars ($</w:t>
      </w:r>
      <w:r w:rsidRPr="00F03E36" w:rsidR="00F03E36">
        <w:rPr>
          <w:szCs w:val="22"/>
        </w:rPr>
        <w:t>3</w:t>
      </w:r>
      <w:r w:rsidRPr="00F03E36">
        <w:rPr>
          <w:szCs w:val="22"/>
        </w:rPr>
        <w:t>,</w:t>
      </w:r>
      <w:r w:rsidRPr="00F03E36" w:rsidR="00F03E36">
        <w:rPr>
          <w:szCs w:val="22"/>
        </w:rPr>
        <w:t>0</w:t>
      </w:r>
      <w:r w:rsidRPr="00F03E36">
        <w:rPr>
          <w:szCs w:val="22"/>
        </w:rPr>
        <w:t>00).</w:t>
      </w:r>
    </w:p>
    <w:p w:rsidR="00AE2D78" w:rsidRPr="00683723" w:rsidP="00573FFC" w14:paraId="5C359F4E" w14:textId="77777777">
      <w:pPr>
        <w:pStyle w:val="Heading1"/>
        <w:rPr>
          <w:rFonts w:ascii="Times New Roman" w:hAnsi="Times New Roman"/>
          <w:szCs w:val="22"/>
        </w:rPr>
      </w:pPr>
      <w:r w:rsidRPr="00683723">
        <w:rPr>
          <w:rFonts w:ascii="Times New Roman" w:hAnsi="Times New Roman"/>
          <w:szCs w:val="22"/>
        </w:rPr>
        <w:t>BACKGROUND</w:t>
      </w:r>
    </w:p>
    <w:p w:rsidR="00C820BE" w:rsidRPr="00683723" w:rsidP="003364B8" w14:paraId="102D507A" w14:textId="018C64B7">
      <w:pPr>
        <w:pStyle w:val="ParaNum"/>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6"/>
      </w:r>
      <w:r w:rsidRPr="00683723">
        <w:rPr>
          <w:szCs w:val="22"/>
        </w:rPr>
        <w:t xml:space="preserve">  An application for renewal of the Station’s license should have been filed by </w:t>
      </w:r>
      <w:r w:rsidR="004B30EA">
        <w:rPr>
          <w:szCs w:val="22"/>
        </w:rPr>
        <w:t>September 30, 2019</w:t>
      </w:r>
      <w:r w:rsidRPr="00683723">
        <w:rPr>
          <w:szCs w:val="22"/>
        </w:rPr>
        <w:t xml:space="preserve">, the first day of the fourth full calendar month prior to the Station’s license expiration date of </w:t>
      </w:r>
      <w:r w:rsidR="004B30EA">
        <w:rPr>
          <w:szCs w:val="22"/>
        </w:rPr>
        <w:t>January 31, 2020</w:t>
      </w:r>
      <w:r w:rsidRPr="00683723">
        <w:rPr>
          <w:szCs w:val="22"/>
        </w:rPr>
        <w:t>.</w:t>
      </w:r>
      <w:r>
        <w:rPr>
          <w:rStyle w:val="FootnoteReference"/>
          <w:sz w:val="22"/>
          <w:szCs w:val="22"/>
        </w:rPr>
        <w:footnoteReference w:id="7"/>
      </w:r>
      <w:r w:rsidRPr="00683723">
        <w:rPr>
          <w:szCs w:val="22"/>
        </w:rPr>
        <w:t xml:space="preserve">  </w:t>
      </w:r>
    </w:p>
    <w:p w:rsidR="003364B8" w:rsidRPr="008A0535" w:rsidP="00B520EB" w14:paraId="650D9165" w14:textId="1815ACAA">
      <w:pPr>
        <w:pStyle w:val="ParaNum"/>
        <w:widowControl/>
        <w:rPr>
          <w:szCs w:val="22"/>
        </w:rPr>
      </w:pPr>
      <w:r>
        <w:rPr>
          <w:szCs w:val="22"/>
        </w:rPr>
        <w:t>T</w:t>
      </w:r>
      <w:r w:rsidRPr="00683723" w:rsidR="00541385">
        <w:rPr>
          <w:szCs w:val="22"/>
        </w:rPr>
        <w:t xml:space="preserve">he Licensee did not file </w:t>
      </w:r>
      <w:r w:rsidR="0053298C">
        <w:rPr>
          <w:szCs w:val="22"/>
        </w:rPr>
        <w:t>the Application</w:t>
      </w:r>
      <w:r w:rsidRPr="00683723" w:rsidR="00712A98">
        <w:rPr>
          <w:szCs w:val="22"/>
        </w:rPr>
        <w:t xml:space="preserve"> </w:t>
      </w:r>
      <w:r w:rsidR="0053298C">
        <w:rPr>
          <w:szCs w:val="22"/>
        </w:rPr>
        <w:t>until September 24, 2020</w:t>
      </w:r>
      <w:r w:rsidRPr="00683723" w:rsidR="00541385">
        <w:rPr>
          <w:szCs w:val="22"/>
        </w:rPr>
        <w:t>.</w:t>
      </w:r>
      <w:r>
        <w:rPr>
          <w:rStyle w:val="FootnoteReference"/>
          <w:szCs w:val="22"/>
        </w:rPr>
        <w:footnoteReference w:id="8"/>
      </w:r>
      <w:r w:rsidRPr="00683723" w:rsidR="00541385">
        <w:rPr>
          <w:szCs w:val="22"/>
        </w:rPr>
        <w:t xml:space="preserve">  </w:t>
      </w:r>
      <w:r w:rsidR="0053298C">
        <w:rPr>
          <w:szCs w:val="22"/>
        </w:rPr>
        <w:t>In the Application, the</w:t>
      </w:r>
      <w:r w:rsidRPr="008A0535" w:rsidR="00406A52">
        <w:rPr>
          <w:szCs w:val="22"/>
        </w:rPr>
        <w:t xml:space="preserve"> Licensee </w:t>
      </w:r>
      <w:r w:rsidRPr="008A0535" w:rsidR="00C42763">
        <w:rPr>
          <w:szCs w:val="22"/>
        </w:rPr>
        <w:t xml:space="preserve">indicates </w:t>
      </w:r>
      <w:r w:rsidRPr="008A0535" w:rsidR="001E6B1E">
        <w:rPr>
          <w:szCs w:val="22"/>
        </w:rPr>
        <w:t>that the failure to timely fil</w:t>
      </w:r>
      <w:r w:rsidR="00862C7D">
        <w:rPr>
          <w:szCs w:val="22"/>
        </w:rPr>
        <w:t xml:space="preserve">e </w:t>
      </w:r>
      <w:r w:rsidRPr="008A0535" w:rsidR="001E6B1E">
        <w:rPr>
          <w:szCs w:val="22"/>
        </w:rPr>
        <w:t>was “an inadvertent oversight</w:t>
      </w:r>
      <w:r w:rsidR="0053298C">
        <w:rPr>
          <w:szCs w:val="22"/>
        </w:rPr>
        <w:t>,</w:t>
      </w:r>
      <w:r w:rsidRPr="008A0535" w:rsidR="001E6B1E">
        <w:rPr>
          <w:szCs w:val="22"/>
        </w:rPr>
        <w:t>”</w:t>
      </w:r>
      <w:r w:rsidR="0053298C">
        <w:rPr>
          <w:szCs w:val="22"/>
        </w:rPr>
        <w:t xml:space="preserve"> and</w:t>
      </w:r>
      <w:r w:rsidRPr="008A0535" w:rsidR="001E6B1E">
        <w:rPr>
          <w:szCs w:val="22"/>
        </w:rPr>
        <w:t xml:space="preserve"> </w:t>
      </w:r>
      <w:r w:rsidR="0053298C">
        <w:rPr>
          <w:szCs w:val="22"/>
        </w:rPr>
        <w:t xml:space="preserve">states </w:t>
      </w:r>
      <w:r w:rsidRPr="008A0535" w:rsidR="001E6B1E">
        <w:rPr>
          <w:szCs w:val="22"/>
        </w:rPr>
        <w:t>that it filed the Application “as soon as [the failure to timely file] was brought to its attention</w:t>
      </w:r>
      <w:r w:rsidRPr="008A0535" w:rsidR="003F41B4">
        <w:rPr>
          <w:szCs w:val="22"/>
        </w:rPr>
        <w:t>.</w:t>
      </w:r>
      <w:r w:rsidRPr="008A0535" w:rsidR="00226B4A">
        <w:rPr>
          <w:szCs w:val="22"/>
        </w:rPr>
        <w:t xml:space="preserve">” </w:t>
      </w:r>
      <w:r w:rsidRPr="008A0535" w:rsidR="003F41B4">
        <w:rPr>
          <w:szCs w:val="22"/>
        </w:rPr>
        <w:t xml:space="preserve"> </w:t>
      </w:r>
    </w:p>
    <w:p w:rsidR="00581D3E" w:rsidRPr="00683723" w:rsidP="00406A52" w14:paraId="548FAE66" w14:textId="77777777">
      <w:pPr>
        <w:pStyle w:val="Heading1"/>
        <w:rPr>
          <w:rFonts w:ascii="Times New Roman" w:hAnsi="Times New Roman"/>
          <w:szCs w:val="22"/>
        </w:rPr>
      </w:pPr>
      <w:r w:rsidRPr="00683723">
        <w:rPr>
          <w:rFonts w:ascii="Times New Roman" w:hAnsi="Times New Roman"/>
          <w:szCs w:val="22"/>
        </w:rPr>
        <w:t>DISCUSSION</w:t>
      </w:r>
    </w:p>
    <w:p w:rsidR="00406A52" w:rsidRPr="00683723" w:rsidP="00406A52" w14:paraId="27226FAC" w14:textId="1AEFDA16">
      <w:pPr>
        <w:pStyle w:val="ParaNum"/>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9"/>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10"/>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11"/>
      </w:r>
      <w:r w:rsidRPr="00683723">
        <w:rPr>
          <w:rFonts w:eastAsia="SimSun"/>
          <w:szCs w:val="22"/>
        </w:rPr>
        <w:t xml:space="preserve"> and the Commission has so interpreted the term in the section 503(b) context.</w:t>
      </w:r>
      <w:r>
        <w:rPr>
          <w:rFonts w:eastAsia="SimSun"/>
          <w:szCs w:val="22"/>
          <w:vertAlign w:val="superscript"/>
        </w:rPr>
        <w:footnoteReference w:id="12"/>
      </w:r>
      <w:r w:rsidRPr="00683723" w:rsidR="001E307A">
        <w:rPr>
          <w:rFonts w:eastAsia="SimSun"/>
          <w:szCs w:val="22"/>
        </w:rPr>
        <w:t xml:space="preserve">  </w:t>
      </w:r>
      <w:r w:rsidRPr="00683723" w:rsidR="001E307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13"/>
      </w:r>
      <w:r w:rsidRPr="00683723" w:rsidR="001E307A">
        <w:rPr>
          <w:szCs w:val="22"/>
        </w:rPr>
        <w:t xml:space="preserve">  </w:t>
      </w:r>
    </w:p>
    <w:p w:rsidR="001E307A" w:rsidRPr="00683723" w:rsidP="001E307A" w14:paraId="6F22F38C" w14:textId="018BE4E3">
      <w:pPr>
        <w:pStyle w:val="ParaNum"/>
        <w:rPr>
          <w:szCs w:val="22"/>
        </w:rPr>
      </w:pPr>
      <w:r w:rsidRPr="00683723">
        <w:rPr>
          <w:szCs w:val="22"/>
        </w:rPr>
        <w:t>The Commission’s Forfeiture Policy Statement and section 1.80(b)(</w:t>
      </w:r>
      <w:r w:rsidR="00BE662A">
        <w:rPr>
          <w:szCs w:val="22"/>
        </w:rPr>
        <w:t>9</w:t>
      </w:r>
      <w:r w:rsidRPr="00683723">
        <w:rPr>
          <w:szCs w:val="22"/>
        </w:rPr>
        <w:t>) of the Rules establish a base forfeiture amount of $3,000 for the failure to timely file a required form.</w:t>
      </w:r>
      <w:r>
        <w:rPr>
          <w:rStyle w:val="FootnoteReference"/>
          <w:sz w:val="22"/>
          <w:szCs w:val="22"/>
        </w:rPr>
        <w:footnoteReference w:id="14"/>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w:t>
      </w:r>
      <w:r w:rsidRPr="00683723">
        <w:rPr>
          <w:szCs w:val="22"/>
        </w:rPr>
        <w:t>and gravity of the violation, and, with respect to the violator, the degree of culpability, any history of prior offenses, ability to pay, and such other matters as justice may require.”</w:t>
      </w:r>
      <w:r w:rsidRPr="00683723">
        <w:rPr>
          <w:rStyle w:val="FootnoteReference"/>
          <w:sz w:val="22"/>
          <w:szCs w:val="22"/>
        </w:rPr>
        <w:t xml:space="preserve"> </w:t>
      </w:r>
      <w:r>
        <w:rPr>
          <w:rStyle w:val="FootnoteReference"/>
          <w:sz w:val="22"/>
          <w:szCs w:val="22"/>
        </w:rPr>
        <w:footnoteReference w:id="15"/>
      </w:r>
    </w:p>
    <w:p w:rsidR="00AE2D78" w:rsidRPr="000A726E" w:rsidP="000A726E" w14:paraId="5AAA1DCA" w14:textId="29A7362B">
      <w:pPr>
        <w:pStyle w:val="ParaNum"/>
        <w:rPr>
          <w:szCs w:val="22"/>
        </w:rPr>
      </w:pPr>
      <w:r w:rsidRPr="00683723">
        <w:rPr>
          <w:szCs w:val="22"/>
        </w:rPr>
        <w:t xml:space="preserve">In this case, </w:t>
      </w:r>
      <w:r w:rsidRPr="00683723" w:rsidR="001E307A">
        <w:rPr>
          <w:szCs w:val="22"/>
        </w:rPr>
        <w:t xml:space="preserve">the </w:t>
      </w:r>
      <w:r w:rsidRPr="00683723">
        <w:rPr>
          <w:szCs w:val="22"/>
        </w:rPr>
        <w:t xml:space="preserve">Licensee failed to </w:t>
      </w:r>
      <w:r w:rsidR="00650B53">
        <w:rPr>
          <w:szCs w:val="22"/>
        </w:rPr>
        <w:t xml:space="preserve">timely </w:t>
      </w:r>
      <w:r w:rsidRPr="00683723">
        <w:rPr>
          <w:szCs w:val="22"/>
        </w:rPr>
        <w:t xml:space="preserve">file a license renewal application for </w:t>
      </w:r>
      <w:r w:rsidRPr="00683723" w:rsidR="001E307A">
        <w:rPr>
          <w:szCs w:val="22"/>
        </w:rPr>
        <w:t>the Station</w:t>
      </w:r>
      <w:r w:rsidRPr="00683723">
        <w:rPr>
          <w:szCs w:val="22"/>
        </w:rPr>
        <w:t>, as required by section 73.3539</w:t>
      </w:r>
      <w:r w:rsidR="00650B53">
        <w:rPr>
          <w:szCs w:val="22"/>
        </w:rPr>
        <w:t>(a)</w:t>
      </w:r>
      <w:r w:rsidRPr="00683723">
        <w:rPr>
          <w:szCs w:val="22"/>
        </w:rPr>
        <w:t xml:space="preserve"> of the Rules.  </w:t>
      </w:r>
      <w:r w:rsidR="00C63222">
        <w:rPr>
          <w:szCs w:val="22"/>
        </w:rPr>
        <w:t>Wh</w:t>
      </w:r>
      <w:r w:rsidR="00EE6BC8">
        <w:rPr>
          <w:szCs w:val="22"/>
        </w:rPr>
        <w:t>ile the Licensee indicates th</w:t>
      </w:r>
      <w:r w:rsidR="00B8718C">
        <w:rPr>
          <w:szCs w:val="22"/>
        </w:rPr>
        <w:t xml:space="preserve">at </w:t>
      </w:r>
      <w:r w:rsidRPr="00556E77" w:rsidR="00B8718C">
        <w:rPr>
          <w:szCs w:val="22"/>
        </w:rPr>
        <w:t xml:space="preserve">the failure to timely file the Application was </w:t>
      </w:r>
      <w:r w:rsidR="00C63222">
        <w:rPr>
          <w:szCs w:val="22"/>
        </w:rPr>
        <w:t>an “inadvertent oversight</w:t>
      </w:r>
      <w:r w:rsidRPr="00556E77" w:rsidR="00B8718C">
        <w:rPr>
          <w:szCs w:val="22"/>
        </w:rPr>
        <w:t>,</w:t>
      </w:r>
      <w:r w:rsidR="00C63222">
        <w:rPr>
          <w:szCs w:val="22"/>
        </w:rPr>
        <w:t>”</w:t>
      </w:r>
      <w:r w:rsidRPr="00556E77" w:rsidR="00B8718C">
        <w:rPr>
          <w:szCs w:val="22"/>
        </w:rPr>
        <w:t xml:space="preserve"> </w:t>
      </w:r>
      <w:r w:rsidR="00186998">
        <w:rPr>
          <w:szCs w:val="22"/>
        </w:rPr>
        <w:t>we note that “‘</w:t>
      </w:r>
      <w:r w:rsidRPr="002F01B8" w:rsidR="002F01B8">
        <w:rPr>
          <w:szCs w:val="22"/>
        </w:rPr>
        <w:t>inadvertence,</w:t>
      </w:r>
      <w:r w:rsidR="00186998">
        <w:rPr>
          <w:szCs w:val="22"/>
        </w:rPr>
        <w:t>’</w:t>
      </w:r>
      <w:r w:rsidRPr="002F01B8" w:rsidR="002F01B8">
        <w:rPr>
          <w:szCs w:val="22"/>
        </w:rPr>
        <w:t xml:space="preserve"> . . . is at best, ignorance of the law, which the Commission does not consider a mitigating circumstance</w:t>
      </w:r>
      <w:r w:rsidR="002F01B8">
        <w:rPr>
          <w:szCs w:val="22"/>
        </w:rPr>
        <w:t>.</w:t>
      </w:r>
      <w:r w:rsidR="00186998">
        <w:rPr>
          <w:szCs w:val="22"/>
        </w:rPr>
        <w:t>”</w:t>
      </w:r>
      <w:r>
        <w:rPr>
          <w:rStyle w:val="FootnoteReference"/>
          <w:szCs w:val="22"/>
        </w:rPr>
        <w:footnoteReference w:id="16"/>
      </w:r>
      <w:r w:rsidR="000A726E">
        <w:rPr>
          <w:szCs w:val="22"/>
        </w:rPr>
        <w:t xml:space="preserve">  </w:t>
      </w:r>
      <w:r w:rsidRPr="000A726E">
        <w:rPr>
          <w:szCs w:val="22"/>
        </w:rPr>
        <w:t xml:space="preserve">Taking into consideration all of the factors required by section 503(b)(2)(E) of the Act and the </w:t>
      </w:r>
      <w:r w:rsidRPr="000A726E">
        <w:rPr>
          <w:rStyle w:val="Emphasis"/>
          <w:szCs w:val="22"/>
        </w:rPr>
        <w:t>Forfeiture Policy Statement</w:t>
      </w:r>
      <w:r w:rsidRPr="000A726E">
        <w:rPr>
          <w:szCs w:val="22"/>
        </w:rPr>
        <w:t xml:space="preserve">, we propose </w:t>
      </w:r>
      <w:r w:rsidR="0022190A">
        <w:rPr>
          <w:szCs w:val="22"/>
        </w:rPr>
        <w:t xml:space="preserve">the </w:t>
      </w:r>
      <w:r w:rsidRPr="0022190A" w:rsidR="0022190A">
        <w:rPr>
          <w:szCs w:val="22"/>
        </w:rPr>
        <w:t>full</w:t>
      </w:r>
      <w:r w:rsidRPr="0022190A" w:rsidR="001E307A">
        <w:rPr>
          <w:szCs w:val="22"/>
        </w:rPr>
        <w:t xml:space="preserve"> $</w:t>
      </w:r>
      <w:r w:rsidRPr="0022190A" w:rsidR="00481DD0">
        <w:rPr>
          <w:szCs w:val="22"/>
        </w:rPr>
        <w:t>3</w:t>
      </w:r>
      <w:r w:rsidRPr="0022190A" w:rsidR="001E307A">
        <w:rPr>
          <w:szCs w:val="22"/>
        </w:rPr>
        <w:t>,</w:t>
      </w:r>
      <w:r w:rsidRPr="0022190A" w:rsidR="00481DD0">
        <w:rPr>
          <w:szCs w:val="22"/>
        </w:rPr>
        <w:t>00</w:t>
      </w:r>
      <w:r w:rsidRPr="0022190A" w:rsidR="001E307A">
        <w:rPr>
          <w:szCs w:val="22"/>
        </w:rPr>
        <w:t>0</w:t>
      </w:r>
      <w:r w:rsidRPr="0022190A">
        <w:rPr>
          <w:szCs w:val="22"/>
        </w:rPr>
        <w:t xml:space="preserve"> </w:t>
      </w:r>
      <w:r w:rsidRPr="0022190A" w:rsidR="0022190A">
        <w:rPr>
          <w:szCs w:val="22"/>
        </w:rPr>
        <w:t>base</w:t>
      </w:r>
      <w:r w:rsidR="0022190A">
        <w:rPr>
          <w:szCs w:val="22"/>
        </w:rPr>
        <w:t xml:space="preserve"> forfeiture amount </w:t>
      </w:r>
      <w:r w:rsidRPr="000A726E">
        <w:rPr>
          <w:szCs w:val="22"/>
        </w:rPr>
        <w:t>for the failure to file a timely renewal application</w:t>
      </w:r>
      <w:r w:rsidR="000A726E">
        <w:rPr>
          <w:szCs w:val="22"/>
        </w:rPr>
        <w:t>.</w:t>
      </w:r>
      <w:r w:rsidRPr="000A726E">
        <w:rPr>
          <w:szCs w:val="22"/>
        </w:rPr>
        <w:t xml:space="preserve">  </w:t>
      </w:r>
    </w:p>
    <w:p w:rsidR="00AE2D78" w:rsidRPr="00683723" w:rsidP="00CB1BA6" w14:paraId="4B45A4B3" w14:textId="77777777">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17"/>
      </w:r>
      <w:r w:rsidRPr="00683723" w:rsidR="00A7120F">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18"/>
      </w:r>
      <w:r w:rsidRPr="00683723" w:rsidR="00A7120F">
        <w:rPr>
          <w:szCs w:val="22"/>
        </w:rPr>
        <w:t xml:space="preserve"> </w:t>
      </w:r>
      <w:r w:rsidRPr="00683723" w:rsidR="00A7120F">
        <w:rPr>
          <w:i/>
          <w:szCs w:val="22"/>
        </w:rPr>
        <w:t xml:space="preserve"> </w:t>
      </w:r>
      <w:r w:rsidRPr="00683723" w:rsidR="00A7120F">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19"/>
      </w:r>
    </w:p>
    <w:p w:rsidR="00A7120F" w:rsidRPr="00683723" w:rsidP="00CB1BA6" w14:paraId="3D5145C4" w14:textId="3A90C790">
      <w:pPr>
        <w:pStyle w:val="ParaNum"/>
        <w:rPr>
          <w:szCs w:val="22"/>
        </w:rPr>
      </w:pPr>
      <w:r w:rsidRPr="00683723">
        <w:rPr>
          <w:szCs w:val="22"/>
        </w:rPr>
        <w:t xml:space="preserve">We find that the Licensee’s apparent violation of section 73.3539 of the Rules </w:t>
      </w:r>
      <w:r w:rsidR="00D31C28">
        <w:rPr>
          <w:szCs w:val="22"/>
        </w:rPr>
        <w:t>does</w:t>
      </w:r>
      <w:r w:rsidRPr="00683723">
        <w:rPr>
          <w:szCs w:val="22"/>
        </w:rPr>
        <w:t xml:space="preserve"> not constitute </w:t>
      </w:r>
      <w:r w:rsidR="00325D61">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0"/>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the apparent violation</w:t>
      </w:r>
      <w:r w:rsidR="007143AC">
        <w:rPr>
          <w:szCs w:val="22"/>
        </w:rPr>
        <w:t>s</w:t>
      </w:r>
      <w:r w:rsidRPr="00683723">
        <w:rPr>
          <w:szCs w:val="22"/>
        </w:rPr>
        <w:t xml:space="preserve"> that would preclude grant of the Application.</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CB1BA6" w14:paraId="5EFA09E3" w14:textId="09A9B70B">
      <w:pPr>
        <w:pStyle w:val="ParaNum"/>
        <w:rPr>
          <w:szCs w:val="22"/>
        </w:rPr>
      </w:pPr>
      <w:r w:rsidRPr="00683723">
        <w:rPr>
          <w:szCs w:val="22"/>
        </w:rPr>
        <w:t xml:space="preserve">Accordingly, </w:t>
      </w:r>
      <w:r w:rsidRPr="00683723">
        <w:rPr>
          <w:b/>
          <w:bCs/>
          <w:szCs w:val="22"/>
        </w:rPr>
        <w:t>IT IS ORDERED</w:t>
      </w:r>
      <w:r w:rsidRPr="00683723">
        <w:rPr>
          <w:szCs w:val="22"/>
        </w:rPr>
        <w:t xml:space="preserve">, pursuant to </w:t>
      </w:r>
      <w:r w:rsidRPr="008C0C80">
        <w:rPr>
          <w:szCs w:val="22"/>
        </w:rPr>
        <w:t xml:space="preserve">section 503(b) of the Communications Act of 1934, as amended, and section 1.80 of the FCC’s rules, </w:t>
      </w:r>
      <w:r w:rsidRPr="00453FF1">
        <w:rPr>
          <w:szCs w:val="22"/>
        </w:rPr>
        <w:t>that</w:t>
      </w:r>
      <w:r w:rsidRPr="00453FF1" w:rsidR="00A7120F">
        <w:rPr>
          <w:szCs w:val="22"/>
        </w:rPr>
        <w:t xml:space="preserve"> </w:t>
      </w:r>
      <w:r w:rsidRPr="00453FF1" w:rsidR="00FF108E">
        <w:rPr>
          <w:szCs w:val="22"/>
        </w:rPr>
        <w:t xml:space="preserve">Cultural Energy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Pr="00453FF1" w:rsidR="008C0C80">
        <w:rPr>
          <w:szCs w:val="22"/>
        </w:rPr>
        <w:t>three</w:t>
      </w:r>
      <w:r w:rsidRPr="00453FF1" w:rsidR="00A7120F">
        <w:rPr>
          <w:szCs w:val="22"/>
        </w:rPr>
        <w:t xml:space="preserve"> thousand </w:t>
      </w:r>
      <w:r w:rsidRPr="00453FF1">
        <w:rPr>
          <w:szCs w:val="22"/>
        </w:rPr>
        <w:t>dollars (</w:t>
      </w:r>
      <w:r w:rsidRPr="00453FF1" w:rsidR="008C0C80">
        <w:rPr>
          <w:szCs w:val="22"/>
        </w:rPr>
        <w:t>$3,0</w:t>
      </w:r>
      <w:r w:rsidRPr="00453FF1">
        <w:rPr>
          <w:szCs w:val="22"/>
        </w:rPr>
        <w:t>00) for</w:t>
      </w:r>
      <w:r w:rsidRPr="00683723">
        <w:rPr>
          <w:szCs w:val="22"/>
        </w:rPr>
        <w:t xml:space="preserve"> its apparent willful violation of section 73.3539 of the</w:t>
      </w:r>
      <w:r w:rsidR="000437E9">
        <w:rPr>
          <w:szCs w:val="22"/>
        </w:rPr>
        <w:t xml:space="preserve"> FCC’s</w:t>
      </w:r>
      <w:r w:rsidRPr="00683723">
        <w:rPr>
          <w:szCs w:val="22"/>
        </w:rPr>
        <w:t xml:space="preserve"> </w:t>
      </w:r>
      <w:r w:rsidR="001B52E5">
        <w:rPr>
          <w:szCs w:val="22"/>
        </w:rPr>
        <w:t>r</w:t>
      </w:r>
      <w:r w:rsidRPr="00683723">
        <w:rPr>
          <w:szCs w:val="22"/>
        </w:rPr>
        <w:t xml:space="preserve">ules. </w:t>
      </w:r>
    </w:p>
    <w:p w:rsidR="00AE2D78" w:rsidRPr="00683723" w:rsidP="00CB1BA6" w14:paraId="395A452C" w14:textId="7AF03E75">
      <w:pPr>
        <w:pStyle w:val="ParaNum"/>
        <w:rPr>
          <w:szCs w:val="22"/>
        </w:rPr>
      </w:pPr>
      <w:r w:rsidRPr="00683723">
        <w:rPr>
          <w:b/>
          <w:bCs/>
          <w:szCs w:val="22"/>
        </w:rPr>
        <w:t>IT IS FURTHER ORDERED</w:t>
      </w:r>
      <w:r w:rsidRPr="00683723">
        <w:rPr>
          <w:szCs w:val="22"/>
        </w:rPr>
        <w:t xml:space="preserve">, pursuant to section 1.80 of the </w:t>
      </w:r>
      <w:r w:rsidR="001B52E5">
        <w:rPr>
          <w:szCs w:val="22"/>
        </w:rPr>
        <w:t xml:space="preserve">FCC’s </w:t>
      </w:r>
      <w:r w:rsidRPr="00683723">
        <w:rPr>
          <w:szCs w:val="22"/>
        </w:rPr>
        <w:t xml:space="preserve">Rules, that, within thirty (30) days of the release date of this </w:t>
      </w:r>
      <w:r w:rsidRPr="00683723">
        <w:rPr>
          <w:i/>
          <w:szCs w:val="22"/>
        </w:rPr>
        <w:t xml:space="preserve">NAL, </w:t>
      </w:r>
      <w:r w:rsidR="00FF108E">
        <w:rPr>
          <w:szCs w:val="22"/>
        </w:rPr>
        <w:t>Cultural Energy</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w:t>
      </w:r>
      <w:r w:rsidRPr="00683723">
        <w:rPr>
          <w:szCs w:val="22"/>
        </w:rPr>
        <w:t>proposed forfeiture.</w:t>
      </w:r>
    </w:p>
    <w:p w:rsidR="00A7120F" w:rsidRPr="00683723" w:rsidP="00A7120F" w14:paraId="0F97A004" w14:textId="77777777">
      <w:pPr>
        <w:pStyle w:val="ParaNum"/>
        <w:rPr>
          <w:szCs w:val="22"/>
        </w:rPr>
      </w:pPr>
      <w:r w:rsidRPr="00683723">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1"/>
      </w:r>
      <w:r w:rsidRPr="00683723">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2"/>
      </w:r>
      <w:r w:rsidRPr="00683723">
        <w:rPr>
          <w:szCs w:val="22"/>
        </w:rPr>
        <w:t xml:space="preserve"> </w:t>
      </w:r>
    </w:p>
    <w:p w:rsidR="00A7120F" w:rsidRPr="00683723" w:rsidP="00A7120F" w14:paraId="46E28608" w14:textId="3204C8DE">
      <w:pPr>
        <w:numPr>
          <w:ilvl w:val="0"/>
          <w:numId w:val="12"/>
        </w:numPr>
        <w:spacing w:after="120"/>
        <w:rPr>
          <w:b/>
          <w:szCs w:val="22"/>
        </w:rPr>
      </w:pPr>
      <w:r w:rsidRPr="00683723">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8082F" w:rsidR="008C0C80">
          <w:rPr>
            <w:rStyle w:val="Hyperlink"/>
            <w:szCs w:val="22"/>
          </w:rPr>
          <w:t>RROGWireFaxes@fcc.gov</w:t>
        </w:r>
      </w:hyperlink>
      <w:r w:rsidRPr="00683723">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3"/>
      </w:r>
      <w:r w:rsidRPr="00683723">
        <w:rPr>
          <w:szCs w:val="22"/>
        </w:rPr>
        <w:t xml:space="preserve">  For additional detail and wire transfer instructions, go to </w:t>
      </w:r>
      <w:hyperlink r:id="rId6" w:history="1">
        <w:r w:rsidRPr="0028082F" w:rsidR="003A176B">
          <w:rPr>
            <w:rStyle w:val="Hyperlink"/>
            <w:szCs w:val="22"/>
          </w:rPr>
          <w:t>https://www.fcc.gov/licensing-databases/fees/wire-transfer</w:t>
        </w:r>
      </w:hyperlink>
      <w:r w:rsidRPr="00683723">
        <w:rPr>
          <w:szCs w:val="22"/>
        </w:rPr>
        <w:t>.</w:t>
      </w:r>
    </w:p>
    <w:p w:rsidR="00A7120F" w:rsidRPr="00683723" w:rsidP="00A7120F" w14:paraId="7B3CACCE" w14:textId="5AAEBC27">
      <w:pPr>
        <w:numPr>
          <w:ilvl w:val="0"/>
          <w:numId w:val="12"/>
        </w:numPr>
        <w:spacing w:after="120"/>
        <w:rPr>
          <w:b/>
          <w:szCs w:val="22"/>
        </w:rPr>
      </w:pPr>
      <w:r w:rsidRPr="00683723">
        <w:rPr>
          <w:szCs w:val="22"/>
        </w:rPr>
        <w:t xml:space="preserve">Payment by credit card must be made by using the Commission’s Fee Filer website at </w:t>
      </w:r>
      <w:hyperlink r:id="rId7" w:history="1">
        <w:r w:rsidRPr="0028082F" w:rsidR="003A176B">
          <w:rPr>
            <w:rStyle w:val="Hyperlink"/>
            <w:szCs w:val="22"/>
          </w:rPr>
          <w:t>https://apps.fcc.gov/FeeFiler/login.cfm</w:t>
        </w:r>
      </w:hyperlink>
      <w:r w:rsidRPr="00683723">
        <w:rPr>
          <w:szCs w:val="22"/>
        </w:rPr>
        <w:t>.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limitation on credit card transactions, which cannot exceed $24,999.99.</w:t>
      </w:r>
    </w:p>
    <w:p w:rsidR="00A7120F" w:rsidRPr="00683723" w:rsidP="007F5303" w14:paraId="61BE5B1D" w14:textId="00932186">
      <w:pPr>
        <w:widowControl/>
        <w:numPr>
          <w:ilvl w:val="0"/>
          <w:numId w:val="12"/>
        </w:numPr>
        <w:spacing w:after="120"/>
        <w:rPr>
          <w:spacing w:val="-2"/>
          <w:szCs w:val="22"/>
        </w:rPr>
      </w:pPr>
      <w:r w:rsidRPr="00683723">
        <w:rPr>
          <w:szCs w:val="22"/>
        </w:rPr>
        <w:t xml:space="preserve">Payment by ACH must be made by using the Commission’s Fee Filer website at </w:t>
      </w:r>
      <w:hyperlink r:id="rId7" w:history="1">
        <w:r w:rsidRPr="0028082F" w:rsidR="003A176B">
          <w:rPr>
            <w:rStyle w:val="Hyperlink"/>
            <w:szCs w:val="22"/>
          </w:rPr>
          <w:t>https://apps.fcc.gov/FeeFiler/login.cfm</w:t>
        </w:r>
      </w:hyperlink>
      <w:r w:rsidRPr="00683723">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7120F" w:rsidRPr="00683723" w:rsidP="00A7120F" w14:paraId="5EBA402C" w14:textId="7AD55066">
      <w:pPr>
        <w:pStyle w:val="ParaNum"/>
        <w:rPr>
          <w:szCs w:val="22"/>
        </w:rPr>
      </w:pPr>
      <w:r w:rsidRPr="00683723">
        <w:rPr>
          <w:szCs w:val="22"/>
        </w:rPr>
        <w:t xml:space="preserve">Any requests for full payment of the forfeiture proposed in this </w:t>
      </w:r>
      <w:r w:rsidRPr="00683723">
        <w:rPr>
          <w:i/>
          <w:szCs w:val="22"/>
        </w:rPr>
        <w:t>NAL</w:t>
      </w:r>
      <w:r w:rsidRPr="00683723">
        <w:rPr>
          <w:szCs w:val="22"/>
        </w:rPr>
        <w:t xml:space="preserve"> under the installment plan should be sent to:  Associate Managing Director-Financial Operations, 45 L Street, NE, Washington, DC 20554.</w:t>
      </w:r>
      <w:r>
        <w:rPr>
          <w:szCs w:val="22"/>
          <w:vertAlign w:val="superscript"/>
        </w:rPr>
        <w:footnoteReference w:id="24"/>
      </w:r>
      <w:r w:rsidRPr="00683723">
        <w:rPr>
          <w:szCs w:val="22"/>
        </w:rPr>
        <w:t xml:space="preserve">  Questions regarding payment procedures should be directed to the Financial Operations Group Help Desk by phone, 1-877-480-3201 (option #6), or by e-mail at </w:t>
      </w:r>
      <w:hyperlink r:id="rId8" w:history="1">
        <w:r w:rsidRPr="0028082F" w:rsidR="00277180">
          <w:rPr>
            <w:rStyle w:val="Hyperlink"/>
            <w:szCs w:val="22"/>
          </w:rPr>
          <w:t>ARINQUIRIES@fcc.gov</w:t>
        </w:r>
      </w:hyperlink>
      <w:r w:rsidRPr="00683723">
        <w:rPr>
          <w:szCs w:val="22"/>
        </w:rPr>
        <w:t>.</w:t>
      </w:r>
    </w:p>
    <w:p w:rsidR="00A7120F" w:rsidRPr="00683723" w:rsidP="00A7120F" w14:paraId="2A3CD39E" w14:textId="1D751BD5">
      <w:pPr>
        <w:pStyle w:val="ParaNum"/>
        <w:rPr>
          <w:szCs w:val="22"/>
        </w:rPr>
      </w:pPr>
      <w:r w:rsidRPr="00683723">
        <w:rPr>
          <w:szCs w:val="22"/>
        </w:rPr>
        <w:t xml:space="preserve">Any written response seeking reduction or cancellation of the proposed forfeiture  must include a detailed factual statement supported by appropriate documentation and affidavits pursuant to sections 1.16 </w:t>
      </w:r>
      <w:r w:rsidRPr="00B529DB">
        <w:rPr>
          <w:szCs w:val="22"/>
        </w:rPr>
        <w:t>and 1.80(f)(3) of</w:t>
      </w:r>
      <w:r w:rsidRPr="00683723">
        <w:rPr>
          <w:szCs w:val="22"/>
        </w:rPr>
        <w:t xml:space="preserve"> the Commission’s </w:t>
      </w:r>
      <w:r w:rsidR="001B52E5">
        <w:rPr>
          <w:szCs w:val="22"/>
        </w:rPr>
        <w:t>R</w:t>
      </w:r>
      <w:r w:rsidRPr="00683723">
        <w:rPr>
          <w:szCs w:val="22"/>
        </w:rPr>
        <w:t>ules.</w:t>
      </w:r>
      <w:r>
        <w:rPr>
          <w:rStyle w:val="FootnoteReference"/>
          <w:sz w:val="22"/>
          <w:szCs w:val="22"/>
        </w:rPr>
        <w:footnoteReference w:id="25"/>
      </w:r>
      <w:r w:rsidRPr="00683723">
        <w:rPr>
          <w:szCs w:val="22"/>
        </w:rPr>
        <w:t xml:space="preserve">  The written response must be filed with the Office of the Secretary, Federal Communications Commission, 45 L Street NE, Washington DC 20554, ATTN: Albert Shuldiner, Chief, Audio Division, Media Bureau, and </w:t>
      </w:r>
      <w:r w:rsidRPr="00683723">
        <w:rPr>
          <w:b/>
          <w:szCs w:val="22"/>
        </w:rPr>
        <w:t>MUST INCLUDE</w:t>
      </w:r>
      <w:r w:rsidRPr="00683723">
        <w:rPr>
          <w:szCs w:val="22"/>
        </w:rPr>
        <w:t xml:space="preserve"> the NAL/Acct. </w:t>
      </w:r>
      <w:r w:rsidRPr="00683723">
        <w:rPr>
          <w:szCs w:val="22"/>
        </w:rPr>
        <w:t>No.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 w:val="22"/>
          <w:szCs w:val="22"/>
        </w:rPr>
        <w:footnoteReference w:id="26"/>
      </w:r>
    </w:p>
    <w:p w:rsidR="00A7120F" w:rsidRPr="00683723" w:rsidP="00A7120F" w14:paraId="7A8F22FF" w14:textId="77777777">
      <w:pPr>
        <w:pStyle w:val="ParaNum"/>
        <w:numPr>
          <w:ilvl w:val="0"/>
          <w:numId w:val="13"/>
        </w:numPr>
        <w:rPr>
          <w:szCs w:val="22"/>
        </w:rPr>
      </w:pPr>
      <w:r w:rsidRPr="00683723">
        <w:rPr>
          <w:szCs w:val="22"/>
        </w:rPr>
        <w:t xml:space="preserve">Commercial overnight mail (other than U.S. Postal Service Express Mail and Priority Mail) must be sent to 9050 Junction Drive, Annapolis Junction, MD 20701. </w:t>
      </w:r>
    </w:p>
    <w:p w:rsidR="00A7120F" w:rsidRPr="00683723" w:rsidP="00A7120F" w14:paraId="603E7F3B" w14:textId="77777777">
      <w:pPr>
        <w:pStyle w:val="ParaNum"/>
        <w:numPr>
          <w:ilvl w:val="0"/>
          <w:numId w:val="13"/>
        </w:numPr>
        <w:rPr>
          <w:szCs w:val="22"/>
        </w:rPr>
      </w:pPr>
      <w:r w:rsidRPr="00683723">
        <w:rPr>
          <w:szCs w:val="22"/>
        </w:rPr>
        <w:t>Postal Service first-class, Express, and Priority mail must be addressed to 45 L Street, NE, Washington, DC 20554.</w:t>
      </w:r>
    </w:p>
    <w:p w:rsidR="00A7120F" w:rsidRPr="00683723" w:rsidP="00A7120F" w14:paraId="58A3D82B" w14:textId="0F9FFD83">
      <w:pPr>
        <w:pStyle w:val="ParaNum"/>
        <w:rPr>
          <w:szCs w:val="22"/>
        </w:rPr>
      </w:pPr>
      <w:r w:rsidRPr="00683723">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447598">
        <w:rPr>
          <w:szCs w:val="22"/>
        </w:rPr>
        <w:t xml:space="preserve"> </w:t>
      </w:r>
      <w:r w:rsidRPr="00683723">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vertAlign w:val="superscript"/>
        </w:rPr>
        <w:footnoteReference w:id="27"/>
      </w:r>
      <w:r w:rsidRPr="00683723">
        <w:rPr>
          <w:szCs w:val="22"/>
        </w:rPr>
        <w:t xml:space="preserve">  </w:t>
      </w:r>
    </w:p>
    <w:p w:rsidR="00AE2D78" w:rsidRPr="00683723" w:rsidP="007170FF" w14:paraId="494E0E00" w14:textId="39C2DFED">
      <w:pPr>
        <w:pStyle w:val="ParaNum"/>
      </w:pPr>
      <w:r w:rsidRPr="00683723">
        <w:rPr>
          <w:b/>
          <w:bCs/>
        </w:rPr>
        <w:t>IT IS FURTHER ORDERED</w:t>
      </w:r>
      <w:r w:rsidRPr="00683723">
        <w:t xml:space="preserve"> that a copy of this </w:t>
      </w:r>
      <w:r w:rsidRPr="00683723" w:rsidR="002521B2">
        <w:rPr>
          <w:i/>
          <w:iCs/>
        </w:rPr>
        <w:t>NAL</w:t>
      </w:r>
      <w:r w:rsidRPr="00683723">
        <w:t xml:space="preserve"> shall be sent, by First Class and Certified Mail, Return Receipt Requested, to</w:t>
      </w:r>
      <w:r w:rsidR="00BE4786">
        <w:t xml:space="preserve"> </w:t>
      </w:r>
      <w:r w:rsidR="007170FF">
        <w:t xml:space="preserve">Cultural Energy, 112 Civic Plaza Drive, Taos, NM 87571, and its counsel, Matthew McCormick, Esq., </w:t>
      </w:r>
      <w:r w:rsidRPr="00731630" w:rsidR="00731630">
        <w:t>Fletcher, Heald &amp; Hildreth, P.L.C.</w:t>
      </w:r>
      <w:r w:rsidR="00731630">
        <w:t>, 1300 North 17</w:t>
      </w:r>
      <w:r w:rsidRPr="00731630" w:rsidR="00731630">
        <w:rPr>
          <w:vertAlign w:val="superscript"/>
        </w:rPr>
        <w:t>th</w:t>
      </w:r>
      <w:r w:rsidR="00731630">
        <w:t xml:space="preserve"> Street, 11</w:t>
      </w:r>
      <w:r w:rsidRPr="00731630" w:rsidR="00731630">
        <w:rPr>
          <w:vertAlign w:val="superscript"/>
        </w:rPr>
        <w:t>th</w:t>
      </w:r>
      <w:r w:rsidR="00731630">
        <w:t xml:space="preserve"> Floor, Arlington, VA </w:t>
      </w:r>
      <w:r w:rsidR="00A12634">
        <w:t>22209.</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68AC" w14:paraId="52B60C05" w14:textId="77777777">
      <w:r>
        <w:separator/>
      </w:r>
    </w:p>
  </w:footnote>
  <w:footnote w:type="continuationSeparator" w:id="1">
    <w:p w:rsidR="003568AC" w:rsidP="00C721AC" w14:paraId="43A5B104" w14:textId="77777777">
      <w:pPr>
        <w:spacing w:before="120"/>
        <w:rPr>
          <w:sz w:val="20"/>
        </w:rPr>
      </w:pPr>
      <w:r>
        <w:rPr>
          <w:sz w:val="20"/>
        </w:rPr>
        <w:t xml:space="preserve">(Continued from previous page)  </w:t>
      </w:r>
      <w:r>
        <w:rPr>
          <w:sz w:val="20"/>
        </w:rPr>
        <w:separator/>
      </w:r>
    </w:p>
  </w:footnote>
  <w:footnote w:type="continuationNotice" w:id="2">
    <w:p w:rsidR="003568AC" w:rsidP="00C721AC" w14:paraId="6F056114" w14:textId="77777777">
      <w:pPr>
        <w:jc w:val="right"/>
        <w:rPr>
          <w:sz w:val="20"/>
        </w:rPr>
      </w:pPr>
    </w:p>
  </w:footnote>
  <w:footnote w:id="3">
    <w:p w:rsidR="00CB1BA6" w14:paraId="4EC9954F" w14:textId="696F690F">
      <w:pPr>
        <w:pStyle w:val="FootnoteText"/>
      </w:pPr>
      <w:r>
        <w:rPr>
          <w:rStyle w:val="FootnoteReference"/>
        </w:rPr>
        <w:footnoteRef/>
      </w:r>
      <w:r>
        <w:t xml:space="preserve"> File No.</w:t>
      </w:r>
      <w:r w:rsidR="00573FFC">
        <w:t xml:space="preserve"> </w:t>
      </w:r>
      <w:r w:rsidRPr="00BB563D" w:rsidR="00BB563D">
        <w:t>0000122398</w:t>
      </w:r>
      <w:r>
        <w:t xml:space="preserve">.  </w:t>
      </w:r>
    </w:p>
  </w:footnote>
  <w:footnote w:id="4">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AE2D78" w:rsidP="00AE2D78" w14:paraId="7AC4E72B" w14:textId="77777777">
      <w:pPr>
        <w:pStyle w:val="FootnoteText"/>
      </w:pPr>
      <w:r>
        <w:rPr>
          <w:rStyle w:val="FootnoteReference"/>
        </w:rPr>
        <w:footnoteRef/>
      </w:r>
      <w:r>
        <w:t xml:space="preserve"> </w:t>
      </w:r>
      <w:r>
        <w:rPr>
          <w:i/>
        </w:rPr>
        <w:t xml:space="preserve">See </w:t>
      </w:r>
      <w:r>
        <w:t>47 CFR § 73.3539.</w:t>
      </w:r>
    </w:p>
  </w:footnote>
  <w:footnote w:id="6">
    <w:p w:rsidR="003364B8" w:rsidP="003364B8" w14:paraId="6E974E4C" w14:textId="77777777">
      <w:pPr>
        <w:pStyle w:val="FootnoteText"/>
      </w:pPr>
      <w:r>
        <w:rPr>
          <w:rStyle w:val="FootnoteReference"/>
        </w:rPr>
        <w:footnoteRef/>
      </w:r>
      <w:r>
        <w:t xml:space="preserve"> 47 CFR § 73.3539(a).</w:t>
      </w:r>
    </w:p>
  </w:footnote>
  <w:footnote w:id="7">
    <w:p w:rsidR="003364B8" w:rsidP="003364B8" w14:paraId="3DA3B6D1" w14:textId="58DFE792">
      <w:pPr>
        <w:pStyle w:val="FootnoteText"/>
      </w:pPr>
      <w:r>
        <w:rPr>
          <w:rStyle w:val="FootnoteReference"/>
        </w:rPr>
        <w:footnoteRef/>
      </w:r>
      <w:r>
        <w:t xml:space="preserve"> </w:t>
      </w:r>
      <w:r>
        <w:rPr>
          <w:i/>
        </w:rPr>
        <w:t>See</w:t>
      </w:r>
      <w:r>
        <w:t xml:space="preserve"> 47 CFR § 73.3539(a)</w:t>
      </w:r>
      <w:r w:rsidR="00A2771E">
        <w:t xml:space="preserve">; </w:t>
      </w:r>
      <w:r w:rsidRPr="001011DB" w:rsidR="00C02ABB">
        <w:rPr>
          <w:i/>
          <w:iCs/>
        </w:rPr>
        <w:t>Cultural Energy</w:t>
      </w:r>
      <w:r w:rsidR="00C02ABB">
        <w:t xml:space="preserve">, File No. </w:t>
      </w:r>
      <w:r w:rsidR="00E771A2">
        <w:t xml:space="preserve">BRED-20130528ALJ, </w:t>
      </w:r>
      <w:r w:rsidR="00C02ABB">
        <w:t>Letter Order</w:t>
      </w:r>
      <w:r w:rsidR="00E771A2">
        <w:t xml:space="preserve"> (MB Jan. 31, 2018) (</w:t>
      </w:r>
      <w:r w:rsidR="00553FC2">
        <w:t>renewing the Station’s license for a period of two years).</w:t>
      </w:r>
    </w:p>
  </w:footnote>
  <w:footnote w:id="8">
    <w:p w:rsidR="008A0535" w14:paraId="06D9CDA3" w14:textId="7E293730">
      <w:pPr>
        <w:pStyle w:val="FootnoteText"/>
      </w:pPr>
      <w:r>
        <w:rPr>
          <w:rStyle w:val="FootnoteReference"/>
        </w:rPr>
        <w:footnoteRef/>
      </w:r>
      <w:r>
        <w:t xml:space="preserve"> The Licensee did not file the Application prior to </w:t>
      </w:r>
      <w:r w:rsidR="00DB2286">
        <w:t xml:space="preserve">the </w:t>
      </w:r>
      <w:r>
        <w:t xml:space="preserve">January 31, 2020, </w:t>
      </w:r>
      <w:r w:rsidR="00DB2286">
        <w:t xml:space="preserve">license expiration date </w:t>
      </w:r>
      <w:r>
        <w:t xml:space="preserve">either.  </w:t>
      </w:r>
      <w:r w:rsidR="00120216">
        <w:t>However, w</w:t>
      </w:r>
      <w:r w:rsidR="0042432B">
        <w:t xml:space="preserve">e </w:t>
      </w:r>
      <w:r w:rsidRPr="00E863B4" w:rsidR="00E863B4">
        <w:t>did not</w:t>
      </w:r>
      <w:r w:rsidR="00E73584">
        <w:t>—as is our standard procedure</w:t>
      </w:r>
      <w:r w:rsidR="00AB6476">
        <w:t>—</w:t>
      </w:r>
      <w:r w:rsidR="0042432B">
        <w:t xml:space="preserve">notify the Licensee of </w:t>
      </w:r>
      <w:r w:rsidR="005F0E03">
        <w:t xml:space="preserve">the </w:t>
      </w:r>
      <w:r w:rsidR="00AB6476">
        <w:t>license’s</w:t>
      </w:r>
      <w:r w:rsidR="00FC0289">
        <w:t xml:space="preserve"> impending</w:t>
      </w:r>
      <w:r w:rsidR="00AB6476">
        <w:t xml:space="preserve"> </w:t>
      </w:r>
      <w:r w:rsidR="005F0E03">
        <w:t>expiration</w:t>
      </w:r>
      <w:r w:rsidR="006B42CE">
        <w:t xml:space="preserve">.  </w:t>
      </w:r>
      <w:r w:rsidRPr="00AF0B21" w:rsidR="006B42CE">
        <w:rPr>
          <w:i/>
          <w:iCs/>
        </w:rPr>
        <w:t>See</w:t>
      </w:r>
      <w:r w:rsidRPr="004C0E7E" w:rsidR="006B42CE">
        <w:t xml:space="preserve"> </w:t>
      </w:r>
      <w:r w:rsidRPr="004C0E7E" w:rsidR="006B42CE">
        <w:rPr>
          <w:i/>
          <w:iCs/>
        </w:rPr>
        <w:t xml:space="preserve">Atl. City Bd. of Educ., </w:t>
      </w:r>
      <w:r w:rsidRPr="004C0E7E" w:rsidR="006B42CE">
        <w:t>Memorandum Opinion and Order, 31 FCC Rcd 9380, 9384, n. 30 (2016) (noting that the Bureau “has modified its processing policies to promptly notify stations that have failed to file their renewal applications”)</w:t>
      </w:r>
      <w:r w:rsidRPr="004C0E7E" w:rsidR="006B42CE">
        <w:rPr>
          <w:i/>
          <w:iCs/>
        </w:rPr>
        <w:t>.</w:t>
      </w:r>
      <w:r w:rsidR="007967CC">
        <w:rPr>
          <w:i/>
          <w:iCs/>
        </w:rPr>
        <w:t xml:space="preserve">  See also, e.g., </w:t>
      </w:r>
      <w:r w:rsidR="003275F6">
        <w:rPr>
          <w:i/>
          <w:iCs/>
        </w:rPr>
        <w:t>Radio License Expirations</w:t>
      </w:r>
      <w:r w:rsidR="003275F6">
        <w:t xml:space="preserve">, Public Notice, </w:t>
      </w:r>
      <w:r w:rsidR="00A53FAF">
        <w:t>DA 21-13 (MB Jan. 6, 2021</w:t>
      </w:r>
      <w:r w:rsidRPr="00A20B95" w:rsidR="00A53FAF">
        <w:rPr>
          <w:i/>
          <w:iCs/>
        </w:rPr>
        <w:t>)</w:t>
      </w:r>
      <w:r w:rsidRPr="00A20B95" w:rsidR="009A65BD">
        <w:rPr>
          <w:i/>
          <w:iCs/>
        </w:rPr>
        <w:t>; Radio License Expirations</w:t>
      </w:r>
      <w:r w:rsidR="009A65BD">
        <w:t xml:space="preserve">, Public Notice, 35 FCC Rcd </w:t>
      </w:r>
      <w:r w:rsidR="00A20B95">
        <w:t>12737 (2020)</w:t>
      </w:r>
      <w:r w:rsidR="00AE4BAF">
        <w:t xml:space="preserve">; </w:t>
      </w:r>
      <w:r w:rsidRPr="005F282C" w:rsidR="00AE4BAF">
        <w:rPr>
          <w:i/>
          <w:iCs/>
        </w:rPr>
        <w:t>Radio License Expirations</w:t>
      </w:r>
      <w:r w:rsidR="00AE4BAF">
        <w:t xml:space="preserve">, </w:t>
      </w:r>
      <w:r w:rsidR="00AF0B21">
        <w:t xml:space="preserve">Public Notice, </w:t>
      </w:r>
      <w:r w:rsidR="00AE4BAF">
        <w:t xml:space="preserve">35 FCC Rcd </w:t>
      </w:r>
      <w:r w:rsidR="00702C1A">
        <w:t>9455 (MB 2020)</w:t>
      </w:r>
      <w:r w:rsidR="00A20B95">
        <w:t xml:space="preserve"> (</w:t>
      </w:r>
      <w:r w:rsidR="00AE4BAF">
        <w:t>all</w:t>
      </w:r>
      <w:r w:rsidR="00A20B95">
        <w:t xml:space="preserve"> reminding licensees that had missed the deadline for filing renewal applications for their station licenses of the upcoming expiration date for those licenses).</w:t>
      </w:r>
      <w:r w:rsidR="006B42CE">
        <w:rPr>
          <w:i/>
          <w:iCs/>
          <w:sz w:val="23"/>
          <w:szCs w:val="23"/>
        </w:rPr>
        <w:t xml:space="preserve">  </w:t>
      </w:r>
      <w:r w:rsidR="006B42CE">
        <w:t xml:space="preserve">Nor did we </w:t>
      </w:r>
      <w:r w:rsidRPr="00E863B4" w:rsidR="00E863B4">
        <w:t xml:space="preserve">cancel the </w:t>
      </w:r>
      <w:r w:rsidR="005F0E03">
        <w:t xml:space="preserve">Station’s </w:t>
      </w:r>
      <w:r w:rsidR="00B067B6">
        <w:t>license</w:t>
      </w:r>
      <w:r w:rsidR="000923FD">
        <w:t xml:space="preserve">, </w:t>
      </w:r>
      <w:r w:rsidR="00B067B6">
        <w:t xml:space="preserve">its </w:t>
      </w:r>
      <w:r w:rsidR="00092A6F">
        <w:t>special temporary authority</w:t>
      </w:r>
      <w:r w:rsidR="0002026E">
        <w:t xml:space="preserve"> (STA)</w:t>
      </w:r>
      <w:r w:rsidR="000923FD">
        <w:t>, or its call sign</w:t>
      </w:r>
      <w:r w:rsidR="005F0E03">
        <w:t>,</w:t>
      </w:r>
      <w:r w:rsidRPr="00E863B4" w:rsidR="00E863B4">
        <w:t xml:space="preserve"> or otherwise notify the </w:t>
      </w:r>
      <w:r w:rsidR="005F0E03">
        <w:t>Licensee</w:t>
      </w:r>
      <w:r w:rsidRPr="00E863B4" w:rsidR="00E863B4">
        <w:t xml:space="preserve"> of the </w:t>
      </w:r>
      <w:r w:rsidR="005F0E03">
        <w:t>license</w:t>
      </w:r>
      <w:r w:rsidR="000923FD">
        <w:t>’s</w:t>
      </w:r>
      <w:r w:rsidR="005F0E03">
        <w:t xml:space="preserve"> </w:t>
      </w:r>
      <w:r w:rsidRPr="00E863B4" w:rsidR="00E863B4">
        <w:t>expiration</w:t>
      </w:r>
      <w:r w:rsidR="00092A6F">
        <w:t xml:space="preserve">.  </w:t>
      </w:r>
      <w:r w:rsidRPr="005F282C" w:rsidR="005F282C">
        <w:rPr>
          <w:i/>
          <w:iCs/>
        </w:rPr>
        <w:t>Cf.</w:t>
      </w:r>
      <w:r w:rsidR="00D57BEE">
        <w:rPr>
          <w:i/>
          <w:iCs/>
        </w:rPr>
        <w:t>,</w:t>
      </w:r>
      <w:r w:rsidRPr="005F282C" w:rsidR="005F282C">
        <w:rPr>
          <w:i/>
          <w:iCs/>
        </w:rPr>
        <w:t xml:space="preserve"> e.g</w:t>
      </w:r>
      <w:r w:rsidR="005F282C">
        <w:t xml:space="preserve">., </w:t>
      </w:r>
      <w:r w:rsidRPr="005F282C" w:rsidR="005F282C">
        <w:rPr>
          <w:i/>
          <w:iCs/>
        </w:rPr>
        <w:t>Broadcast Actions</w:t>
      </w:r>
      <w:r w:rsidR="005F282C">
        <w:t xml:space="preserve">, Public Notice, Report No. </w:t>
      </w:r>
      <w:r w:rsidR="00972E77">
        <w:t xml:space="preserve">49920 (MB Feb. 5, 2021) (cancelling radio station licenses </w:t>
      </w:r>
      <w:r w:rsidR="00D9349C">
        <w:t xml:space="preserve">for failure to file renewal applications).  </w:t>
      </w:r>
      <w:r w:rsidR="00713C38">
        <w:t>Further</w:t>
      </w:r>
      <w:r>
        <w:t xml:space="preserve">, </w:t>
      </w:r>
      <w:r w:rsidR="00F00C61">
        <w:t xml:space="preserve">at all times since January 31, 2020, </w:t>
      </w:r>
      <w:r w:rsidR="00DB2286">
        <w:t xml:space="preserve">the Licensee </w:t>
      </w:r>
      <w:r w:rsidR="00F00C61">
        <w:t>has held</w:t>
      </w:r>
      <w:r w:rsidR="00DB2286">
        <w:t xml:space="preserve"> </w:t>
      </w:r>
      <w:r w:rsidR="0002026E">
        <w:t>STA</w:t>
      </w:r>
      <w:r w:rsidR="00C13DEA">
        <w:t xml:space="preserve"> </w:t>
      </w:r>
      <w:r w:rsidR="00DB2286">
        <w:t>to operate the Station at reduced power.</w:t>
      </w:r>
      <w:r w:rsidR="00F00C61">
        <w:t xml:space="preserve">  </w:t>
      </w:r>
      <w:r w:rsidRPr="00F1542D" w:rsidR="00CC2241">
        <w:rPr>
          <w:i/>
          <w:iCs/>
        </w:rPr>
        <w:t>See</w:t>
      </w:r>
      <w:r w:rsidR="00CC2241">
        <w:t xml:space="preserve"> File Nos. B</w:t>
      </w:r>
      <w:r w:rsidR="00D64CDA">
        <w:t>ESTA-</w:t>
      </w:r>
      <w:r w:rsidR="00F1542D">
        <w:t xml:space="preserve">20200925AAU, BLSTA-20200918AAV, BESTA-20200324AAH, BESTA-20190930AAA.  </w:t>
      </w:r>
      <w:r w:rsidRPr="001011DB" w:rsidR="00F1542D">
        <w:rPr>
          <w:i/>
          <w:iCs/>
        </w:rPr>
        <w:t>See also</w:t>
      </w:r>
      <w:r w:rsidR="00F1542D">
        <w:t xml:space="preserve"> </w:t>
      </w:r>
      <w:r w:rsidR="00446F14">
        <w:t xml:space="preserve">Email from Dale Bickel, </w:t>
      </w:r>
      <w:r w:rsidR="00553E14">
        <w:t>Senior Electronics Engineer, Audio Division, Media Bureau, FCC,</w:t>
      </w:r>
      <w:r w:rsidR="00446F14">
        <w:t xml:space="preserve"> </w:t>
      </w:r>
      <w:r w:rsidR="006A60D5">
        <w:t>to Matthew McCormick, Esq., Counsel for Cultural Energy</w:t>
      </w:r>
      <w:r w:rsidR="004D3C6A">
        <w:t xml:space="preserve"> (Oct. 2, 2020 </w:t>
      </w:r>
      <w:r w:rsidR="007C6043">
        <w:t>0</w:t>
      </w:r>
      <w:r w:rsidR="00856F96">
        <w:t xml:space="preserve">6:48 </w:t>
      </w:r>
      <w:r w:rsidR="00BF5C1D">
        <w:t>EDT)</w:t>
      </w:r>
      <w:r w:rsidR="00DB56D6">
        <w:t xml:space="preserve">; </w:t>
      </w:r>
      <w:r w:rsidRPr="001011DB" w:rsidR="00DB56D6">
        <w:rPr>
          <w:i/>
          <w:iCs/>
        </w:rPr>
        <w:t>Cultural Energy</w:t>
      </w:r>
      <w:r w:rsidR="00DB56D6">
        <w:t>, File No. BLSTA-20200918AAV, Letter Order (MB Oct. 2, 2020)</w:t>
      </w:r>
      <w:r w:rsidR="00343250">
        <w:t xml:space="preserve">; </w:t>
      </w:r>
      <w:r w:rsidR="00217E01">
        <w:t>Email from Dale Bickel, Senior Electronics Engineer, Audio Division, Media Bureau, FCC, to Matthew McCormick, Esq., Counsel for Cultural Energy (</w:t>
      </w:r>
      <w:r w:rsidR="00226FB2">
        <w:t xml:space="preserve">March 31, 2020 </w:t>
      </w:r>
      <w:r w:rsidR="00217E01">
        <w:t>0</w:t>
      </w:r>
      <w:r w:rsidR="00347E89">
        <w:t>8</w:t>
      </w:r>
      <w:r w:rsidR="00217E01">
        <w:t>:</w:t>
      </w:r>
      <w:r w:rsidR="00347E89">
        <w:t>34</w:t>
      </w:r>
      <w:r w:rsidR="00217E01">
        <w:t xml:space="preserve"> EDT)</w:t>
      </w:r>
      <w:r w:rsidR="00226FB2">
        <w:t xml:space="preserve">; </w:t>
      </w:r>
      <w:r w:rsidR="00343250">
        <w:t xml:space="preserve">Email from Dale Bickel, </w:t>
      </w:r>
      <w:r w:rsidR="00553E14">
        <w:t>Senior Electronics Engineer, Audio Division, Media Bureau, FCC</w:t>
      </w:r>
      <w:r w:rsidR="00770F52">
        <w:t xml:space="preserve">, </w:t>
      </w:r>
      <w:r w:rsidR="00343250">
        <w:t>to Matthew McCormick, Esq., Counsel for Cultural Energy (</w:t>
      </w:r>
      <w:r w:rsidR="00770F52">
        <w:t>Sept.</w:t>
      </w:r>
      <w:r w:rsidR="00217E01">
        <w:t>30, 2019</w:t>
      </w:r>
      <w:r w:rsidR="00343250">
        <w:t xml:space="preserve"> </w:t>
      </w:r>
      <w:r w:rsidR="00217E01">
        <w:t>07:10</w:t>
      </w:r>
      <w:r w:rsidR="00343250">
        <w:t xml:space="preserve"> EDT)</w:t>
      </w:r>
      <w:r w:rsidR="00217E01">
        <w:t>.</w:t>
      </w:r>
      <w:r w:rsidR="00B067B6">
        <w:t xml:space="preserve">  </w:t>
      </w:r>
      <w:r w:rsidR="0002026E">
        <w:t xml:space="preserve">The Bureau’s extension of the STA after the date the Station’s license expired may have contributed to the </w:t>
      </w:r>
      <w:r w:rsidR="00F70083">
        <w:t>L</w:t>
      </w:r>
      <w:r w:rsidR="0002026E">
        <w:t>icensee’s confusion over the renewal deadline.</w:t>
      </w:r>
      <w:r w:rsidR="00F70083">
        <w:t xml:space="preserve">  </w:t>
      </w:r>
      <w:r w:rsidR="00137016">
        <w:t xml:space="preserve">Finally, we note that the Licensee promptly filed </w:t>
      </w:r>
      <w:r w:rsidR="008F5600">
        <w:t>the Application and a</w:t>
      </w:r>
      <w:r w:rsidR="00F70083">
        <w:t xml:space="preserve"> new</w:t>
      </w:r>
      <w:r w:rsidR="008F5600">
        <w:t xml:space="preserve"> request for STA to continue operating the Station as soon as it was made aware of the license’s expiration.  </w:t>
      </w:r>
      <w:r w:rsidR="00D666C8">
        <w:t>Given these</w:t>
      </w:r>
      <w:r w:rsidR="00B47C4A">
        <w:t xml:space="preserve"> unique factors, we </w:t>
      </w:r>
      <w:r w:rsidR="008F5600">
        <w:t>do no</w:t>
      </w:r>
      <w:r w:rsidR="00F04C39">
        <w:t>t believe it would be appropriate to pursue enforcement action related to operation of the Station after January 31, 2020.</w:t>
      </w:r>
      <w:r w:rsidR="0075574D">
        <w:t xml:space="preserve">  </w:t>
      </w:r>
      <w:r w:rsidRPr="00D91495" w:rsidR="00987F23">
        <w:rPr>
          <w:i/>
          <w:iCs/>
        </w:rPr>
        <w:t>Cf</w:t>
      </w:r>
      <w:r w:rsidR="00FE360C">
        <w:rPr>
          <w:i/>
          <w:iCs/>
        </w:rPr>
        <w:t>.</w:t>
      </w:r>
      <w:r w:rsidRPr="00D91495" w:rsidR="00987F23">
        <w:rPr>
          <w:i/>
          <w:iCs/>
        </w:rPr>
        <w:t xml:space="preserve"> Ward Broad. Corp</w:t>
      </w:r>
      <w:r w:rsidR="00987F23">
        <w:t xml:space="preserve">., </w:t>
      </w:r>
      <w:r w:rsidR="00563BC9">
        <w:t>Memorandum Opinion and Order and Notice of Apparent Liability for Forfeiture, 35 FCC Rcd 5592</w:t>
      </w:r>
      <w:r w:rsidR="0062230F">
        <w:t>, 5592, para. 2</w:t>
      </w:r>
      <w:r w:rsidR="00563BC9">
        <w:t xml:space="preserve"> (MB 2020) (</w:t>
      </w:r>
      <w:r w:rsidR="000A6315">
        <w:t xml:space="preserve">proposing a forfeiture for unauthorized operation of a station where </w:t>
      </w:r>
      <w:r w:rsidR="008D7515">
        <w:t>renewal application was not filed</w:t>
      </w:r>
      <w:r w:rsidR="008642E2">
        <w:t xml:space="preserve"> prior to expiration of station’s license</w:t>
      </w:r>
      <w:r w:rsidR="00FE360C">
        <w:t>;</w:t>
      </w:r>
      <w:r w:rsidR="008D7515">
        <w:t xml:space="preserve"> </w:t>
      </w:r>
      <w:r w:rsidR="008642E2">
        <w:t>Bureau</w:t>
      </w:r>
      <w:r w:rsidR="008D7515">
        <w:t xml:space="preserve"> </w:t>
      </w:r>
      <w:r w:rsidRPr="000A6315" w:rsidR="000A6315">
        <w:t xml:space="preserve">notified </w:t>
      </w:r>
      <w:r w:rsidR="008642E2">
        <w:t xml:space="preserve">licensee </w:t>
      </w:r>
      <w:r w:rsidRPr="000A6315" w:rsidR="000A6315">
        <w:t xml:space="preserve">that </w:t>
      </w:r>
      <w:r w:rsidR="008642E2">
        <w:t>st</w:t>
      </w:r>
      <w:r w:rsidRPr="000A6315" w:rsidR="000A6315">
        <w:t>ation's license had expired, that all authority to operate the Station was terminated, and that the Station's call letters were deleted from the Commission's database</w:t>
      </w:r>
      <w:r w:rsidR="00655ACE">
        <w:t>, and thus licensee</w:t>
      </w:r>
      <w:r w:rsidRPr="000A6315" w:rsidR="000A6315">
        <w:t xml:space="preserve"> was </w:t>
      </w:r>
      <w:r w:rsidR="00655ACE">
        <w:t>“</w:t>
      </w:r>
      <w:r w:rsidRPr="000A6315" w:rsidR="000A6315">
        <w:t>on notice</w:t>
      </w:r>
      <w:r w:rsidR="00655ACE">
        <w:t>”</w:t>
      </w:r>
      <w:r w:rsidRPr="000A6315" w:rsidR="000A6315">
        <w:t xml:space="preserve"> that any further operation of</w:t>
      </w:r>
      <w:r w:rsidR="00655ACE">
        <w:t xml:space="preserve"> station </w:t>
      </w:r>
      <w:r w:rsidRPr="000A6315" w:rsidR="000A6315">
        <w:t>was unauthorized</w:t>
      </w:r>
      <w:r w:rsidR="00D91495">
        <w:t>)</w:t>
      </w:r>
      <w:r w:rsidRPr="000A6315" w:rsidR="000A6315">
        <w:t>.</w:t>
      </w:r>
    </w:p>
  </w:footnote>
  <w:footnote w:id="9">
    <w:p w:rsidR="00406A52" w:rsidRPr="00E4519B" w:rsidP="00406A52" w14:paraId="44543E71" w14:textId="77777777">
      <w:pPr>
        <w:pStyle w:val="FootnoteText"/>
        <w:widowControl w:val="0"/>
      </w:pPr>
      <w:r w:rsidRPr="00E4519B">
        <w:rPr>
          <w:rStyle w:val="FootnoteReference"/>
        </w:rPr>
        <w:footnoteRef/>
      </w:r>
      <w:r w:rsidRPr="00E4519B">
        <w:t xml:space="preserve"> 47 U.S.C. § </w:t>
      </w:r>
      <w:r w:rsidRPr="00BE662A">
        <w:t xml:space="preserve">503(b)(1)(B).  </w:t>
      </w:r>
      <w:r w:rsidRPr="00BE662A">
        <w:rPr>
          <w:i/>
        </w:rPr>
        <w:t>S</w:t>
      </w:r>
      <w:r w:rsidRPr="00BE662A">
        <w:rPr>
          <w:i/>
          <w:iCs/>
        </w:rPr>
        <w:t>ee also</w:t>
      </w:r>
      <w:r w:rsidRPr="00BE662A">
        <w:t xml:space="preserve"> 47 CFR § 1.80(a)(1</w:t>
      </w:r>
      <w:r w:rsidRPr="00E4519B">
        <w:t>).</w:t>
      </w:r>
    </w:p>
  </w:footnote>
  <w:footnote w:id="10">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11">
    <w:p w:rsidR="00406A52" w:rsidRPr="00D64E57" w:rsidP="00406A52" w14:paraId="7C6A1DAD"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2">
    <w:p w:rsidR="00406A52" w:rsidRPr="00D64E57" w:rsidP="00406A52" w14:paraId="0E016A5D" w14:textId="2AC7E37F">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7 FCC Rcd 3454 (1992</w:t>
      </w:r>
      <w:r w:rsidRPr="00600AB4">
        <w:t>).</w:t>
      </w:r>
    </w:p>
  </w:footnote>
  <w:footnote w:id="13">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47 U.S.C. </w:t>
      </w:r>
      <w:r w:rsidRPr="00BE662A">
        <w:rPr>
          <w:sz w:val="20"/>
        </w:rPr>
        <w:t>§ 312(f)(2).</w:t>
      </w:r>
      <w:r w:rsidRPr="006F7D37">
        <w:rPr>
          <w:sz w:val="20"/>
        </w:rPr>
        <w:t xml:space="preserve"> </w:t>
      </w:r>
    </w:p>
  </w:footnote>
  <w:footnote w:id="14">
    <w:p w:rsidR="001E307A" w:rsidRPr="00CF021F" w:rsidP="001E307A" w14:paraId="0AEF2F03" w14:textId="30352FC3">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Rcd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15 FCC Rcd 303 (1999)</w:t>
        </w:r>
      </w:hyperlink>
      <w:r w:rsidRPr="00CF021F">
        <w:rPr>
          <w:sz w:val="20"/>
        </w:rPr>
        <w:t xml:space="preserve">; </w:t>
      </w:r>
      <w:hyperlink r:id="rId3" w:anchor="co_pp_6ad60000aeea7" w:history="1">
        <w:r w:rsidRPr="00BE662A">
          <w:rPr>
            <w:sz w:val="20"/>
          </w:rPr>
          <w:t>47 CFR § 1.80(b)(</w:t>
        </w:r>
        <w:r w:rsidRPr="00BE662A" w:rsidR="00BE662A">
          <w:rPr>
            <w:sz w:val="20"/>
          </w:rPr>
          <w:t>9</w:t>
        </w:r>
        <w:r w:rsidRPr="00BE662A">
          <w:rPr>
            <w:sz w:val="20"/>
          </w:rPr>
          <w:t>)</w:t>
        </w:r>
      </w:hyperlink>
      <w:r w:rsidRPr="00BE662A">
        <w:rPr>
          <w:sz w:val="20"/>
        </w:rPr>
        <w:t>, note to paragraph (b)(</w:t>
      </w:r>
      <w:r w:rsidRPr="00BE662A" w:rsidR="00BE662A">
        <w:rPr>
          <w:sz w:val="20"/>
        </w:rPr>
        <w:t>9</w:t>
      </w:r>
      <w:r w:rsidRPr="00BE662A">
        <w:rPr>
          <w:sz w:val="20"/>
        </w:rPr>
        <w:t>), Section I.</w:t>
      </w:r>
    </w:p>
  </w:footnote>
  <w:footnote w:id="15">
    <w:p w:rsidR="001E307A" w:rsidRPr="00CF021F" w:rsidP="001E307A" w14:paraId="1F6DFCF4" w14:textId="1CA19A73">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12 FCC Rcd at 17100;</w:t>
        </w:r>
      </w:hyperlink>
      <w:r w:rsidRPr="00650B53">
        <w:rPr>
          <w:sz w:val="20"/>
        </w:rPr>
        <w:t xml:space="preserve"> </w:t>
      </w:r>
      <w:hyperlink r:id="rId3" w:anchor="co_pp_6ad60000aeea7" w:history="1">
        <w:r w:rsidRPr="00650B53">
          <w:rPr>
            <w:sz w:val="20"/>
          </w:rPr>
          <w:t>47 C.F.R. § 1.80(b)(</w:t>
        </w:r>
        <w:r w:rsidRPr="00650B53" w:rsidR="00E4654F">
          <w:rPr>
            <w:sz w:val="20"/>
          </w:rPr>
          <w:t>9</w:t>
        </w:r>
        <w:r w:rsidRPr="00650B53">
          <w:rPr>
            <w:sz w:val="20"/>
          </w:rPr>
          <w:t>)</w:t>
        </w:r>
      </w:hyperlink>
      <w:r w:rsidRPr="00CF021F">
        <w:rPr>
          <w:sz w:val="20"/>
        </w:rPr>
        <w:t>.</w:t>
      </w:r>
    </w:p>
  </w:footnote>
  <w:footnote w:id="16">
    <w:p w:rsidR="002F01B8" w14:paraId="1EEF17A7" w14:textId="34C7023F">
      <w:pPr>
        <w:pStyle w:val="FootnoteText"/>
      </w:pPr>
      <w:r>
        <w:rPr>
          <w:rStyle w:val="FootnoteReference"/>
        </w:rPr>
        <w:footnoteRef/>
      </w:r>
      <w:r>
        <w:t xml:space="preserve"> </w:t>
      </w:r>
      <w:r w:rsidRPr="002F01B8">
        <w:rPr>
          <w:i/>
          <w:iCs/>
          <w:szCs w:val="22"/>
        </w:rPr>
        <w:t>Southern California</w:t>
      </w:r>
      <w:r w:rsidRPr="002F01B8">
        <w:rPr>
          <w:szCs w:val="22"/>
        </w:rPr>
        <w:t>, 6 FCC Rcd at 4387, para. 3</w:t>
      </w:r>
      <w:r>
        <w:rPr>
          <w:szCs w:val="22"/>
        </w:rPr>
        <w:t>.</w:t>
      </w:r>
    </w:p>
  </w:footnote>
  <w:footnote w:id="17">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8">
    <w:p w:rsidR="00A7120F" w:rsidRPr="00E4519B" w:rsidP="00A7120F" w14:paraId="22A7FCA9"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9">
    <w:p w:rsidR="00A7120F" w:rsidRPr="00132193" w:rsidP="00A7120F" w14:paraId="21949CB0" w14:textId="77777777">
      <w:pPr>
        <w:pStyle w:val="Footer"/>
        <w:spacing w:after="120"/>
        <w:rPr>
          <w:sz w:val="20"/>
        </w:rPr>
      </w:pPr>
      <w:r w:rsidRPr="00132193">
        <w:rPr>
          <w:rStyle w:val="FootnoteReference"/>
        </w:rPr>
        <w:footnoteRef/>
      </w:r>
      <w:r w:rsidRPr="00132193">
        <w:rPr>
          <w:sz w:val="20"/>
        </w:rPr>
        <w:t xml:space="preserve"> 47 U.S.C. §§ 309(k)(2), 309(k)(3).</w:t>
      </w:r>
    </w:p>
  </w:footnote>
  <w:footnote w:id="20">
    <w:p w:rsidR="00A7120F" w:rsidRPr="00132193" w:rsidP="00A7120F" w14:paraId="5D4BD5BE"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1">
    <w:p w:rsidR="00A7120F" w:rsidRPr="00132193" w:rsidP="00A7120F" w14:paraId="06B56827"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2">
    <w:p w:rsidR="00A7120F" w:rsidRPr="00132193" w:rsidP="00A7120F" w14:paraId="78695B82"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23">
    <w:p w:rsidR="00A7120F" w:rsidRPr="004B33E9" w:rsidP="00A7120F" w14:paraId="7CE88508" w14:textId="42E95A68">
      <w:pPr>
        <w:pStyle w:val="FootnoteText"/>
        <w:widowControl w:val="0"/>
      </w:pPr>
      <w:r w:rsidRPr="00132193">
        <w:rPr>
          <w:rStyle w:val="FootnoteReference"/>
        </w:rPr>
        <w:footnoteRef/>
      </w:r>
      <w:r w:rsidRPr="00132193">
        <w:t xml:space="preserve"> Instructions for completing the form may be </w:t>
      </w:r>
      <w:r w:rsidRPr="001A2A87">
        <w:t xml:space="preserve">obtained at </w:t>
      </w:r>
      <w:hyperlink r:id="rId7" w:history="1">
        <w:r w:rsidRPr="0074749E" w:rsidR="001A2A87">
          <w:rPr>
            <w:rStyle w:val="Hyperlink"/>
          </w:rPr>
          <w:t>https://transition.fcc.gov/Forms/Form159/159.pdf</w:t>
        </w:r>
      </w:hyperlink>
      <w:r w:rsidR="001A2A87">
        <w:t xml:space="preserve">. </w:t>
      </w:r>
    </w:p>
  </w:footnote>
  <w:footnote w:id="24">
    <w:p w:rsidR="00A7120F" w:rsidRPr="004B33E9" w:rsidP="00A7120F" w14:paraId="7F447904"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 w:id="25">
    <w:p w:rsidR="00A7120F" w:rsidP="00A7120F" w14:paraId="00E38B10" w14:textId="77777777">
      <w:pPr>
        <w:pStyle w:val="FootnoteText"/>
        <w:widowControl w:val="0"/>
      </w:pPr>
      <w:r>
        <w:rPr>
          <w:rStyle w:val="FootnoteReference"/>
        </w:rPr>
        <w:footnoteRef/>
      </w:r>
      <w:r>
        <w:t xml:space="preserve"> 47 CFR §§ 1.16 and 1.80(f)(3).</w:t>
      </w:r>
    </w:p>
  </w:footnote>
  <w:footnote w:id="26">
    <w:p w:rsidR="00A7120F" w:rsidP="00A7120F" w14:paraId="345A9AFD"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7">
    <w:p w:rsidR="00A7120F" w:rsidP="00A7120F" w14:paraId="12F89BE7"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705F8560">
    <w:pPr>
      <w:pStyle w:val="Header"/>
      <w:rPr>
        <w:b w:val="0"/>
      </w:rPr>
    </w:pPr>
    <w:r>
      <w:tab/>
      <w:t>Federal Communications Commission</w:t>
    </w:r>
    <w:r>
      <w:tab/>
    </w:r>
    <w:r w:rsidR="00AE2D78">
      <w:t xml:space="preserve">DA </w:t>
    </w:r>
    <w:r w:rsidR="0044571B">
      <w:t>21</w:t>
    </w:r>
    <w:r w:rsidR="00AE2D78">
      <w:t>-</w:t>
    </w:r>
    <w:r w:rsidR="00C73240">
      <w:t>307</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24C44D3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w:t>
    </w:r>
    <w:r w:rsidR="0044571B">
      <w:rPr>
        <w:spacing w:val="-2"/>
      </w:rPr>
      <w:t>1</w:t>
    </w:r>
    <w:r w:rsidR="00AE2D78">
      <w:rPr>
        <w:spacing w:val="-2"/>
      </w:rPr>
      <w:t>-</w:t>
    </w:r>
    <w:r w:rsidR="00C73240">
      <w:rPr>
        <w:spacing w:val="-2"/>
      </w:rPr>
      <w:t>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6"/>
  </w:num>
  <w:num w:numId="8">
    <w:abstractNumId w:val="10"/>
  </w:num>
  <w:num w:numId="9">
    <w:abstractNumId w:val="1"/>
  </w:num>
  <w:num w:numId="10">
    <w:abstractNumId w:val="9"/>
    <w:lvlOverride w:ilvl="0">
      <w:startOverride w:val="1"/>
    </w:lvlOverride>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2026E"/>
    <w:rsid w:val="00020F91"/>
    <w:rsid w:val="000210B8"/>
    <w:rsid w:val="00025997"/>
    <w:rsid w:val="00036039"/>
    <w:rsid w:val="00037F90"/>
    <w:rsid w:val="000437E9"/>
    <w:rsid w:val="00056C13"/>
    <w:rsid w:val="00076929"/>
    <w:rsid w:val="000875BF"/>
    <w:rsid w:val="000923FD"/>
    <w:rsid w:val="00092A6F"/>
    <w:rsid w:val="00096D8C"/>
    <w:rsid w:val="000A2A51"/>
    <w:rsid w:val="000A6315"/>
    <w:rsid w:val="000A726E"/>
    <w:rsid w:val="000C0B65"/>
    <w:rsid w:val="000C2713"/>
    <w:rsid w:val="000D4E69"/>
    <w:rsid w:val="000E05FE"/>
    <w:rsid w:val="000E3D42"/>
    <w:rsid w:val="000E5765"/>
    <w:rsid w:val="000F3BFA"/>
    <w:rsid w:val="001011DB"/>
    <w:rsid w:val="001046C4"/>
    <w:rsid w:val="00120216"/>
    <w:rsid w:val="00122BD5"/>
    <w:rsid w:val="00132193"/>
    <w:rsid w:val="00133F79"/>
    <w:rsid w:val="00137016"/>
    <w:rsid w:val="00177E7D"/>
    <w:rsid w:val="00186998"/>
    <w:rsid w:val="0019392E"/>
    <w:rsid w:val="00194A66"/>
    <w:rsid w:val="00197841"/>
    <w:rsid w:val="001A2A87"/>
    <w:rsid w:val="001B52E5"/>
    <w:rsid w:val="001C2556"/>
    <w:rsid w:val="001C60F2"/>
    <w:rsid w:val="001D6BCF"/>
    <w:rsid w:val="001E01CA"/>
    <w:rsid w:val="001E307A"/>
    <w:rsid w:val="001E6B1E"/>
    <w:rsid w:val="002011A6"/>
    <w:rsid w:val="00201D9D"/>
    <w:rsid w:val="00203CC8"/>
    <w:rsid w:val="00217E01"/>
    <w:rsid w:val="0022190A"/>
    <w:rsid w:val="00222234"/>
    <w:rsid w:val="00226B4A"/>
    <w:rsid w:val="00226FB2"/>
    <w:rsid w:val="0024351C"/>
    <w:rsid w:val="00244E59"/>
    <w:rsid w:val="002521B2"/>
    <w:rsid w:val="00262650"/>
    <w:rsid w:val="00275CF5"/>
    <w:rsid w:val="00277180"/>
    <w:rsid w:val="0028082F"/>
    <w:rsid w:val="0028301F"/>
    <w:rsid w:val="00285017"/>
    <w:rsid w:val="002A2D2E"/>
    <w:rsid w:val="002B2977"/>
    <w:rsid w:val="002C00E8"/>
    <w:rsid w:val="002C1B50"/>
    <w:rsid w:val="002D40C2"/>
    <w:rsid w:val="002F01B8"/>
    <w:rsid w:val="00325CD8"/>
    <w:rsid w:val="00325D61"/>
    <w:rsid w:val="003275F6"/>
    <w:rsid w:val="003344E3"/>
    <w:rsid w:val="003364B8"/>
    <w:rsid w:val="00343250"/>
    <w:rsid w:val="00343749"/>
    <w:rsid w:val="00347E89"/>
    <w:rsid w:val="003568AC"/>
    <w:rsid w:val="0036418E"/>
    <w:rsid w:val="003660ED"/>
    <w:rsid w:val="003A176B"/>
    <w:rsid w:val="003B0550"/>
    <w:rsid w:val="003B694F"/>
    <w:rsid w:val="003C2570"/>
    <w:rsid w:val="003C67E5"/>
    <w:rsid w:val="003F171C"/>
    <w:rsid w:val="003F41B4"/>
    <w:rsid w:val="004029B5"/>
    <w:rsid w:val="00403C7A"/>
    <w:rsid w:val="00406A52"/>
    <w:rsid w:val="00412FC5"/>
    <w:rsid w:val="00422270"/>
    <w:rsid w:val="00422276"/>
    <w:rsid w:val="004242F1"/>
    <w:rsid w:val="0042432B"/>
    <w:rsid w:val="0044571B"/>
    <w:rsid w:val="00445A00"/>
    <w:rsid w:val="00446F14"/>
    <w:rsid w:val="00447598"/>
    <w:rsid w:val="00451B0F"/>
    <w:rsid w:val="00453FF1"/>
    <w:rsid w:val="0046477F"/>
    <w:rsid w:val="00465896"/>
    <w:rsid w:val="00471790"/>
    <w:rsid w:val="00481DD0"/>
    <w:rsid w:val="0049479B"/>
    <w:rsid w:val="004A4379"/>
    <w:rsid w:val="004B30EA"/>
    <w:rsid w:val="004B33E9"/>
    <w:rsid w:val="004B7012"/>
    <w:rsid w:val="004C0E7E"/>
    <w:rsid w:val="004C2EE3"/>
    <w:rsid w:val="004C44C7"/>
    <w:rsid w:val="004D3C6A"/>
    <w:rsid w:val="004E4A22"/>
    <w:rsid w:val="00505710"/>
    <w:rsid w:val="00511968"/>
    <w:rsid w:val="00514C8E"/>
    <w:rsid w:val="00525F98"/>
    <w:rsid w:val="0052603B"/>
    <w:rsid w:val="0053298C"/>
    <w:rsid w:val="00537BD6"/>
    <w:rsid w:val="00541385"/>
    <w:rsid w:val="00547527"/>
    <w:rsid w:val="00553E14"/>
    <w:rsid w:val="00553FC2"/>
    <w:rsid w:val="0055614C"/>
    <w:rsid w:val="00556E77"/>
    <w:rsid w:val="00563BC9"/>
    <w:rsid w:val="00566D06"/>
    <w:rsid w:val="00573FFC"/>
    <w:rsid w:val="0057749E"/>
    <w:rsid w:val="00581D3E"/>
    <w:rsid w:val="005A4D87"/>
    <w:rsid w:val="005B4905"/>
    <w:rsid w:val="005C2209"/>
    <w:rsid w:val="005D6746"/>
    <w:rsid w:val="005E14C2"/>
    <w:rsid w:val="005E1FDE"/>
    <w:rsid w:val="005F0E03"/>
    <w:rsid w:val="005F282C"/>
    <w:rsid w:val="00600AB4"/>
    <w:rsid w:val="00607BA5"/>
    <w:rsid w:val="0061097A"/>
    <w:rsid w:val="0061180A"/>
    <w:rsid w:val="0062230F"/>
    <w:rsid w:val="00626DAA"/>
    <w:rsid w:val="00626EB6"/>
    <w:rsid w:val="00636C51"/>
    <w:rsid w:val="00650B53"/>
    <w:rsid w:val="00655ACE"/>
    <w:rsid w:val="00655D03"/>
    <w:rsid w:val="00664BAE"/>
    <w:rsid w:val="00683388"/>
    <w:rsid w:val="00683723"/>
    <w:rsid w:val="00683F84"/>
    <w:rsid w:val="006A60D5"/>
    <w:rsid w:val="006A6A81"/>
    <w:rsid w:val="006B0B35"/>
    <w:rsid w:val="006B42CE"/>
    <w:rsid w:val="006C18EB"/>
    <w:rsid w:val="006D4C7A"/>
    <w:rsid w:val="006F2A16"/>
    <w:rsid w:val="006F7393"/>
    <w:rsid w:val="006F7D37"/>
    <w:rsid w:val="0070224F"/>
    <w:rsid w:val="00702C1A"/>
    <w:rsid w:val="00710DF1"/>
    <w:rsid w:val="007115F7"/>
    <w:rsid w:val="00712A98"/>
    <w:rsid w:val="007135F7"/>
    <w:rsid w:val="00713C38"/>
    <w:rsid w:val="007143AC"/>
    <w:rsid w:val="007170FF"/>
    <w:rsid w:val="00731630"/>
    <w:rsid w:val="00743676"/>
    <w:rsid w:val="0074666D"/>
    <w:rsid w:val="0074749E"/>
    <w:rsid w:val="0075574D"/>
    <w:rsid w:val="00762D8E"/>
    <w:rsid w:val="00770F52"/>
    <w:rsid w:val="00785689"/>
    <w:rsid w:val="00787F68"/>
    <w:rsid w:val="007967CC"/>
    <w:rsid w:val="0079754B"/>
    <w:rsid w:val="007A1E6D"/>
    <w:rsid w:val="007B0EB2"/>
    <w:rsid w:val="007B1D07"/>
    <w:rsid w:val="007C6043"/>
    <w:rsid w:val="007F5303"/>
    <w:rsid w:val="008049A8"/>
    <w:rsid w:val="00810B6F"/>
    <w:rsid w:val="00815718"/>
    <w:rsid w:val="00822CE0"/>
    <w:rsid w:val="008338F6"/>
    <w:rsid w:val="00841AB1"/>
    <w:rsid w:val="00856F96"/>
    <w:rsid w:val="00862C04"/>
    <w:rsid w:val="00862C7D"/>
    <w:rsid w:val="008642E2"/>
    <w:rsid w:val="0087629E"/>
    <w:rsid w:val="008A0535"/>
    <w:rsid w:val="008C0C80"/>
    <w:rsid w:val="008C68F1"/>
    <w:rsid w:val="008D30C5"/>
    <w:rsid w:val="008D7515"/>
    <w:rsid w:val="008E5CD8"/>
    <w:rsid w:val="008F5600"/>
    <w:rsid w:val="00910EC5"/>
    <w:rsid w:val="00921803"/>
    <w:rsid w:val="00926503"/>
    <w:rsid w:val="00940218"/>
    <w:rsid w:val="00960C4F"/>
    <w:rsid w:val="009726D8"/>
    <w:rsid w:val="00972E77"/>
    <w:rsid w:val="0097716D"/>
    <w:rsid w:val="009866A4"/>
    <w:rsid w:val="00987F23"/>
    <w:rsid w:val="00991446"/>
    <w:rsid w:val="009A1484"/>
    <w:rsid w:val="009A2DEF"/>
    <w:rsid w:val="009A5FF8"/>
    <w:rsid w:val="009A621D"/>
    <w:rsid w:val="009A65BD"/>
    <w:rsid w:val="009C4B9E"/>
    <w:rsid w:val="009C5E1D"/>
    <w:rsid w:val="009D269D"/>
    <w:rsid w:val="009D7308"/>
    <w:rsid w:val="009F76DB"/>
    <w:rsid w:val="00A02418"/>
    <w:rsid w:val="00A12634"/>
    <w:rsid w:val="00A20B95"/>
    <w:rsid w:val="00A2771E"/>
    <w:rsid w:val="00A32C3B"/>
    <w:rsid w:val="00A40554"/>
    <w:rsid w:val="00A45F4F"/>
    <w:rsid w:val="00A46FAE"/>
    <w:rsid w:val="00A52908"/>
    <w:rsid w:val="00A53FAF"/>
    <w:rsid w:val="00A600A9"/>
    <w:rsid w:val="00A61051"/>
    <w:rsid w:val="00A7009C"/>
    <w:rsid w:val="00A7120F"/>
    <w:rsid w:val="00A83757"/>
    <w:rsid w:val="00AA55B7"/>
    <w:rsid w:val="00AA5B9E"/>
    <w:rsid w:val="00AB0947"/>
    <w:rsid w:val="00AB2407"/>
    <w:rsid w:val="00AB53DF"/>
    <w:rsid w:val="00AB57DA"/>
    <w:rsid w:val="00AB6476"/>
    <w:rsid w:val="00AC6215"/>
    <w:rsid w:val="00AE2D78"/>
    <w:rsid w:val="00AE4BAF"/>
    <w:rsid w:val="00AE72A8"/>
    <w:rsid w:val="00AF0B21"/>
    <w:rsid w:val="00B067B6"/>
    <w:rsid w:val="00B07E5C"/>
    <w:rsid w:val="00B40D6E"/>
    <w:rsid w:val="00B47C4A"/>
    <w:rsid w:val="00B520EB"/>
    <w:rsid w:val="00B529DB"/>
    <w:rsid w:val="00B811F7"/>
    <w:rsid w:val="00B86ED4"/>
    <w:rsid w:val="00B8718C"/>
    <w:rsid w:val="00B92BD3"/>
    <w:rsid w:val="00B97556"/>
    <w:rsid w:val="00BA5DC6"/>
    <w:rsid w:val="00BA6196"/>
    <w:rsid w:val="00BB1F61"/>
    <w:rsid w:val="00BB563D"/>
    <w:rsid w:val="00BB5E1D"/>
    <w:rsid w:val="00BC6D8C"/>
    <w:rsid w:val="00BD3CD6"/>
    <w:rsid w:val="00BE4786"/>
    <w:rsid w:val="00BE662A"/>
    <w:rsid w:val="00BF5C1D"/>
    <w:rsid w:val="00C029B2"/>
    <w:rsid w:val="00C02ABB"/>
    <w:rsid w:val="00C13DEA"/>
    <w:rsid w:val="00C27B19"/>
    <w:rsid w:val="00C34006"/>
    <w:rsid w:val="00C36B4C"/>
    <w:rsid w:val="00C426B1"/>
    <w:rsid w:val="00C42763"/>
    <w:rsid w:val="00C52B42"/>
    <w:rsid w:val="00C573FF"/>
    <w:rsid w:val="00C61CB8"/>
    <w:rsid w:val="00C61D84"/>
    <w:rsid w:val="00C63222"/>
    <w:rsid w:val="00C66160"/>
    <w:rsid w:val="00C721AC"/>
    <w:rsid w:val="00C73240"/>
    <w:rsid w:val="00C75785"/>
    <w:rsid w:val="00C820BE"/>
    <w:rsid w:val="00C82698"/>
    <w:rsid w:val="00C90D6A"/>
    <w:rsid w:val="00C94A28"/>
    <w:rsid w:val="00CA247E"/>
    <w:rsid w:val="00CA6D21"/>
    <w:rsid w:val="00CB1BA6"/>
    <w:rsid w:val="00CB2315"/>
    <w:rsid w:val="00CC2241"/>
    <w:rsid w:val="00CC72B6"/>
    <w:rsid w:val="00CD4E5F"/>
    <w:rsid w:val="00CD7225"/>
    <w:rsid w:val="00CF021F"/>
    <w:rsid w:val="00CF2533"/>
    <w:rsid w:val="00CF56A8"/>
    <w:rsid w:val="00D0218D"/>
    <w:rsid w:val="00D25FB5"/>
    <w:rsid w:val="00D2667A"/>
    <w:rsid w:val="00D31C28"/>
    <w:rsid w:val="00D36FF9"/>
    <w:rsid w:val="00D423B0"/>
    <w:rsid w:val="00D44223"/>
    <w:rsid w:val="00D55DAF"/>
    <w:rsid w:val="00D57BEE"/>
    <w:rsid w:val="00D64CDA"/>
    <w:rsid w:val="00D64E57"/>
    <w:rsid w:val="00D666C8"/>
    <w:rsid w:val="00D72354"/>
    <w:rsid w:val="00D74CC9"/>
    <w:rsid w:val="00D91495"/>
    <w:rsid w:val="00D9349C"/>
    <w:rsid w:val="00DA04C7"/>
    <w:rsid w:val="00DA2529"/>
    <w:rsid w:val="00DA6849"/>
    <w:rsid w:val="00DB130A"/>
    <w:rsid w:val="00DB2286"/>
    <w:rsid w:val="00DB2EBB"/>
    <w:rsid w:val="00DB56D6"/>
    <w:rsid w:val="00DC10A1"/>
    <w:rsid w:val="00DC655F"/>
    <w:rsid w:val="00DD0B59"/>
    <w:rsid w:val="00DD728C"/>
    <w:rsid w:val="00DD7E8F"/>
    <w:rsid w:val="00DD7EBD"/>
    <w:rsid w:val="00DF62B6"/>
    <w:rsid w:val="00E01AAB"/>
    <w:rsid w:val="00E07225"/>
    <w:rsid w:val="00E23B79"/>
    <w:rsid w:val="00E4519B"/>
    <w:rsid w:val="00E4654F"/>
    <w:rsid w:val="00E4775B"/>
    <w:rsid w:val="00E521FC"/>
    <w:rsid w:val="00E5409F"/>
    <w:rsid w:val="00E700E1"/>
    <w:rsid w:val="00E716DE"/>
    <w:rsid w:val="00E73584"/>
    <w:rsid w:val="00E771A2"/>
    <w:rsid w:val="00E77E92"/>
    <w:rsid w:val="00E85474"/>
    <w:rsid w:val="00E863B4"/>
    <w:rsid w:val="00EC73EC"/>
    <w:rsid w:val="00EE6488"/>
    <w:rsid w:val="00EE6BC8"/>
    <w:rsid w:val="00EF47D7"/>
    <w:rsid w:val="00F00C61"/>
    <w:rsid w:val="00F021FA"/>
    <w:rsid w:val="00F03E36"/>
    <w:rsid w:val="00F04C39"/>
    <w:rsid w:val="00F135C7"/>
    <w:rsid w:val="00F1542D"/>
    <w:rsid w:val="00F32824"/>
    <w:rsid w:val="00F60863"/>
    <w:rsid w:val="00F62E97"/>
    <w:rsid w:val="00F64209"/>
    <w:rsid w:val="00F70083"/>
    <w:rsid w:val="00F738BD"/>
    <w:rsid w:val="00F93BF5"/>
    <w:rsid w:val="00FC0289"/>
    <w:rsid w:val="00FE360C"/>
    <w:rsid w:val="00FE5A80"/>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40"/>
    <w:pPr>
      <w:widowControl w:val="0"/>
    </w:pPr>
    <w:rPr>
      <w:snapToGrid w:val="0"/>
      <w:kern w:val="28"/>
      <w:sz w:val="22"/>
    </w:rPr>
  </w:style>
  <w:style w:type="paragraph" w:styleId="Heading1">
    <w:name w:val="heading 1"/>
    <w:basedOn w:val="Normal"/>
    <w:next w:val="ParaNum"/>
    <w:qFormat/>
    <w:rsid w:val="00C7324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73240"/>
    <w:pPr>
      <w:keepNext/>
      <w:numPr>
        <w:ilvl w:val="1"/>
        <w:numId w:val="3"/>
      </w:numPr>
      <w:spacing w:after="120"/>
      <w:outlineLvl w:val="1"/>
    </w:pPr>
    <w:rPr>
      <w:b/>
    </w:rPr>
  </w:style>
  <w:style w:type="paragraph" w:styleId="Heading3">
    <w:name w:val="heading 3"/>
    <w:basedOn w:val="Normal"/>
    <w:next w:val="ParaNum"/>
    <w:qFormat/>
    <w:rsid w:val="00C73240"/>
    <w:pPr>
      <w:keepNext/>
      <w:numPr>
        <w:ilvl w:val="2"/>
        <w:numId w:val="3"/>
      </w:numPr>
      <w:tabs>
        <w:tab w:val="left" w:pos="2160"/>
      </w:tabs>
      <w:spacing w:after="120"/>
      <w:outlineLvl w:val="2"/>
    </w:pPr>
    <w:rPr>
      <w:b/>
    </w:rPr>
  </w:style>
  <w:style w:type="paragraph" w:styleId="Heading4">
    <w:name w:val="heading 4"/>
    <w:basedOn w:val="Normal"/>
    <w:next w:val="ParaNum"/>
    <w:qFormat/>
    <w:rsid w:val="00C73240"/>
    <w:pPr>
      <w:keepNext/>
      <w:numPr>
        <w:ilvl w:val="3"/>
        <w:numId w:val="3"/>
      </w:numPr>
      <w:tabs>
        <w:tab w:val="left" w:pos="2880"/>
      </w:tabs>
      <w:spacing w:after="120"/>
      <w:outlineLvl w:val="3"/>
    </w:pPr>
    <w:rPr>
      <w:b/>
    </w:rPr>
  </w:style>
  <w:style w:type="paragraph" w:styleId="Heading5">
    <w:name w:val="heading 5"/>
    <w:basedOn w:val="Normal"/>
    <w:next w:val="ParaNum"/>
    <w:qFormat/>
    <w:rsid w:val="00C7324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73240"/>
    <w:pPr>
      <w:numPr>
        <w:ilvl w:val="5"/>
        <w:numId w:val="3"/>
      </w:numPr>
      <w:tabs>
        <w:tab w:val="left" w:pos="4320"/>
      </w:tabs>
      <w:spacing w:after="120"/>
      <w:outlineLvl w:val="5"/>
    </w:pPr>
    <w:rPr>
      <w:b/>
    </w:rPr>
  </w:style>
  <w:style w:type="paragraph" w:styleId="Heading7">
    <w:name w:val="heading 7"/>
    <w:basedOn w:val="Normal"/>
    <w:next w:val="ParaNum"/>
    <w:qFormat/>
    <w:rsid w:val="00C7324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7324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7324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32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3240"/>
  </w:style>
  <w:style w:type="paragraph" w:customStyle="1" w:styleId="ParaNum">
    <w:name w:val="ParaNum"/>
    <w:basedOn w:val="Normal"/>
    <w:link w:val="ParaNumChar"/>
    <w:rsid w:val="00C73240"/>
    <w:pPr>
      <w:numPr>
        <w:numId w:val="2"/>
      </w:numPr>
      <w:tabs>
        <w:tab w:val="clear" w:pos="1080"/>
        <w:tab w:val="num" w:pos="1440"/>
      </w:tabs>
      <w:spacing w:after="120"/>
    </w:pPr>
  </w:style>
  <w:style w:type="paragraph" w:styleId="EndnoteText">
    <w:name w:val="endnote text"/>
    <w:basedOn w:val="Normal"/>
    <w:semiHidden/>
    <w:rsid w:val="00C73240"/>
    <w:rPr>
      <w:sz w:val="20"/>
    </w:rPr>
  </w:style>
  <w:style w:type="character" w:styleId="EndnoteReference">
    <w:name w:val="endnote reference"/>
    <w:semiHidden/>
    <w:rsid w:val="00C73240"/>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C7324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73240"/>
    <w:rPr>
      <w:rFonts w:ascii="Times New Roman" w:hAnsi="Times New Roman"/>
      <w:dstrike w:val="0"/>
      <w:color w:val="auto"/>
      <w:sz w:val="20"/>
      <w:vertAlign w:val="superscript"/>
    </w:rPr>
  </w:style>
  <w:style w:type="paragraph" w:styleId="TOC1">
    <w:name w:val="toc 1"/>
    <w:basedOn w:val="Normal"/>
    <w:next w:val="Normal"/>
    <w:semiHidden/>
    <w:rsid w:val="00C7324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3240"/>
    <w:pPr>
      <w:tabs>
        <w:tab w:val="left" w:pos="720"/>
        <w:tab w:val="right" w:leader="dot" w:pos="9360"/>
      </w:tabs>
      <w:suppressAutoHyphens/>
      <w:ind w:left="720" w:right="720" w:hanging="360"/>
    </w:pPr>
    <w:rPr>
      <w:noProof/>
    </w:rPr>
  </w:style>
  <w:style w:type="paragraph" w:styleId="TOC3">
    <w:name w:val="toc 3"/>
    <w:basedOn w:val="Normal"/>
    <w:next w:val="Normal"/>
    <w:semiHidden/>
    <w:rsid w:val="00C7324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324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324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324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324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324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324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3240"/>
    <w:pPr>
      <w:tabs>
        <w:tab w:val="right" w:pos="9360"/>
      </w:tabs>
      <w:suppressAutoHyphens/>
    </w:pPr>
  </w:style>
  <w:style w:type="character" w:customStyle="1" w:styleId="EquationCaption">
    <w:name w:val="_Equation Caption"/>
    <w:rsid w:val="00C73240"/>
  </w:style>
  <w:style w:type="paragraph" w:styleId="Header">
    <w:name w:val="header"/>
    <w:basedOn w:val="Normal"/>
    <w:autoRedefine/>
    <w:rsid w:val="00C73240"/>
    <w:pPr>
      <w:tabs>
        <w:tab w:val="center" w:pos="4680"/>
        <w:tab w:val="right" w:pos="9360"/>
      </w:tabs>
    </w:pPr>
    <w:rPr>
      <w:b/>
    </w:rPr>
  </w:style>
  <w:style w:type="paragraph" w:styleId="Footer">
    <w:name w:val="footer"/>
    <w:basedOn w:val="Normal"/>
    <w:link w:val="FooterChar"/>
    <w:uiPriority w:val="99"/>
    <w:rsid w:val="00C73240"/>
    <w:pPr>
      <w:tabs>
        <w:tab w:val="center" w:pos="4320"/>
        <w:tab w:val="right" w:pos="8640"/>
      </w:tabs>
    </w:pPr>
  </w:style>
  <w:style w:type="character" w:styleId="PageNumber">
    <w:name w:val="page number"/>
    <w:basedOn w:val="DefaultParagraphFont"/>
    <w:rsid w:val="00C73240"/>
  </w:style>
  <w:style w:type="paragraph" w:styleId="BlockText">
    <w:name w:val="Block Text"/>
    <w:basedOn w:val="Normal"/>
    <w:rsid w:val="00C73240"/>
    <w:pPr>
      <w:spacing w:after="240"/>
      <w:ind w:left="1440" w:right="1440"/>
    </w:pPr>
  </w:style>
  <w:style w:type="paragraph" w:customStyle="1" w:styleId="Paratitle">
    <w:name w:val="Para title"/>
    <w:basedOn w:val="Normal"/>
    <w:rsid w:val="00C73240"/>
    <w:pPr>
      <w:tabs>
        <w:tab w:val="center" w:pos="9270"/>
      </w:tabs>
      <w:spacing w:after="240"/>
    </w:pPr>
    <w:rPr>
      <w:spacing w:val="-2"/>
    </w:rPr>
  </w:style>
  <w:style w:type="paragraph" w:customStyle="1" w:styleId="Bullet">
    <w:name w:val="Bullet"/>
    <w:basedOn w:val="Normal"/>
    <w:rsid w:val="00C73240"/>
    <w:pPr>
      <w:tabs>
        <w:tab w:val="left" w:pos="2160"/>
      </w:tabs>
      <w:spacing w:after="220"/>
      <w:ind w:left="2160" w:hanging="720"/>
    </w:pPr>
  </w:style>
  <w:style w:type="paragraph" w:customStyle="1" w:styleId="TableFormat">
    <w:name w:val="TableFormat"/>
    <w:basedOn w:val="Bullet"/>
    <w:rsid w:val="00C73240"/>
    <w:pPr>
      <w:tabs>
        <w:tab w:val="clear" w:pos="2160"/>
        <w:tab w:val="left" w:pos="5040"/>
      </w:tabs>
      <w:ind w:left="5040" w:hanging="3600"/>
    </w:pPr>
  </w:style>
  <w:style w:type="paragraph" w:customStyle="1" w:styleId="TOCTitle">
    <w:name w:val="TOC Title"/>
    <w:basedOn w:val="Normal"/>
    <w:rsid w:val="00C7324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3240"/>
    <w:pPr>
      <w:jc w:val="center"/>
    </w:pPr>
    <w:rPr>
      <w:rFonts w:ascii="Times New Roman Bold" w:hAnsi="Times New Roman Bold"/>
      <w:b/>
      <w:bCs/>
      <w:caps/>
      <w:szCs w:val="22"/>
    </w:rPr>
  </w:style>
  <w:style w:type="character" w:styleId="Hyperlink">
    <w:name w:val="Hyperlink"/>
    <w:rsid w:val="00C73240"/>
    <w:rPr>
      <w:color w:val="0000FF"/>
      <w:u w:val="single"/>
    </w:rPr>
  </w:style>
  <w:style w:type="character" w:customStyle="1" w:styleId="FooterChar">
    <w:name w:val="Footer Char"/>
    <w:link w:val="Footer"/>
    <w:uiPriority w:val="99"/>
    <w:rsid w:val="00C73240"/>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