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RPr="00E3186C" w:rsidP="00C82B6B" w14:paraId="1C53D18C" w14:textId="77777777">
      <w:pPr>
        <w:jc w:val="right"/>
        <w:rPr>
          <w:szCs w:val="22"/>
        </w:rPr>
      </w:pPr>
    </w:p>
    <w:p w:rsidR="006D1C17" w:rsidRPr="00E3186C" w:rsidP="006D1C17" w14:paraId="569AB9FB" w14:textId="0EA84A98">
      <w:pPr>
        <w:jc w:val="right"/>
        <w:rPr>
          <w:b/>
          <w:szCs w:val="22"/>
        </w:rPr>
      </w:pPr>
      <w:bookmarkStart w:id="0" w:name="TOChere"/>
      <w:r w:rsidRPr="00E3186C">
        <w:rPr>
          <w:b/>
          <w:szCs w:val="22"/>
        </w:rPr>
        <w:t>DA 2</w:t>
      </w:r>
      <w:r w:rsidRPr="00E3186C" w:rsidR="00FD66D5">
        <w:rPr>
          <w:b/>
          <w:szCs w:val="22"/>
        </w:rPr>
        <w:t>1</w:t>
      </w:r>
      <w:r w:rsidRPr="00E3186C">
        <w:rPr>
          <w:b/>
          <w:szCs w:val="22"/>
        </w:rPr>
        <w:t>-</w:t>
      </w:r>
      <w:r w:rsidR="00721098">
        <w:rPr>
          <w:b/>
          <w:szCs w:val="22"/>
        </w:rPr>
        <w:t>309</w:t>
      </w:r>
    </w:p>
    <w:p w:rsidR="006D1C17" w:rsidRPr="00E3186C" w:rsidP="006D1C17" w14:paraId="08DDAF06" w14:textId="77777777">
      <w:pPr>
        <w:spacing w:before="60"/>
        <w:jc w:val="right"/>
        <w:rPr>
          <w:b/>
          <w:szCs w:val="22"/>
        </w:rPr>
      </w:pPr>
      <w:r w:rsidRPr="00E3186C">
        <w:rPr>
          <w:b/>
          <w:szCs w:val="22"/>
        </w:rPr>
        <w:t xml:space="preserve">Released:  </w:t>
      </w:r>
      <w:r w:rsidRPr="00587212" w:rsidR="00FD66D5">
        <w:rPr>
          <w:b/>
          <w:szCs w:val="22"/>
        </w:rPr>
        <w:t>March 12, 2021</w:t>
      </w:r>
    </w:p>
    <w:p w:rsidR="006D1C17" w:rsidRPr="00E3186C" w:rsidP="006D1C17" w14:paraId="3B902EAE" w14:textId="77777777">
      <w:pPr>
        <w:jc w:val="right"/>
        <w:rPr>
          <w:szCs w:val="22"/>
        </w:rPr>
      </w:pPr>
    </w:p>
    <w:p w:rsidR="006D1C17" w:rsidRPr="00E3186C" w:rsidP="006D1C17" w14:paraId="255B9737" w14:textId="6D8E1BC2">
      <w:pPr>
        <w:jc w:val="center"/>
        <w:rPr>
          <w:rFonts w:ascii="Times New Roman Bold" w:hAnsi="Times New Roman Bold"/>
          <w:b/>
          <w:caps/>
          <w:szCs w:val="22"/>
        </w:rPr>
      </w:pPr>
      <w:r w:rsidRPr="00E3186C">
        <w:rPr>
          <w:rFonts w:ascii="Times New Roman Bold" w:hAnsi="Times New Roman Bold"/>
          <w:b/>
          <w:caps/>
          <w:szCs w:val="22"/>
        </w:rPr>
        <w:t xml:space="preserve">public safety and homeland security BUREAU </w:t>
      </w:r>
      <w:r w:rsidR="00757DB2">
        <w:rPr>
          <w:rFonts w:ascii="Times New Roman Bold" w:hAnsi="Times New Roman Bold"/>
          <w:b/>
          <w:caps/>
          <w:szCs w:val="22"/>
        </w:rPr>
        <w:t>announces publication of the list of</w:t>
      </w:r>
      <w:r w:rsidR="00CD3AB7">
        <w:rPr>
          <w:rFonts w:ascii="Times New Roman Bold" w:hAnsi="Times New Roman Bold"/>
          <w:b/>
          <w:caps/>
          <w:szCs w:val="22"/>
        </w:rPr>
        <w:t xml:space="preserve"> equipment and services</w:t>
      </w:r>
      <w:r w:rsidR="00757DB2">
        <w:rPr>
          <w:rFonts w:ascii="Times New Roman Bold" w:hAnsi="Times New Roman Bold"/>
          <w:b/>
          <w:caps/>
          <w:szCs w:val="22"/>
        </w:rPr>
        <w:t xml:space="preserve"> covered by section 2 of the secure networks act</w:t>
      </w:r>
    </w:p>
    <w:p w:rsidR="006D1C17" w:rsidRPr="00E3186C" w:rsidP="006D1C17" w14:paraId="45C4CFD4" w14:textId="77777777">
      <w:pPr>
        <w:jc w:val="center"/>
        <w:rPr>
          <w:rFonts w:ascii="Times New Roman Bold" w:hAnsi="Times New Roman Bold"/>
          <w:b/>
          <w:caps/>
          <w:szCs w:val="22"/>
        </w:rPr>
      </w:pPr>
    </w:p>
    <w:p w:rsidR="006D1C17" w:rsidRPr="00E3186C" w:rsidP="006D1C17" w14:paraId="2A65D05C" w14:textId="77777777">
      <w:pPr>
        <w:jc w:val="center"/>
        <w:rPr>
          <w:b/>
        </w:rPr>
      </w:pPr>
      <w:r w:rsidRPr="00C9125B">
        <w:rPr>
          <w:b/>
          <w:bCs/>
        </w:rPr>
        <w:t>WC</w:t>
      </w:r>
      <w:r w:rsidRPr="00C9125B">
        <w:rPr>
          <w:b/>
        </w:rPr>
        <w:t xml:space="preserve"> Docket No. </w:t>
      </w:r>
      <w:r w:rsidRPr="00C9125B" w:rsidR="771FCD04">
        <w:rPr>
          <w:b/>
          <w:bCs/>
        </w:rPr>
        <w:t>18-89</w:t>
      </w:r>
    </w:p>
    <w:p w:rsidR="006D1C17" w:rsidRPr="00E3186C" w:rsidP="006D1C17" w14:paraId="1EF712D2" w14:textId="77777777">
      <w:pPr>
        <w:jc w:val="center"/>
        <w:rPr>
          <w:b/>
          <w:szCs w:val="22"/>
        </w:rPr>
      </w:pPr>
    </w:p>
    <w:p w:rsidR="00B77AE1" w:rsidRPr="00AD62BF" w:rsidP="008B1B6B" w14:paraId="0799BB03" w14:textId="2FD10FF2">
      <w:pPr>
        <w:pStyle w:val="ParaNum"/>
        <w:numPr>
          <w:ilvl w:val="0"/>
          <w:numId w:val="0"/>
        </w:numPr>
        <w:ind w:firstLine="720"/>
      </w:pPr>
      <w:r w:rsidRPr="271648C2">
        <w:t xml:space="preserve">Pursuant to </w:t>
      </w:r>
      <w:r w:rsidR="003437FC">
        <w:t>s</w:t>
      </w:r>
      <w:r w:rsidRPr="271648C2">
        <w:t xml:space="preserve">ection 2(a) of the Secure and Trusted Communications Networks Act of 2019 </w:t>
      </w:r>
      <w:r w:rsidR="3679D128">
        <w:t>(Secure Networks Act)</w:t>
      </w:r>
      <w:r w:rsidR="004C42D7">
        <w:t>,</w:t>
      </w:r>
      <w:r>
        <w:rPr>
          <w:rStyle w:val="FootnoteReference"/>
        </w:rPr>
        <w:footnoteReference w:id="3"/>
      </w:r>
      <w:r w:rsidRPr="271648C2">
        <w:t xml:space="preserve"> </w:t>
      </w:r>
      <w:r w:rsidRPr="271648C2" w:rsidR="00342F26">
        <w:t>and section 1.50002 of the Commission’s rules</w:t>
      </w:r>
      <w:r w:rsidR="00342F26">
        <w:rPr>
          <w:szCs w:val="22"/>
        </w:rPr>
        <w:t>,</w:t>
      </w:r>
      <w:r>
        <w:rPr>
          <w:rStyle w:val="FootnoteReference"/>
        </w:rPr>
        <w:footnoteReference w:id="4"/>
      </w:r>
      <w:r w:rsidR="00342F26">
        <w:rPr>
          <w:szCs w:val="22"/>
        </w:rPr>
        <w:t xml:space="preserve"> </w:t>
      </w:r>
      <w:r w:rsidRPr="271648C2">
        <w:t xml:space="preserve">the Federal Communications Commission’s Public Safety and Homeland Security Bureau (Bureau) announces the </w:t>
      </w:r>
      <w:r w:rsidR="008260E9">
        <w:t xml:space="preserve">publication </w:t>
      </w:r>
      <w:r w:rsidRPr="271648C2">
        <w:t>of a list of communications equipment and services</w:t>
      </w:r>
      <w:r>
        <w:t xml:space="preserve"> </w:t>
      </w:r>
      <w:r w:rsidR="000602BE">
        <w:t>(Covered List)</w:t>
      </w:r>
      <w:r w:rsidRPr="271648C2">
        <w:t xml:space="preserve"> that </w:t>
      </w:r>
      <w:r w:rsidR="00322932">
        <w:t>are</w:t>
      </w:r>
      <w:r w:rsidRPr="271648C2">
        <w:t xml:space="preserve"> deemed to pose an unacceptable risk to the national security of the United States</w:t>
      </w:r>
      <w:r w:rsidR="006D5C84">
        <w:t xml:space="preserve"> or the security and safety of United States persons</w:t>
      </w:r>
      <w:r w:rsidR="008B1B6B">
        <w:t xml:space="preserve">. </w:t>
      </w:r>
      <w:r w:rsidR="003437FC">
        <w:t xml:space="preserve"> </w:t>
      </w:r>
      <w:r w:rsidRPr="41E9C31D" w:rsidR="008B1B6B">
        <w:t>Along with the release of this Public Notice, the Commission will publi</w:t>
      </w:r>
      <w:r w:rsidR="008B1B6B">
        <w:t>sh</w:t>
      </w:r>
      <w:r w:rsidRPr="41E9C31D" w:rsidR="008B1B6B">
        <w:t xml:space="preserve"> t</w:t>
      </w:r>
      <w:r w:rsidR="008B1B6B">
        <w:t>he</w:t>
      </w:r>
      <w:r w:rsidRPr="41E9C31D" w:rsidR="008B1B6B">
        <w:t xml:space="preserve"> Covered List</w:t>
      </w:r>
      <w:r w:rsidR="008B1B6B">
        <w:t>, reproduced in the Appendix to this Public Notice,</w:t>
      </w:r>
      <w:r w:rsidRPr="41E9C31D" w:rsidR="008B1B6B">
        <w:t xml:space="preserve"> on its website</w:t>
      </w:r>
      <w:r w:rsidR="008B1B6B">
        <w:t xml:space="preserve"> at</w:t>
      </w:r>
      <w:r w:rsidR="00D5048B">
        <w:t xml:space="preserve"> </w:t>
      </w:r>
      <w:hyperlink r:id="rId5" w:history="1">
        <w:r w:rsidRPr="002D56B7" w:rsidR="002D56B7">
          <w:rPr>
            <w:rStyle w:val="Hyperlink"/>
          </w:rPr>
          <w:t>www.fcc.gov/</w:t>
        </w:r>
        <w:r w:rsidRPr="004926F2" w:rsidR="002D56B7">
          <w:rPr>
            <w:rStyle w:val="Hyperlink"/>
          </w:rPr>
          <w:t>supplychain/coveredlist</w:t>
        </w:r>
      </w:hyperlink>
      <w:r w:rsidR="00D5048B">
        <w:t xml:space="preserve">.  </w:t>
      </w:r>
      <w:r w:rsidR="00DF336C">
        <w:t>S</w:t>
      </w:r>
      <w:r w:rsidRPr="41E9C31D" w:rsidR="006B3637">
        <w:t>ection 2(a) of the Secure Networks Act directs the Commission to publish</w:t>
      </w:r>
      <w:r w:rsidR="008B1B6B">
        <w:t xml:space="preserve"> this Covered List</w:t>
      </w:r>
      <w:r w:rsidR="006D5C84">
        <w:t xml:space="preserve"> on its website</w:t>
      </w:r>
      <w:r w:rsidRPr="41E9C31D" w:rsidR="006B3637">
        <w:t xml:space="preserve"> </w:t>
      </w:r>
      <w:r w:rsidR="000F7869">
        <w:t>by</w:t>
      </w:r>
      <w:r w:rsidRPr="41E9C31D" w:rsidR="006B3637">
        <w:t xml:space="preserve"> March 12, 2021</w:t>
      </w:r>
      <w:r w:rsidR="008B1B6B">
        <w:t>.</w:t>
      </w:r>
      <w:r>
        <w:rPr>
          <w:vertAlign w:val="superscript"/>
        </w:rPr>
        <w:footnoteReference w:id="5"/>
      </w:r>
    </w:p>
    <w:p w:rsidR="004A1280" w:rsidP="0025580E" w14:paraId="2FA828D3" w14:textId="0263432D">
      <w:pPr>
        <w:pStyle w:val="ParaNum"/>
        <w:numPr>
          <w:ilvl w:val="0"/>
          <w:numId w:val="0"/>
        </w:numPr>
        <w:ind w:firstLine="720"/>
      </w:pPr>
      <w:r>
        <w:t>T</w:t>
      </w:r>
      <w:r w:rsidR="00AD4B6C">
        <w:t>he Secure Networks Act became law</w:t>
      </w:r>
      <w:r>
        <w:t xml:space="preserve"> in March 2020</w:t>
      </w:r>
      <w:r w:rsidR="00AD4B6C">
        <w:t>.</w:t>
      </w:r>
      <w:r w:rsidR="00C94174">
        <w:t xml:space="preserve">  </w:t>
      </w:r>
      <w:r w:rsidR="00FB225F">
        <w:t>Among other things, t</w:t>
      </w:r>
      <w:r w:rsidR="00326C84">
        <w:t xml:space="preserve">he </w:t>
      </w:r>
      <w:r w:rsidR="00D11438">
        <w:t>Secure Networks Act establishe</w:t>
      </w:r>
      <w:r w:rsidR="008B252B">
        <w:t>d</w:t>
      </w:r>
      <w:r w:rsidR="00D11438">
        <w:t xml:space="preserve"> a process to prohibit</w:t>
      </w:r>
      <w:r w:rsidR="00D92AA4">
        <w:t xml:space="preserve"> the use of</w:t>
      </w:r>
      <w:r w:rsidR="00D11438">
        <w:t xml:space="preserve"> federal subsidies to </w:t>
      </w:r>
      <w:r w:rsidR="00FB225F">
        <w:t xml:space="preserve">purchase equipment or services </w:t>
      </w:r>
      <w:r w:rsidR="00A44990">
        <w:t>deemed</w:t>
      </w:r>
      <w:r w:rsidR="007939CE">
        <w:t xml:space="preserve"> to</w:t>
      </w:r>
      <w:r w:rsidR="00FB225F">
        <w:t xml:space="preserve"> pose national security risks, as well as a reimbursement program</w:t>
      </w:r>
      <w:r w:rsidR="00BB17C7">
        <w:t xml:space="preserve"> that provided for the replacement of communications equipment or services that posed such risks.</w:t>
      </w:r>
      <w:r w:rsidR="004112B9">
        <w:t xml:space="preserve">  The </w:t>
      </w:r>
      <w:r w:rsidR="00253E26">
        <w:t xml:space="preserve">Commission </w:t>
      </w:r>
      <w:r w:rsidR="000B1C03">
        <w:t xml:space="preserve">has </w:t>
      </w:r>
      <w:r w:rsidR="00253E26">
        <w:t>implemented the requirements of the Secure Networks Act in a series of recent orders.</w:t>
      </w:r>
      <w:r>
        <w:rPr>
          <w:rStyle w:val="FootnoteReference"/>
        </w:rPr>
        <w:footnoteReference w:id="6"/>
      </w:r>
      <w:r w:rsidR="00BB17C7">
        <w:t xml:space="preserve">  </w:t>
      </w:r>
      <w:r w:rsidRPr="00A1783E" w:rsidR="00C36271">
        <w:t>Section</w:t>
      </w:r>
      <w:r w:rsidR="00A70359">
        <w:t>s</w:t>
      </w:r>
      <w:r w:rsidRPr="00A1783E" w:rsidR="00C36271">
        <w:t xml:space="preserve"> 2</w:t>
      </w:r>
      <w:r w:rsidR="00A70359">
        <w:t xml:space="preserve">(b) and </w:t>
      </w:r>
      <w:r w:rsidRPr="00A1783E" w:rsidR="00C36271">
        <w:t>(c) of the Secure Networks Act</w:t>
      </w:r>
      <w:r w:rsidR="002A785A">
        <w:t xml:space="preserve"> requires that the Commission place </w:t>
      </w:r>
      <w:r w:rsidRPr="00A1783E" w:rsidR="00C36271">
        <w:t>on the Covered List “any communications equipment or service that poses an unacceptable risk to the national security of the United States or the security and safety of United States persons</w:t>
      </w:r>
      <w:r w:rsidR="0020456A">
        <w:t>” based</w:t>
      </w:r>
      <w:r w:rsidR="00E13E60">
        <w:t xml:space="preserve"> exclusively on any of</w:t>
      </w:r>
      <w:r w:rsidR="0020456A">
        <w:t xml:space="preserve"> four </w:t>
      </w:r>
      <w:r w:rsidR="00E13E60">
        <w:t xml:space="preserve">sources for such a </w:t>
      </w:r>
      <w:r w:rsidR="0020456A">
        <w:t xml:space="preserve">determination </w:t>
      </w:r>
      <w:r w:rsidR="00462A17">
        <w:t xml:space="preserve">and that such equipment or services possess certain capabilities as </w:t>
      </w:r>
      <w:r w:rsidR="0020456A">
        <w:t>enumerated in the statute.</w:t>
      </w:r>
      <w:r>
        <w:rPr>
          <w:vertAlign w:val="superscript"/>
        </w:rPr>
        <w:footnoteReference w:id="7"/>
      </w:r>
    </w:p>
    <w:p w:rsidR="00440C3F" w:rsidP="00FE326A" w14:paraId="6132EC1C" w14:textId="311D1704">
      <w:pPr>
        <w:pStyle w:val="ParaNum"/>
        <w:numPr>
          <w:ilvl w:val="0"/>
          <w:numId w:val="0"/>
        </w:numPr>
        <w:ind w:firstLine="720"/>
      </w:pPr>
      <w:r>
        <w:t>T</w:t>
      </w:r>
      <w:r w:rsidR="002700B1">
        <w:rPr>
          <w:szCs w:val="22"/>
        </w:rPr>
        <w:t xml:space="preserve">he </w:t>
      </w:r>
      <w:r w:rsidR="002700B1">
        <w:rPr>
          <w:i/>
          <w:iCs/>
          <w:szCs w:val="22"/>
        </w:rPr>
        <w:t xml:space="preserve">Supply Chain Second Report and Order </w:t>
      </w:r>
      <w:r w:rsidR="002700B1">
        <w:rPr>
          <w:szCs w:val="22"/>
        </w:rPr>
        <w:t xml:space="preserve">adopted rules governing the publication of the Covered List </w:t>
      </w:r>
      <w:r w:rsidR="00F8483C">
        <w:rPr>
          <w:szCs w:val="22"/>
        </w:rPr>
        <w:t>and</w:t>
      </w:r>
      <w:r w:rsidR="002700B1">
        <w:rPr>
          <w:szCs w:val="22"/>
        </w:rPr>
        <w:t xml:space="preserve"> tasked the Bureau with both publishing and maintaining </w:t>
      </w:r>
      <w:r w:rsidR="00AB22BD">
        <w:rPr>
          <w:szCs w:val="22"/>
        </w:rPr>
        <w:t>it</w:t>
      </w:r>
      <w:r w:rsidR="002700B1">
        <w:rPr>
          <w:szCs w:val="22"/>
        </w:rPr>
        <w:t xml:space="preserve"> on the Commission’s website in accordance with the Commission’s rules.</w:t>
      </w:r>
      <w:r>
        <w:rPr>
          <w:rStyle w:val="FootnoteReference"/>
          <w:szCs w:val="22"/>
        </w:rPr>
        <w:footnoteReference w:id="8"/>
      </w:r>
      <w:r w:rsidR="00594DB3">
        <w:t xml:space="preserve">  These rules </w:t>
      </w:r>
      <w:r w:rsidR="00F8483C">
        <w:t xml:space="preserve">contain criteria </w:t>
      </w:r>
      <w:r w:rsidR="00AD61D0">
        <w:t xml:space="preserve">for inclusion on the </w:t>
      </w:r>
      <w:r w:rsidR="00524206">
        <w:t>Covered List</w:t>
      </w:r>
      <w:r w:rsidR="00AD61D0">
        <w:t>.</w:t>
      </w:r>
      <w:r>
        <w:rPr>
          <w:rStyle w:val="FootnoteReference"/>
        </w:rPr>
        <w:footnoteReference w:id="9"/>
      </w:r>
      <w:r w:rsidR="00245546">
        <w:t xml:space="preserve">  </w:t>
      </w:r>
      <w:r w:rsidR="004926D7">
        <w:t>Further, t</w:t>
      </w:r>
      <w:r w:rsidR="00432A42">
        <w:t>he Commission</w:t>
      </w:r>
      <w:r w:rsidR="004926D7">
        <w:t xml:space="preserve"> specifically</w:t>
      </w:r>
      <w:r w:rsidR="00432A42">
        <w:t xml:space="preserve"> found that the Secure Networks Act’s mandate to include telecommunications equipment and services defined in section 889(f)(3) of the</w:t>
      </w:r>
      <w:r w:rsidR="00FC55CC">
        <w:t xml:space="preserve"> John S. McCain</w:t>
      </w:r>
      <w:r w:rsidR="00FE326A">
        <w:t xml:space="preserve"> National Defense Authorization Act for Fiscal Year 2019</w:t>
      </w:r>
      <w:r>
        <w:rPr>
          <w:rStyle w:val="FootnoteReference"/>
        </w:rPr>
        <w:footnoteReference w:id="10"/>
      </w:r>
      <w:r w:rsidR="00FE326A">
        <w:t xml:space="preserve"> </w:t>
      </w:r>
      <w:r w:rsidR="00432A42">
        <w:t>required the inclusion of the following services and equipment on the Covered List:  (1)</w:t>
      </w:r>
      <w:r w:rsidRPr="00A1783E" w:rsidR="00432A42">
        <w:t xml:space="preserve"> “telecommunications equipment produced or provided by Huawei </w:t>
      </w:r>
      <w:r w:rsidR="00326CC7">
        <w:t xml:space="preserve">[Technologies Company] </w:t>
      </w:r>
      <w:r w:rsidRPr="00A1783E" w:rsidR="00432A42">
        <w:t>or ZTE</w:t>
      </w:r>
      <w:r w:rsidR="00326CC7">
        <w:t xml:space="preserve"> [Corporation]</w:t>
      </w:r>
      <w:r w:rsidRPr="00A1783E" w:rsidR="00432A42">
        <w:t xml:space="preserve"> capable of the functions outlined in sections 2(b)(2)(A), (B), or (C) of the Secure Networks Act</w:t>
      </w:r>
      <w:r w:rsidR="00432A42">
        <w:t>”;</w:t>
      </w:r>
      <w:r>
        <w:rPr>
          <w:rStyle w:val="FootnoteReference"/>
        </w:rPr>
        <w:footnoteReference w:id="11"/>
      </w:r>
      <w:r w:rsidR="00432A42">
        <w:t xml:space="preserve"> and (2) </w:t>
      </w:r>
      <w:r w:rsidRPr="00A1783E" w:rsidR="00432A42">
        <w:t>video surveillance and telecommunications equipment produced by Hytera</w:t>
      </w:r>
      <w:r w:rsidR="00AE2EB4">
        <w:t xml:space="preserve"> </w:t>
      </w:r>
      <w:r w:rsidRPr="00A1783E" w:rsidR="004C0625">
        <w:t>Communications Corporation</w:t>
      </w:r>
      <w:r w:rsidRPr="00A1783E" w:rsidR="00432A42">
        <w:t xml:space="preserve">, </w:t>
      </w:r>
      <w:r w:rsidRPr="00A1783E" w:rsidR="004C0625">
        <w:t>Hangzhou</w:t>
      </w:r>
      <w:r w:rsidRPr="00A1783E" w:rsidR="00432A42">
        <w:t xml:space="preserve"> Hikvision</w:t>
      </w:r>
      <w:r w:rsidRPr="00A1783E" w:rsidR="004C0625">
        <w:t xml:space="preserve"> Digital Technology Compan</w:t>
      </w:r>
      <w:r w:rsidR="00533791">
        <w:t>y</w:t>
      </w:r>
      <w:r w:rsidRPr="00A1783E" w:rsidR="00432A42">
        <w:t xml:space="preserve">, and Dahua </w:t>
      </w:r>
      <w:r w:rsidRPr="00A1783E" w:rsidR="004C0625">
        <w:t>Technology Company</w:t>
      </w:r>
      <w:r w:rsidRPr="00A1783E" w:rsidR="00432A42">
        <w:t xml:space="preserve"> </w:t>
      </w:r>
      <w:r w:rsidR="00432A42">
        <w:t>“</w:t>
      </w:r>
      <w:r w:rsidR="006D5C84">
        <w:t>‘</w:t>
      </w:r>
      <w:r w:rsidRPr="00A1783E" w:rsidR="006D5C84">
        <w:t xml:space="preserve">to </w:t>
      </w:r>
      <w:r w:rsidRPr="00A1783E" w:rsidR="00432A42">
        <w:t>the extent it is used for public safety or security</w:t>
      </w:r>
      <w:r w:rsidR="00432A42">
        <w:t>,’</w:t>
      </w:r>
      <w:r w:rsidRPr="00A1783E" w:rsidR="00432A42">
        <w:t xml:space="preserve"> capable of the functions outlined in sections 2(b)(2)(A), (B), or (C) of the Secure Networks Act.</w:t>
      </w:r>
      <w:r w:rsidR="00432A42">
        <w:t>”</w:t>
      </w:r>
      <w:r>
        <w:rPr>
          <w:vertAlign w:val="superscript"/>
        </w:rPr>
        <w:footnoteReference w:id="12"/>
      </w:r>
      <w:r w:rsidR="0012028E">
        <w:t xml:space="preserve">  </w:t>
      </w:r>
    </w:p>
    <w:p w:rsidR="003C6537" w:rsidRPr="0025580E" w:rsidP="0025580E" w14:paraId="7998D69E" w14:textId="158823B6">
      <w:pPr>
        <w:pStyle w:val="ParaNum"/>
        <w:numPr>
          <w:ilvl w:val="0"/>
          <w:numId w:val="0"/>
        </w:numPr>
        <w:ind w:firstLine="720"/>
      </w:pPr>
      <w:r>
        <w:rPr>
          <w:szCs w:val="22"/>
        </w:rPr>
        <w:t>In accordance with the discussion above,</w:t>
      </w:r>
      <w:r w:rsidR="00963F3D">
        <w:rPr>
          <w:szCs w:val="22"/>
        </w:rPr>
        <w:t xml:space="preserve"> and consistent with </w:t>
      </w:r>
      <w:r w:rsidR="0054218D">
        <w:rPr>
          <w:szCs w:val="22"/>
        </w:rPr>
        <w:t xml:space="preserve">the </w:t>
      </w:r>
      <w:r w:rsidR="001A2128">
        <w:rPr>
          <w:szCs w:val="22"/>
        </w:rPr>
        <w:t>directive</w:t>
      </w:r>
      <w:r w:rsidR="0054218D">
        <w:rPr>
          <w:szCs w:val="22"/>
        </w:rPr>
        <w:t>s</w:t>
      </w:r>
      <w:r w:rsidR="001A2128">
        <w:rPr>
          <w:szCs w:val="22"/>
        </w:rPr>
        <w:t xml:space="preserve"> of the Secure Networks Act and the Commission’s discussion in the </w:t>
      </w:r>
      <w:r w:rsidR="001A2128">
        <w:rPr>
          <w:i/>
          <w:iCs/>
          <w:szCs w:val="22"/>
        </w:rPr>
        <w:t>Supply Chain Second Report and Order</w:t>
      </w:r>
      <w:r w:rsidR="001A2128">
        <w:rPr>
          <w:szCs w:val="22"/>
        </w:rPr>
        <w:t>,</w:t>
      </w:r>
      <w:r>
        <w:rPr>
          <w:rStyle w:val="FootnoteReference"/>
          <w:szCs w:val="22"/>
        </w:rPr>
        <w:footnoteReference w:id="13"/>
      </w:r>
      <w:r w:rsidRPr="001A2128">
        <w:rPr>
          <w:szCs w:val="22"/>
        </w:rPr>
        <w:t xml:space="preserve"> </w:t>
      </w:r>
      <w:r w:rsidRPr="001A2128" w:rsidR="00194D56">
        <w:rPr>
          <w:szCs w:val="22"/>
        </w:rPr>
        <w:t>the Bureau today announces its publication of a Covered List containing certain equipment or services produced by the following entities</w:t>
      </w:r>
      <w:r w:rsidRPr="001A2128" w:rsidR="00354EEB">
        <w:rPr>
          <w:szCs w:val="22"/>
        </w:rPr>
        <w:t xml:space="preserve">:  (1) Huawei Technologies Company, (2) ZTE Corporation, (3) </w:t>
      </w:r>
      <w:r w:rsidRPr="00A1783E" w:rsidR="00D26227">
        <w:t xml:space="preserve">Hytera Communications Corporation, </w:t>
      </w:r>
      <w:r w:rsidR="00D26227">
        <w:t xml:space="preserve">(4) </w:t>
      </w:r>
      <w:r w:rsidRPr="00A1783E" w:rsidR="00D26227">
        <w:t xml:space="preserve">Hangzhou Hikvision Digital Technology Company, </w:t>
      </w:r>
      <w:r w:rsidR="00D26227">
        <w:t>and (</w:t>
      </w:r>
      <w:r w:rsidR="00F51091">
        <w:t>5</w:t>
      </w:r>
      <w:r w:rsidR="00D26227">
        <w:t>)</w:t>
      </w:r>
      <w:r w:rsidRPr="00A1783E" w:rsidR="00D26227">
        <w:t xml:space="preserve"> Dahua Technology Company</w:t>
      </w:r>
      <w:r w:rsidR="00D26227">
        <w:t>.</w:t>
      </w:r>
      <w:r w:rsidR="00F11F99">
        <w:t xml:space="preserve">  </w:t>
      </w:r>
      <w:r w:rsidR="009C6ECF">
        <w:t xml:space="preserve">The inclusion of these entities on the </w:t>
      </w:r>
      <w:r w:rsidR="003437FC">
        <w:t>C</w:t>
      </w:r>
      <w:r w:rsidR="009C6ECF">
        <w:t xml:space="preserve">overed </w:t>
      </w:r>
      <w:r w:rsidR="003437FC">
        <w:t>L</w:t>
      </w:r>
      <w:r w:rsidR="009C6ECF">
        <w:t xml:space="preserve">ist </w:t>
      </w:r>
      <w:r w:rsidR="00333B4F">
        <w:t xml:space="preserve">extends both to subsidiaries and affiliates of these entities, as well as to </w:t>
      </w:r>
      <w:r w:rsidR="003C6FA1">
        <w:t>“</w:t>
      </w:r>
      <w:r w:rsidR="00333B4F">
        <w:t xml:space="preserve">telecommunications or video </w:t>
      </w:r>
      <w:r w:rsidR="000959B6">
        <w:t xml:space="preserve">surveillance </w:t>
      </w:r>
      <w:r w:rsidR="000A79C3">
        <w:t>services provided by such entities or using such equipment</w:t>
      </w:r>
      <w:r w:rsidR="00946F61">
        <w:t>.</w:t>
      </w:r>
      <w:r w:rsidR="003C6FA1">
        <w:t>”</w:t>
      </w:r>
      <w:r>
        <w:rPr>
          <w:rStyle w:val="FootnoteReference"/>
        </w:rPr>
        <w:footnoteReference w:id="14"/>
      </w:r>
      <w:r w:rsidR="00946F61">
        <w:t xml:space="preserve"> </w:t>
      </w:r>
    </w:p>
    <w:p w:rsidR="00413FD5" w:rsidRPr="00807466" w:rsidP="00EC62F2" w14:paraId="776E738A" w14:textId="22CEB218">
      <w:pPr>
        <w:pStyle w:val="ParaNum"/>
        <w:numPr>
          <w:ilvl w:val="0"/>
          <w:numId w:val="0"/>
        </w:numPr>
        <w:ind w:firstLine="720"/>
      </w:pPr>
      <w:r>
        <w:t>Consistent with the Secure Networks Act and the Commission’s rules, the Bureau wil</w:t>
      </w:r>
      <w:r w:rsidR="00F553AC">
        <w:t xml:space="preserve">l update this list upon </w:t>
      </w:r>
      <w:r w:rsidR="0004782E">
        <w:t xml:space="preserve">becoming aware of any equipment or service that satisfies the criteria established in section 2 of the Secure Networks Act and </w:t>
      </w:r>
      <w:r w:rsidR="005D40ED">
        <w:t>section 1.50002 of the Commission’s rules.</w:t>
      </w:r>
      <w:r w:rsidR="00EC62F2">
        <w:t xml:space="preserve">  </w:t>
      </w:r>
    </w:p>
    <w:p w:rsidR="006D1C17" w:rsidRPr="00E3186C" w:rsidP="006D1C17" w14:paraId="635376FB" w14:textId="1965B209">
      <w:pPr>
        <w:spacing w:after="120"/>
        <w:ind w:firstLine="720"/>
        <w:rPr>
          <w:kern w:val="0"/>
          <w:szCs w:val="22"/>
        </w:rPr>
      </w:pPr>
      <w:r w:rsidRPr="00E3186C">
        <w:rPr>
          <w:szCs w:val="22"/>
        </w:rPr>
        <w:t xml:space="preserve">To request materials in accessible formats (such as Braille, large print, electronic files, or audio format), send an e-mail to: </w:t>
      </w:r>
      <w:hyperlink r:id="rId6" w:history="1">
        <w:r w:rsidRPr="00E3186C">
          <w:rPr>
            <w:rStyle w:val="Hyperlink"/>
            <w:szCs w:val="22"/>
          </w:rPr>
          <w:t>fcc504@fcc.gov</w:t>
        </w:r>
      </w:hyperlink>
      <w:r w:rsidRPr="00E3186C">
        <w:rPr>
          <w:szCs w:val="22"/>
        </w:rPr>
        <w:t>, or call the Consumer and Governmental Affairs Bureau at (202) 418-0530</w:t>
      </w:r>
      <w:r w:rsidR="00AB5DB8">
        <w:rPr>
          <w:szCs w:val="22"/>
        </w:rPr>
        <w:t>.</w:t>
      </w:r>
      <w:r w:rsidRPr="00E3186C">
        <w:rPr>
          <w:szCs w:val="22"/>
        </w:rPr>
        <w:t xml:space="preserve"> </w:t>
      </w:r>
    </w:p>
    <w:p w:rsidR="006C4D6E" w:rsidRPr="00E3186C" w:rsidP="009E4E52" w14:paraId="14087326" w14:textId="709EC32C">
      <w:pPr>
        <w:pStyle w:val="ParaNum"/>
        <w:numPr>
          <w:ilvl w:val="0"/>
          <w:numId w:val="0"/>
        </w:numPr>
        <w:tabs>
          <w:tab w:val="left" w:pos="720"/>
        </w:tabs>
        <w:ind w:firstLine="720"/>
      </w:pPr>
      <w:r>
        <w:t xml:space="preserve">For further information, please contact </w:t>
      </w:r>
      <w:r w:rsidR="009E4E52">
        <w:t>Jeff</w:t>
      </w:r>
      <w:r w:rsidR="008B1B6B">
        <w:t>er</w:t>
      </w:r>
      <w:r w:rsidR="009E4E52">
        <w:t xml:space="preserve">y </w:t>
      </w:r>
      <w:r w:rsidR="009E4E52">
        <w:t>Goldthorp</w:t>
      </w:r>
      <w:r w:rsidR="009E4E52">
        <w:t>, Associate Bureau Chief, Public Safety and Homeland Security Bureau at 202-418-1096 or Jeff</w:t>
      </w:r>
      <w:r w:rsidR="008B1B6B">
        <w:t>er</w:t>
      </w:r>
      <w:r w:rsidR="009E4E52">
        <w:t>y.goldthorp@fcc.gov.</w:t>
      </w:r>
    </w:p>
    <w:p w:rsidR="00F93FC0" w:rsidP="009E4E52" w14:paraId="233624DD" w14:textId="77777777">
      <w:pPr>
        <w:jc w:val="center"/>
        <w:rPr>
          <w:b/>
          <w:szCs w:val="22"/>
        </w:rPr>
      </w:pPr>
      <w:r w:rsidRPr="00E3186C">
        <w:rPr>
          <w:b/>
          <w:szCs w:val="22"/>
        </w:rPr>
        <w:t>–</w:t>
      </w:r>
      <w:r w:rsidRPr="00E3186C" w:rsidR="00C87D99">
        <w:rPr>
          <w:b/>
          <w:szCs w:val="22"/>
        </w:rPr>
        <w:t xml:space="preserve"> FCC –</w:t>
      </w:r>
    </w:p>
    <w:p w:rsidR="009E4E52" w:rsidP="009E4E52" w14:paraId="6F3104A1" w14:textId="77777777">
      <w:pPr>
        <w:jc w:val="center"/>
        <w:rPr>
          <w:b/>
          <w:szCs w:val="22"/>
        </w:rPr>
      </w:pPr>
    </w:p>
    <w:p w:rsidR="00C87D99" w:rsidRPr="00E3186C" w:rsidP="00FA7FC0" w14:paraId="6F17EC21" w14:textId="33884AE2">
      <w:pPr>
        <w:jc w:val="center"/>
        <w:rPr>
          <w:b/>
          <w:bCs/>
          <w:szCs w:val="22"/>
        </w:rPr>
      </w:pPr>
      <w:r>
        <w:rPr>
          <w:b/>
          <w:szCs w:val="22"/>
        </w:rPr>
        <w:br w:type="page"/>
      </w:r>
      <w:r w:rsidRPr="00E3186C">
        <w:rPr>
          <w:b/>
          <w:bCs/>
          <w:szCs w:val="22"/>
        </w:rPr>
        <w:t>APPENDIX</w:t>
      </w:r>
    </w:p>
    <w:p w:rsidR="00C87D99" w:rsidRPr="00E3186C" w:rsidP="00C87D99" w14:paraId="03CAAA99" w14:textId="77777777">
      <w:pPr>
        <w:rPr>
          <w:szCs w:val="22"/>
        </w:rPr>
      </w:pPr>
    </w:p>
    <w:p w:rsidR="006D1C17" w:rsidRPr="00333640" w:rsidP="00333640" w14:paraId="10FF65C2" w14:textId="77777777">
      <w:pPr>
        <w:spacing w:after="120"/>
        <w:jc w:val="center"/>
        <w:rPr>
          <w:rFonts w:eastAsia="Gungsuh"/>
          <w:szCs w:val="22"/>
        </w:rPr>
      </w:pPr>
      <w:r>
        <w:rPr>
          <w:rFonts w:eastAsia="Gungsuh"/>
          <w:szCs w:val="22"/>
        </w:rPr>
        <w:t xml:space="preserve">COVERED LIST (Updated March 12, </w:t>
      </w:r>
      <w:r>
        <w:rPr>
          <w:rFonts w:eastAsia="Gungsuh"/>
          <w:szCs w:val="22"/>
        </w:rPr>
        <w:t>2021)</w:t>
      </w:r>
      <w:r w:rsidR="0017088F">
        <w:rPr>
          <w:rFonts w:eastAsia="Gungsuh"/>
          <w:szCs w:val="22"/>
        </w:rPr>
        <w:t>*</w:t>
      </w:r>
      <w:r w:rsidR="005A310D">
        <w:rPr>
          <w:rFonts w:eastAsia="Gungsuh"/>
          <w:szCs w:val="22"/>
        </w:rPr>
        <w:t>†</w:t>
      </w:r>
    </w:p>
    <w:p w:rsidR="006D1C17" w:rsidRPr="00562AC1" w:rsidP="00562AC1" w14:paraId="30EF8377" w14:textId="77777777">
      <w:pPr>
        <w:jc w:val="center"/>
        <w:rPr>
          <w:b/>
          <w:bCs/>
          <w:szCs w:val="22"/>
        </w:rPr>
      </w:pPr>
    </w:p>
    <w:tbl>
      <w:tblPr>
        <w:tblStyle w:val="TableGrid"/>
        <w:tblW w:w="10350" w:type="dxa"/>
        <w:tblInd w:w="-365" w:type="dxa"/>
        <w:tblLook w:val="04A0"/>
      </w:tblPr>
      <w:tblGrid>
        <w:gridCol w:w="7740"/>
        <w:gridCol w:w="2610"/>
      </w:tblGrid>
      <w:tr w14:paraId="01AD803B" w14:textId="77777777" w:rsidTr="00333640">
        <w:tblPrEx>
          <w:tblW w:w="10350" w:type="dxa"/>
          <w:tblInd w:w="-365" w:type="dxa"/>
          <w:tblLook w:val="04A0"/>
        </w:tblPrEx>
        <w:tc>
          <w:tcPr>
            <w:tcW w:w="7740" w:type="dxa"/>
          </w:tcPr>
          <w:p w:rsidR="00562AC1" w:rsidRPr="00562AC1" w:rsidP="00562AC1" w14:paraId="6F934AB6" w14:textId="4640D6D9">
            <w:pPr>
              <w:jc w:val="center"/>
              <w:rPr>
                <w:b/>
                <w:bCs/>
                <w:szCs w:val="22"/>
              </w:rPr>
            </w:pPr>
            <w:r w:rsidRPr="00562AC1">
              <w:rPr>
                <w:b/>
                <w:bCs/>
                <w:szCs w:val="22"/>
              </w:rPr>
              <w:t>Covered Equipment or Services</w:t>
            </w:r>
            <w:r w:rsidR="003666D7">
              <w:rPr>
                <w:b/>
                <w:bCs/>
                <w:szCs w:val="22"/>
              </w:rPr>
              <w:t>*</w:t>
            </w:r>
          </w:p>
        </w:tc>
        <w:tc>
          <w:tcPr>
            <w:tcW w:w="2610" w:type="dxa"/>
          </w:tcPr>
          <w:p w:rsidR="00562AC1" w:rsidRPr="00562AC1" w:rsidP="00562AC1" w14:paraId="00A62A32" w14:textId="77777777">
            <w:pPr>
              <w:jc w:val="center"/>
              <w:rPr>
                <w:b/>
                <w:bCs/>
                <w:szCs w:val="22"/>
              </w:rPr>
            </w:pPr>
            <w:r w:rsidRPr="00562AC1">
              <w:rPr>
                <w:b/>
                <w:bCs/>
                <w:szCs w:val="22"/>
              </w:rPr>
              <w:t>Date of Inclusion on Covered List</w:t>
            </w:r>
          </w:p>
        </w:tc>
      </w:tr>
      <w:tr w14:paraId="3F64ABC0" w14:textId="77777777" w:rsidTr="00333640">
        <w:tblPrEx>
          <w:tblW w:w="10350" w:type="dxa"/>
          <w:tblInd w:w="-365" w:type="dxa"/>
          <w:tblLook w:val="04A0"/>
        </w:tblPrEx>
        <w:tc>
          <w:tcPr>
            <w:tcW w:w="7740" w:type="dxa"/>
          </w:tcPr>
          <w:p w:rsidR="0082165D" w:rsidP="006D1C17" w14:paraId="781D1685" w14:textId="5378BD3D">
            <w:r>
              <w:rPr>
                <w:szCs w:val="22"/>
              </w:rPr>
              <w:t>Telecommunications equipment produce</w:t>
            </w:r>
            <w:r w:rsidR="009D1FC1">
              <w:rPr>
                <w:szCs w:val="22"/>
              </w:rPr>
              <w:t>d</w:t>
            </w:r>
            <w:r>
              <w:rPr>
                <w:szCs w:val="22"/>
              </w:rPr>
              <w:t xml:space="preserve"> </w:t>
            </w:r>
            <w:r w:rsidR="00DF336C">
              <w:rPr>
                <w:szCs w:val="22"/>
              </w:rPr>
              <w:t xml:space="preserve">or provided </w:t>
            </w:r>
            <w:r>
              <w:rPr>
                <w:szCs w:val="22"/>
              </w:rPr>
              <w:t xml:space="preserve">by </w:t>
            </w:r>
            <w:r w:rsidRPr="00333640">
              <w:rPr>
                <w:b/>
                <w:bCs/>
                <w:szCs w:val="22"/>
              </w:rPr>
              <w:t>Huawei Technologies Company</w:t>
            </w:r>
            <w:r>
              <w:t xml:space="preserve">, including telecommunications or video surveillance services </w:t>
            </w:r>
            <w:r w:rsidR="00DF336C">
              <w:t xml:space="preserve">produced or </w:t>
            </w:r>
            <w:r>
              <w:t>provided by such entit</w:t>
            </w:r>
            <w:r w:rsidR="00294497">
              <w:t>y</w:t>
            </w:r>
            <w:r>
              <w:t xml:space="preserve"> or using such equipment.</w:t>
            </w:r>
          </w:p>
          <w:p w:rsidR="00850C1A" w:rsidP="006D1C17" w14:paraId="0EF5F5C6" w14:textId="77777777">
            <w:pPr>
              <w:rPr>
                <w:szCs w:val="22"/>
              </w:rPr>
            </w:pPr>
          </w:p>
        </w:tc>
        <w:tc>
          <w:tcPr>
            <w:tcW w:w="2610" w:type="dxa"/>
          </w:tcPr>
          <w:p w:rsidR="00333640" w:rsidP="006D1C17" w14:paraId="0CE2650E" w14:textId="77777777">
            <w:pPr>
              <w:rPr>
                <w:szCs w:val="22"/>
              </w:rPr>
            </w:pPr>
          </w:p>
          <w:p w:rsidR="00562AC1" w:rsidP="006D1C17" w14:paraId="644B7F6F" w14:textId="473E90AB">
            <w:pPr>
              <w:rPr>
                <w:szCs w:val="22"/>
              </w:rPr>
            </w:pPr>
            <w:r>
              <w:rPr>
                <w:szCs w:val="22"/>
              </w:rPr>
              <w:t xml:space="preserve">      </w:t>
            </w:r>
            <w:r>
              <w:rPr>
                <w:szCs w:val="22"/>
              </w:rPr>
              <w:t>March 12, 2021</w:t>
            </w:r>
          </w:p>
        </w:tc>
      </w:tr>
      <w:tr w14:paraId="4E0E0F2C" w14:textId="77777777" w:rsidTr="00333640">
        <w:tblPrEx>
          <w:tblW w:w="10350" w:type="dxa"/>
          <w:tblInd w:w="-365" w:type="dxa"/>
          <w:tblLook w:val="04A0"/>
        </w:tblPrEx>
        <w:tc>
          <w:tcPr>
            <w:tcW w:w="7740" w:type="dxa"/>
          </w:tcPr>
          <w:p w:rsidR="0082165D" w:rsidP="0082165D" w14:paraId="141DCA35" w14:textId="04B90BC4">
            <w:pPr>
              <w:rPr>
                <w:szCs w:val="22"/>
              </w:rPr>
            </w:pPr>
            <w:r>
              <w:rPr>
                <w:szCs w:val="22"/>
              </w:rPr>
              <w:t xml:space="preserve">Telecommunications equipment produced </w:t>
            </w:r>
            <w:r w:rsidR="00DF336C">
              <w:rPr>
                <w:szCs w:val="22"/>
              </w:rPr>
              <w:t xml:space="preserve">or provided </w:t>
            </w:r>
            <w:r>
              <w:rPr>
                <w:szCs w:val="22"/>
              </w:rPr>
              <w:t xml:space="preserve">by </w:t>
            </w:r>
            <w:r w:rsidRPr="00333640">
              <w:rPr>
                <w:b/>
                <w:bCs/>
                <w:szCs w:val="22"/>
              </w:rPr>
              <w:t>ZTE Corporation</w:t>
            </w:r>
            <w:r>
              <w:t>, including telecommunications or video</w:t>
            </w:r>
            <w:r w:rsidR="00333640">
              <w:t xml:space="preserve"> surveillance</w:t>
            </w:r>
            <w:r>
              <w:t xml:space="preserve"> services provided </w:t>
            </w:r>
            <w:r w:rsidR="00DF336C">
              <w:t xml:space="preserve">or provided </w:t>
            </w:r>
            <w:r>
              <w:t>by such entit</w:t>
            </w:r>
            <w:r w:rsidR="00294497">
              <w:t>y</w:t>
            </w:r>
            <w:r>
              <w:t xml:space="preserve"> or using such equipment.</w:t>
            </w:r>
          </w:p>
          <w:p w:rsidR="0082165D" w:rsidP="006D1C17" w14:paraId="55E3047B" w14:textId="77777777">
            <w:pPr>
              <w:rPr>
                <w:szCs w:val="22"/>
              </w:rPr>
            </w:pPr>
          </w:p>
        </w:tc>
        <w:tc>
          <w:tcPr>
            <w:tcW w:w="2610" w:type="dxa"/>
          </w:tcPr>
          <w:p w:rsidR="00850C1A" w:rsidP="006D1C17" w14:paraId="012FC97D" w14:textId="77777777">
            <w:pPr>
              <w:rPr>
                <w:szCs w:val="22"/>
              </w:rPr>
            </w:pPr>
          </w:p>
          <w:p w:rsidR="00562AC1" w:rsidP="006D1C17" w14:paraId="21517BFB" w14:textId="3BC67335">
            <w:pPr>
              <w:rPr>
                <w:szCs w:val="22"/>
              </w:rPr>
            </w:pPr>
            <w:r>
              <w:rPr>
                <w:szCs w:val="22"/>
              </w:rPr>
              <w:t xml:space="preserve">      </w:t>
            </w:r>
            <w:r>
              <w:rPr>
                <w:szCs w:val="22"/>
              </w:rPr>
              <w:t>March 12, 2021</w:t>
            </w:r>
          </w:p>
        </w:tc>
      </w:tr>
      <w:tr w14:paraId="1C20398C" w14:textId="77777777" w:rsidTr="00333640">
        <w:tblPrEx>
          <w:tblW w:w="10350" w:type="dxa"/>
          <w:tblInd w:w="-365" w:type="dxa"/>
          <w:tblLook w:val="04A0"/>
        </w:tblPrEx>
        <w:tc>
          <w:tcPr>
            <w:tcW w:w="7740" w:type="dxa"/>
          </w:tcPr>
          <w:p w:rsidR="00562AC1" w:rsidRPr="00333640" w:rsidP="006D1C17" w14:paraId="0C68D8CD" w14:textId="1C3160FE">
            <w:r>
              <w:t>V</w:t>
            </w:r>
            <w:r w:rsidRPr="00A1783E">
              <w:t xml:space="preserve">ideo surveillance and telecommunications equipment produced </w:t>
            </w:r>
            <w:r w:rsidR="00DF336C">
              <w:t xml:space="preserve">or provided </w:t>
            </w:r>
            <w:r w:rsidRPr="00A1783E">
              <w:t xml:space="preserve">by </w:t>
            </w:r>
            <w:r w:rsidRPr="00333640">
              <w:rPr>
                <w:b/>
                <w:bCs/>
              </w:rPr>
              <w:t>Hytera Communications Corporation</w:t>
            </w:r>
            <w:r>
              <w:t>, to the extent it is used for the purpose of public safety, security of government facilities, physical security surveillance of critical infrastructure, and other national security purposes</w:t>
            </w:r>
            <w:r w:rsidR="00AD085A">
              <w:t xml:space="preserve">, </w:t>
            </w:r>
            <w:r>
              <w:t>including telecommunications or video surveillance services pro</w:t>
            </w:r>
            <w:r w:rsidR="00DF336C">
              <w:t>duced</w:t>
            </w:r>
            <w:r>
              <w:t xml:space="preserve"> </w:t>
            </w:r>
            <w:r w:rsidR="00DF336C">
              <w:t xml:space="preserve">or provided </w:t>
            </w:r>
            <w:r>
              <w:t>by such entit</w:t>
            </w:r>
            <w:r w:rsidR="00294497">
              <w:t>y</w:t>
            </w:r>
            <w:r>
              <w:t xml:space="preserve"> or using such equipment.</w:t>
            </w:r>
          </w:p>
          <w:p w:rsidR="0082165D" w:rsidP="006D1C17" w14:paraId="2D51E91F" w14:textId="77777777">
            <w:pPr>
              <w:rPr>
                <w:szCs w:val="22"/>
              </w:rPr>
            </w:pPr>
          </w:p>
        </w:tc>
        <w:tc>
          <w:tcPr>
            <w:tcW w:w="2610" w:type="dxa"/>
          </w:tcPr>
          <w:p w:rsidR="00333640" w:rsidP="006D1C17" w14:paraId="3A690A07" w14:textId="77777777">
            <w:pPr>
              <w:rPr>
                <w:szCs w:val="22"/>
              </w:rPr>
            </w:pPr>
          </w:p>
          <w:p w:rsidR="00333640" w:rsidP="006D1C17" w14:paraId="6AB2781F" w14:textId="77777777">
            <w:pPr>
              <w:rPr>
                <w:szCs w:val="22"/>
              </w:rPr>
            </w:pPr>
          </w:p>
          <w:p w:rsidR="00562AC1" w:rsidP="006D1C17" w14:paraId="5BB72556" w14:textId="77777777">
            <w:pPr>
              <w:rPr>
                <w:szCs w:val="22"/>
              </w:rPr>
            </w:pPr>
            <w:r>
              <w:rPr>
                <w:szCs w:val="22"/>
              </w:rPr>
              <w:t xml:space="preserve">      </w:t>
            </w:r>
            <w:r>
              <w:rPr>
                <w:szCs w:val="22"/>
              </w:rPr>
              <w:t>March 12, 2021</w:t>
            </w:r>
          </w:p>
        </w:tc>
      </w:tr>
      <w:tr w14:paraId="5AAAC983" w14:textId="77777777" w:rsidTr="00333640">
        <w:tblPrEx>
          <w:tblW w:w="10350" w:type="dxa"/>
          <w:tblInd w:w="-365" w:type="dxa"/>
          <w:tblLook w:val="04A0"/>
        </w:tblPrEx>
        <w:tc>
          <w:tcPr>
            <w:tcW w:w="7740" w:type="dxa"/>
          </w:tcPr>
          <w:p w:rsidR="0082165D" w:rsidP="006D1C17" w14:paraId="1B4C7984" w14:textId="5199D14C">
            <w:r>
              <w:t>V</w:t>
            </w:r>
            <w:r w:rsidRPr="00A1783E">
              <w:t xml:space="preserve">ideo surveillance and telecommunications equipment produced </w:t>
            </w:r>
            <w:r w:rsidR="00DF336C">
              <w:t xml:space="preserve">or provided </w:t>
            </w:r>
            <w:r w:rsidRPr="00A1783E">
              <w:t xml:space="preserve">by </w:t>
            </w:r>
            <w:r w:rsidRPr="00333640">
              <w:rPr>
                <w:b/>
                <w:bCs/>
              </w:rPr>
              <w:t>Hangzhou Hikvision Digital Technology Company</w:t>
            </w:r>
            <w:r>
              <w:t xml:space="preserve">, to the extent it is used for the purpose of public safety, security of government facilities, physical security surveillance of critical infrastructure, and other national security purposes, including telecommunications or video surveillance services </w:t>
            </w:r>
            <w:r w:rsidR="00DF336C">
              <w:t xml:space="preserve">produced or </w:t>
            </w:r>
            <w:r>
              <w:t>provided by such entit</w:t>
            </w:r>
            <w:r w:rsidR="00294497">
              <w:t>y</w:t>
            </w:r>
            <w:r>
              <w:t xml:space="preserve"> or using such equipment.</w:t>
            </w:r>
          </w:p>
          <w:p w:rsidR="00333640" w:rsidRPr="00333640" w:rsidP="006D1C17" w14:paraId="5FDE85A2" w14:textId="77777777"/>
        </w:tc>
        <w:tc>
          <w:tcPr>
            <w:tcW w:w="2610" w:type="dxa"/>
          </w:tcPr>
          <w:p w:rsidR="00333640" w:rsidP="006D1C17" w14:paraId="76B97908" w14:textId="77777777">
            <w:pPr>
              <w:rPr>
                <w:szCs w:val="22"/>
              </w:rPr>
            </w:pPr>
          </w:p>
          <w:p w:rsidR="00333640" w:rsidP="006D1C17" w14:paraId="4465184C" w14:textId="77777777">
            <w:pPr>
              <w:rPr>
                <w:szCs w:val="22"/>
              </w:rPr>
            </w:pPr>
          </w:p>
          <w:p w:rsidR="00333640" w:rsidP="006D1C17" w14:paraId="75620721" w14:textId="77777777">
            <w:pPr>
              <w:rPr>
                <w:szCs w:val="22"/>
              </w:rPr>
            </w:pPr>
          </w:p>
          <w:p w:rsidR="00562AC1" w:rsidP="006D1C17" w14:paraId="4CB86FEE" w14:textId="2D62A0FA">
            <w:pPr>
              <w:rPr>
                <w:szCs w:val="22"/>
              </w:rPr>
            </w:pPr>
            <w:r>
              <w:rPr>
                <w:szCs w:val="22"/>
              </w:rPr>
              <w:t xml:space="preserve">      </w:t>
            </w:r>
            <w:r>
              <w:rPr>
                <w:szCs w:val="22"/>
              </w:rPr>
              <w:t>March 12, 2021</w:t>
            </w:r>
          </w:p>
        </w:tc>
      </w:tr>
      <w:tr w14:paraId="1D77BC82" w14:textId="77777777" w:rsidTr="00333640">
        <w:tblPrEx>
          <w:tblW w:w="10350" w:type="dxa"/>
          <w:tblInd w:w="-365" w:type="dxa"/>
          <w:tblLook w:val="04A0"/>
        </w:tblPrEx>
        <w:tc>
          <w:tcPr>
            <w:tcW w:w="7740" w:type="dxa"/>
          </w:tcPr>
          <w:p w:rsidR="0082165D" w:rsidRPr="00333640" w:rsidP="006D1C17" w14:paraId="65018E70" w14:textId="6DD3E3C6">
            <w:r>
              <w:t>V</w:t>
            </w:r>
            <w:r w:rsidRPr="00A1783E">
              <w:t xml:space="preserve">ideo surveillance and telecommunications equipment produced </w:t>
            </w:r>
            <w:r w:rsidR="00DF336C">
              <w:t xml:space="preserve">or provided </w:t>
            </w:r>
            <w:r w:rsidRPr="00A1783E">
              <w:t xml:space="preserve">by </w:t>
            </w:r>
            <w:r w:rsidRPr="00333640">
              <w:rPr>
                <w:b/>
                <w:bCs/>
              </w:rPr>
              <w:t>Dahua Technology Company</w:t>
            </w:r>
            <w:r>
              <w:t xml:space="preserve">, to the extent it is used for the purpose of public safety, security of government facilities, physical security surveillance of critical infrastructure, and other national security purposes, including telecommunications or video surveillance services </w:t>
            </w:r>
            <w:r w:rsidR="00DF336C">
              <w:t xml:space="preserve">produced or </w:t>
            </w:r>
            <w:r>
              <w:t>provided by such entit</w:t>
            </w:r>
            <w:r w:rsidR="00294497">
              <w:t>y</w:t>
            </w:r>
            <w:r>
              <w:t xml:space="preserve"> or using such equipment.</w:t>
            </w:r>
          </w:p>
        </w:tc>
        <w:tc>
          <w:tcPr>
            <w:tcW w:w="2610" w:type="dxa"/>
          </w:tcPr>
          <w:p w:rsidR="00333640" w:rsidP="006D1C17" w14:paraId="07C25574" w14:textId="77777777">
            <w:pPr>
              <w:rPr>
                <w:szCs w:val="22"/>
              </w:rPr>
            </w:pPr>
          </w:p>
          <w:p w:rsidR="00333640" w:rsidP="006D1C17" w14:paraId="4554F2CC" w14:textId="77777777">
            <w:pPr>
              <w:rPr>
                <w:szCs w:val="22"/>
              </w:rPr>
            </w:pPr>
          </w:p>
          <w:p w:rsidR="00562AC1" w:rsidP="006D1C17" w14:paraId="66F343AA" w14:textId="77777777">
            <w:pPr>
              <w:rPr>
                <w:szCs w:val="22"/>
              </w:rPr>
            </w:pPr>
            <w:r>
              <w:rPr>
                <w:szCs w:val="22"/>
              </w:rPr>
              <w:t xml:space="preserve">      </w:t>
            </w:r>
            <w:r>
              <w:rPr>
                <w:szCs w:val="22"/>
              </w:rPr>
              <w:t>March 12, 2021</w:t>
            </w:r>
          </w:p>
        </w:tc>
      </w:tr>
      <w:bookmarkEnd w:id="0"/>
    </w:tbl>
    <w:p w:rsidR="00850C1A" w:rsidP="008D79C9" w14:paraId="15878259" w14:textId="77777777">
      <w:pPr>
        <w:spacing w:after="120"/>
        <w:rPr>
          <w:szCs w:val="22"/>
        </w:rPr>
      </w:pPr>
    </w:p>
    <w:p w:rsidR="0082165D" w:rsidP="008D79C9" w14:paraId="0AA04FE0" w14:textId="7FD9E578">
      <w:pPr>
        <w:spacing w:after="120"/>
        <w:rPr>
          <w:szCs w:val="22"/>
        </w:rPr>
      </w:pPr>
      <w:r>
        <w:rPr>
          <w:szCs w:val="22"/>
        </w:rPr>
        <w:t>*</w:t>
      </w:r>
      <w:r w:rsidR="00FB3EAB">
        <w:rPr>
          <w:szCs w:val="22"/>
        </w:rPr>
        <w:t>T</w:t>
      </w:r>
      <w:r w:rsidR="00AD085A">
        <w:rPr>
          <w:szCs w:val="22"/>
        </w:rPr>
        <w:t xml:space="preserve">he inclusion of </w:t>
      </w:r>
      <w:r w:rsidR="00DF336C">
        <w:rPr>
          <w:szCs w:val="22"/>
        </w:rPr>
        <w:t xml:space="preserve">producers or </w:t>
      </w:r>
      <w:r w:rsidR="00970ED7">
        <w:rPr>
          <w:szCs w:val="22"/>
        </w:rPr>
        <w:t xml:space="preserve">providers of equipment or services identified on this list should be read to include the subsidiaries and affiliates of such entities. </w:t>
      </w:r>
    </w:p>
    <w:p w:rsidR="003666D7" w:rsidRPr="000A626E" w:rsidP="00F96F63" w14:paraId="4324F90D" w14:textId="0D4F9C37">
      <w:pPr>
        <w:rPr>
          <w:rFonts w:eastAsia="Gungsuh"/>
          <w:szCs w:val="22"/>
        </w:rPr>
      </w:pPr>
      <w:r>
        <w:rPr>
          <w:rFonts w:eastAsia="Gungsuh"/>
          <w:szCs w:val="22"/>
        </w:rPr>
        <w:t>†</w:t>
      </w:r>
      <w:r w:rsidR="00FB3EAB">
        <w:rPr>
          <w:rFonts w:eastAsia="Gungsuh"/>
          <w:szCs w:val="22"/>
        </w:rPr>
        <w:t>W</w:t>
      </w:r>
      <w:r w:rsidR="00291933">
        <w:rPr>
          <w:rFonts w:eastAsia="Gungsuh"/>
          <w:szCs w:val="22"/>
        </w:rPr>
        <w:t xml:space="preserve">here equipment </w:t>
      </w:r>
      <w:r w:rsidR="000A626E">
        <w:rPr>
          <w:rFonts w:eastAsia="Gungsuh"/>
          <w:szCs w:val="22"/>
        </w:rPr>
        <w:t xml:space="preserve">or services on the list are identified by category, such category should be </w:t>
      </w:r>
      <w:r w:rsidR="008D79C9">
        <w:rPr>
          <w:rFonts w:eastAsia="Gungsuh"/>
          <w:szCs w:val="22"/>
        </w:rPr>
        <w:t xml:space="preserve">construed to include only equipment or services </w:t>
      </w:r>
      <w:r w:rsidRPr="00A1783E" w:rsidR="008D79C9">
        <w:t xml:space="preserve">capable of the functions outlined in sections 2(b)(2)(A), (B), or (C) of the </w:t>
      </w:r>
      <w:r w:rsidR="008D79C9">
        <w:t>Secure and Trusted Communications Networks Act of 2019, Pub. L. No. 116-124, 133 Stat. 158 (2020) (codified as amended at 47 U.S.C. §§ 1601–1609) (“Secure Networks Act”)</w:t>
      </w:r>
      <w:r w:rsidR="0068376B">
        <w:t>.</w:t>
      </w:r>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E04CB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90E1A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6D79C3C"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36F18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2605" w14:paraId="41CC3E96" w14:textId="77777777">
      <w:r>
        <w:separator/>
      </w:r>
    </w:p>
  </w:footnote>
  <w:footnote w:type="continuationSeparator" w:id="1">
    <w:p w:rsidR="007D2605" w14:paraId="6BEB50A4" w14:textId="77777777">
      <w:pPr>
        <w:rPr>
          <w:sz w:val="20"/>
        </w:rPr>
      </w:pPr>
      <w:r>
        <w:rPr>
          <w:sz w:val="20"/>
        </w:rPr>
        <w:t xml:space="preserve">(Continued from previous page)  </w:t>
      </w:r>
      <w:r>
        <w:rPr>
          <w:sz w:val="20"/>
        </w:rPr>
        <w:separator/>
      </w:r>
    </w:p>
  </w:footnote>
  <w:footnote w:type="continuationNotice" w:id="2">
    <w:p w:rsidR="007D2605" w:rsidP="00910F12" w14:paraId="302A7034" w14:textId="77777777">
      <w:pPr>
        <w:jc w:val="right"/>
        <w:rPr>
          <w:sz w:val="20"/>
        </w:rPr>
      </w:pPr>
      <w:r>
        <w:rPr>
          <w:sz w:val="20"/>
        </w:rPr>
        <w:t>(continued….)</w:t>
      </w:r>
    </w:p>
  </w:footnote>
  <w:footnote w:id="3">
    <w:p w:rsidR="00D93DF1" w:rsidP="3679D128" w14:paraId="59D5C260" w14:textId="77777777">
      <w:pPr>
        <w:pStyle w:val="FootnoteText"/>
      </w:pPr>
      <w:r w:rsidRPr="3679D128">
        <w:rPr>
          <w:rStyle w:val="FootnoteReference"/>
        </w:rPr>
        <w:footnoteRef/>
      </w:r>
      <w:r>
        <w:t xml:space="preserve"> Secure and Trusted Communications Networks Act of 2019, Pub. L. No. 116-124, 133 Stat. 158 (2020) (codified as amended at 47 U.S.C. §§ 1601–1609) (Secure Networks Act).</w:t>
      </w:r>
    </w:p>
  </w:footnote>
  <w:footnote w:id="4">
    <w:p w:rsidR="00D93DF1" w14:paraId="788ED1D6" w14:textId="05201E0E">
      <w:pPr>
        <w:pStyle w:val="FootnoteText"/>
      </w:pPr>
      <w:r>
        <w:rPr>
          <w:rStyle w:val="FootnoteReference"/>
        </w:rPr>
        <w:footnoteRef/>
      </w:r>
      <w:r>
        <w:t xml:space="preserve"> </w:t>
      </w:r>
      <w:r w:rsidRPr="00557F08" w:rsidR="002B4B71">
        <w:rPr>
          <w:i/>
          <w:iCs/>
        </w:rPr>
        <w:t>Protecting Against National Security Threats to the Communications Supply Chain Through FCC Programs</w:t>
      </w:r>
      <w:r w:rsidR="002B4B71">
        <w:t xml:space="preserve">, WC Docket No. 18-89, Second Report and Order, </w:t>
      </w:r>
      <w:r w:rsidRPr="004871D9" w:rsidR="002B4B71">
        <w:t xml:space="preserve">35 FCC Rcd 14284 </w:t>
      </w:r>
      <w:r w:rsidR="002B4B71">
        <w:t>(2020) (</w:t>
      </w:r>
      <w:r w:rsidR="002B4B71">
        <w:rPr>
          <w:i/>
          <w:iCs/>
        </w:rPr>
        <w:t>Supply Chain Second Report and Order</w:t>
      </w:r>
      <w:r w:rsidR="002B4B71">
        <w:t xml:space="preserve">) (adopting 47 CFR </w:t>
      </w:r>
      <w:r w:rsidRPr="002E23A9" w:rsidR="002B4B71">
        <w:t>§</w:t>
      </w:r>
      <w:r w:rsidR="002B4B71">
        <w:t xml:space="preserve"> 1.50002 (effective Mar. 15, 2021)).</w:t>
      </w:r>
    </w:p>
  </w:footnote>
  <w:footnote w:id="5">
    <w:p w:rsidR="00D93DF1" w:rsidP="006B3637" w14:paraId="1A14ED57" w14:textId="77777777">
      <w:pPr>
        <w:pStyle w:val="FootnoteText"/>
      </w:pPr>
      <w:r w:rsidRPr="002141D4">
        <w:rPr>
          <w:rStyle w:val="FootnoteReference"/>
        </w:rPr>
        <w:footnoteRef/>
      </w:r>
      <w:r w:rsidRPr="002141D4">
        <w:t xml:space="preserve"> </w:t>
      </w:r>
      <w:r w:rsidRPr="002E23A9">
        <w:t>Secure Networks Act §</w:t>
      </w:r>
      <w:r>
        <w:t> </w:t>
      </w:r>
      <w:r w:rsidRPr="002E23A9">
        <w:t xml:space="preserve">2(a). </w:t>
      </w:r>
    </w:p>
  </w:footnote>
  <w:footnote w:id="6">
    <w:p w:rsidR="00D93DF1" w14:paraId="2FE1D9FB" w14:textId="0713ADC7">
      <w:pPr>
        <w:pStyle w:val="FootnoteText"/>
      </w:pPr>
      <w:r>
        <w:rPr>
          <w:rStyle w:val="FootnoteReference"/>
        </w:rPr>
        <w:footnoteRef/>
      </w:r>
      <w:r>
        <w:t xml:space="preserve"> </w:t>
      </w:r>
      <w:r w:rsidR="007F4B3D">
        <w:rPr>
          <w:i/>
          <w:iCs/>
        </w:rPr>
        <w:t>See, e</w:t>
      </w:r>
      <w:r w:rsidR="00600184">
        <w:rPr>
          <w:i/>
          <w:iCs/>
        </w:rPr>
        <w:t>.g.</w:t>
      </w:r>
      <w:r w:rsidR="002B4B71">
        <w:rPr>
          <w:i/>
          <w:iCs/>
        </w:rPr>
        <w:t>,</w:t>
      </w:r>
      <w:r w:rsidRPr="008E6AD1" w:rsidR="008E6AD1">
        <w:rPr>
          <w:i/>
          <w:iCs/>
        </w:rPr>
        <w:t xml:space="preserve"> </w:t>
      </w:r>
      <w:r w:rsidRPr="41E9C31D" w:rsidR="008E6AD1">
        <w:rPr>
          <w:i/>
          <w:iCs/>
        </w:rPr>
        <w:t>Supply Chain Second Report and Order</w:t>
      </w:r>
      <w:r w:rsidR="00CE5163">
        <w:t xml:space="preserve">; </w:t>
      </w:r>
      <w:r w:rsidRPr="00557F08" w:rsidR="00567387">
        <w:rPr>
          <w:i/>
          <w:iCs/>
        </w:rPr>
        <w:t>Protecting Against National Security Threats to the Communications Supply Chain Through FCC Programs</w:t>
      </w:r>
      <w:r w:rsidR="00567387">
        <w:t xml:space="preserve">, WC Docket No. 18-89, </w:t>
      </w:r>
      <w:r w:rsidR="002212DF">
        <w:t xml:space="preserve">Declaratory Ruling and Second Further Notice of Proposed Rulemaking, 35 FCC Rcd </w:t>
      </w:r>
      <w:r w:rsidR="001D012F">
        <w:t>7821 (2020)</w:t>
      </w:r>
      <w:r w:rsidR="003D7B34">
        <w:t xml:space="preserve"> (</w:t>
      </w:r>
      <w:r w:rsidR="003D7B34">
        <w:rPr>
          <w:i/>
          <w:iCs/>
        </w:rPr>
        <w:t xml:space="preserve">Supply Chain </w:t>
      </w:r>
      <w:r w:rsidR="003405DB">
        <w:rPr>
          <w:i/>
          <w:iCs/>
        </w:rPr>
        <w:t>Declaratory Ruling and Second FNPRM)</w:t>
      </w:r>
      <w:r w:rsidR="00546732">
        <w:t xml:space="preserve">; </w:t>
      </w:r>
      <w:r w:rsidRPr="008F3069" w:rsidR="00546732">
        <w:rPr>
          <w:i/>
          <w:iCs/>
        </w:rPr>
        <w:t>Protecting Against National Security Threats to the Communications Supply Chain Through FCC Programs</w:t>
      </w:r>
      <w:r w:rsidRPr="008F3069" w:rsidR="00546732">
        <w:t xml:space="preserve">, WC Docket 18-89, Third Further Notice of Proposed Rulemaking, FCC </w:t>
      </w:r>
      <w:r w:rsidRPr="009E4E52" w:rsidR="00546732">
        <w:t>21-</w:t>
      </w:r>
      <w:r w:rsidRPr="009E4E52" w:rsidR="009E4E52">
        <w:t>26</w:t>
      </w:r>
      <w:r w:rsidRPr="008F3069" w:rsidR="00546732">
        <w:t xml:space="preserve"> (Feb 17, 2021)</w:t>
      </w:r>
      <w:r w:rsidR="00AC3406">
        <w:t xml:space="preserve"> (</w:t>
      </w:r>
      <w:r w:rsidRPr="008F3069" w:rsidR="00AC3406">
        <w:t>propos</w:t>
      </w:r>
      <w:r w:rsidR="00AC3406">
        <w:t>ing</w:t>
      </w:r>
      <w:r w:rsidRPr="008F3069" w:rsidR="00AC3406">
        <w:t xml:space="preserve"> to modify certain rules governing the Reimbursement Program in response to changes that the Consolidated Appropriations Act, 2021 made to the Secure Networks Act</w:t>
      </w:r>
      <w:r w:rsidR="00AC3406">
        <w:t xml:space="preserve">). </w:t>
      </w:r>
    </w:p>
  </w:footnote>
  <w:footnote w:id="7">
    <w:p w:rsidR="00D93DF1" w:rsidP="00C36271" w14:paraId="06742E94" w14:textId="729F6D7B">
      <w:pPr>
        <w:pStyle w:val="FootnoteText"/>
      </w:pPr>
      <w:r w:rsidRPr="002141D4">
        <w:rPr>
          <w:rStyle w:val="FootnoteReference"/>
        </w:rPr>
        <w:footnoteRef/>
      </w:r>
      <w:r w:rsidRPr="002141D4">
        <w:t xml:space="preserve"> Secure Networks Act §</w:t>
      </w:r>
      <w:r w:rsidRPr="002141D4" w:rsidR="00A70359">
        <w:t>§</w:t>
      </w:r>
      <w:r>
        <w:t> </w:t>
      </w:r>
      <w:r w:rsidRPr="002141D4">
        <w:t>2</w:t>
      </w:r>
      <w:r w:rsidR="00A70359">
        <w:t>(b)-</w:t>
      </w:r>
      <w:r w:rsidRPr="002141D4">
        <w:t>(c)</w:t>
      </w:r>
      <w:r w:rsidRPr="002E23A9">
        <w:t xml:space="preserve">.  </w:t>
      </w:r>
    </w:p>
  </w:footnote>
  <w:footnote w:id="8">
    <w:p w:rsidR="00D93DF1" w:rsidP="002700B1" w14:paraId="4FA61C8E" w14:textId="77777777">
      <w:pPr>
        <w:pStyle w:val="FootnoteText"/>
      </w:pPr>
      <w:r>
        <w:rPr>
          <w:rStyle w:val="FootnoteReference"/>
        </w:rPr>
        <w:footnoteRef/>
      </w:r>
      <w:r>
        <w:t xml:space="preserve"> </w:t>
      </w:r>
      <w:r>
        <w:rPr>
          <w:i/>
          <w:iCs/>
        </w:rPr>
        <w:t xml:space="preserve">See </w:t>
      </w:r>
      <w:r w:rsidR="00251915">
        <w:rPr>
          <w:i/>
          <w:iCs/>
        </w:rPr>
        <w:t>Supply Chain Second Report and Order</w:t>
      </w:r>
      <w:r w:rsidR="00586729">
        <w:t>,</w:t>
      </w:r>
      <w:r w:rsidR="00251915">
        <w:t xml:space="preserve"> 35 FCC Rcd</w:t>
      </w:r>
      <w:r w:rsidR="00023EEF">
        <w:t xml:space="preserve"> at</w:t>
      </w:r>
      <w:r w:rsidR="00251915">
        <w:t xml:space="preserve"> </w:t>
      </w:r>
      <w:r w:rsidR="0064558E">
        <w:t>14311-</w:t>
      </w:r>
      <w:r w:rsidR="002C6A5F">
        <w:t>2</w:t>
      </w:r>
      <w:r w:rsidR="00F743E0">
        <w:t>5</w:t>
      </w:r>
      <w:r w:rsidR="00023EEF">
        <w:t>,</w:t>
      </w:r>
      <w:r>
        <w:t xml:space="preserve"> paras. 57-92. </w:t>
      </w:r>
    </w:p>
  </w:footnote>
  <w:footnote w:id="9">
    <w:p w:rsidR="00D93DF1" w14:paraId="32A24808" w14:textId="77777777">
      <w:pPr>
        <w:pStyle w:val="FootnoteText"/>
      </w:pPr>
      <w:r>
        <w:rPr>
          <w:rStyle w:val="FootnoteReference"/>
        </w:rPr>
        <w:footnoteRef/>
      </w:r>
      <w:r>
        <w:t xml:space="preserve"> 47 CFR §§ 1.50002, 1.50003</w:t>
      </w:r>
      <w:r w:rsidR="002B301A">
        <w:t xml:space="preserve"> (effective Mar. 15, 2021)</w:t>
      </w:r>
      <w:r>
        <w:t>.</w:t>
      </w:r>
    </w:p>
  </w:footnote>
  <w:footnote w:id="10">
    <w:p w:rsidR="00FE326A" w14:paraId="7282ED75" w14:textId="130F3333">
      <w:pPr>
        <w:pStyle w:val="FootnoteText"/>
      </w:pPr>
      <w:r>
        <w:rPr>
          <w:rStyle w:val="FootnoteReference"/>
        </w:rPr>
        <w:footnoteRef/>
      </w:r>
      <w:r>
        <w:t xml:space="preserve"> </w:t>
      </w:r>
      <w:r w:rsidRPr="00EE67FE">
        <w:rPr>
          <w:i/>
          <w:iCs/>
        </w:rPr>
        <w:t>See</w:t>
      </w:r>
      <w:r>
        <w:t xml:space="preserve"> Pub. L. 115-232, 132 Stat. 1636.</w:t>
      </w:r>
    </w:p>
  </w:footnote>
  <w:footnote w:id="11">
    <w:p w:rsidR="00D93DF1" w:rsidP="00432A42" w14:paraId="16B22995" w14:textId="3C2DAA65">
      <w:pPr>
        <w:pStyle w:val="FootnoteText"/>
      </w:pPr>
      <w:r>
        <w:rPr>
          <w:rStyle w:val="FootnoteReference"/>
        </w:rPr>
        <w:footnoteRef/>
      </w:r>
      <w:r>
        <w:t xml:space="preserve"> </w:t>
      </w:r>
      <w:r>
        <w:rPr>
          <w:i/>
          <w:iCs/>
        </w:rPr>
        <w:t>See Supply Chain Second Report and Order</w:t>
      </w:r>
      <w:r w:rsidR="00255729">
        <w:t>,</w:t>
      </w:r>
      <w:r>
        <w:t xml:space="preserve"> 35 FCC Rcd</w:t>
      </w:r>
      <w:r w:rsidR="00255729">
        <w:t xml:space="preserve"> at</w:t>
      </w:r>
      <w:r>
        <w:t xml:space="preserve"> </w:t>
      </w:r>
      <w:r w:rsidR="006521D2">
        <w:t>14315,</w:t>
      </w:r>
      <w:r>
        <w:t xml:space="preserve"> para. 67</w:t>
      </w:r>
      <w:r w:rsidR="00835EDC">
        <w:t xml:space="preserve"> (internal quotations omitted).</w:t>
      </w:r>
    </w:p>
  </w:footnote>
  <w:footnote w:id="12">
    <w:p w:rsidR="00D93DF1" w:rsidP="00432A42" w14:paraId="4BF20854" w14:textId="77777777">
      <w:pPr>
        <w:pStyle w:val="FootnoteText"/>
      </w:pPr>
      <w:r>
        <w:rPr>
          <w:rStyle w:val="FootnoteReference"/>
        </w:rPr>
        <w:footnoteRef/>
      </w:r>
      <w:r>
        <w:t xml:space="preserve"> </w:t>
      </w:r>
      <w:r>
        <w:rPr>
          <w:i/>
          <w:iCs/>
        </w:rPr>
        <w:t xml:space="preserve">See </w:t>
      </w:r>
      <w:r w:rsidR="00363C0B">
        <w:rPr>
          <w:i/>
          <w:iCs/>
        </w:rPr>
        <w:t>id.</w:t>
      </w:r>
      <w:r w:rsidR="006521D2">
        <w:t xml:space="preserve"> at</w:t>
      </w:r>
      <w:r w:rsidR="004D038E">
        <w:t xml:space="preserve"> 14316,</w:t>
      </w:r>
      <w:r>
        <w:t xml:space="preserve"> para. 68 (quoting </w:t>
      </w:r>
      <w:r w:rsidR="00040F37">
        <w:rPr>
          <w:i/>
          <w:iCs/>
        </w:rPr>
        <w:t>Supply Chain Declaratory Ruling and Second FNPRM</w:t>
      </w:r>
      <w:r>
        <w:t xml:space="preserve">, 35 FCC Rcd at 7832, para. 35). </w:t>
      </w:r>
    </w:p>
  </w:footnote>
  <w:footnote w:id="13">
    <w:p w:rsidR="00D93DF1" w14:paraId="1F365822" w14:textId="77777777">
      <w:pPr>
        <w:pStyle w:val="FootnoteText"/>
      </w:pPr>
      <w:r>
        <w:rPr>
          <w:rStyle w:val="FootnoteReference"/>
        </w:rPr>
        <w:footnoteRef/>
      </w:r>
      <w:r>
        <w:t xml:space="preserve"> </w:t>
      </w:r>
      <w:r w:rsidRPr="002141D4" w:rsidR="00893493">
        <w:t>Secure Networks Act §</w:t>
      </w:r>
      <w:r w:rsidR="00893493">
        <w:t> </w:t>
      </w:r>
      <w:r w:rsidRPr="002141D4" w:rsidR="00893493">
        <w:t>2</w:t>
      </w:r>
      <w:r w:rsidR="00893493">
        <w:t xml:space="preserve">; </w:t>
      </w:r>
      <w:r w:rsidR="00BD4717">
        <w:rPr>
          <w:i/>
          <w:iCs/>
        </w:rPr>
        <w:t>Supply Chain Second Report and Order</w:t>
      </w:r>
      <w:r w:rsidR="00BD4717">
        <w:t xml:space="preserve">, 35 FCC Rcd at </w:t>
      </w:r>
      <w:r w:rsidR="00B51502">
        <w:t>14311-25, paras. 57-92.</w:t>
      </w:r>
    </w:p>
  </w:footnote>
  <w:footnote w:id="14">
    <w:p w:rsidR="00092756" w14:paraId="4055CE05" w14:textId="17D27F5A">
      <w:pPr>
        <w:pStyle w:val="FootnoteText"/>
      </w:pPr>
      <w:r>
        <w:rPr>
          <w:rStyle w:val="FootnoteReference"/>
        </w:rPr>
        <w:footnoteRef/>
      </w:r>
      <w:r>
        <w:t xml:space="preserve"> </w:t>
      </w:r>
      <w:r w:rsidRPr="00EE67FE" w:rsidR="005A5E4C">
        <w:rPr>
          <w:i/>
          <w:iCs/>
        </w:rPr>
        <w:t>See</w:t>
      </w:r>
      <w:r w:rsidR="005A5E4C">
        <w:t xml:space="preserve"> Pub. L. 115-232, 132 Stat. 1636</w:t>
      </w:r>
      <w:r w:rsidR="00F71B57">
        <w:t xml:space="preserve"> at 1918, § 889(f)(2)-(3).</w:t>
      </w:r>
      <w:r w:rsidR="005A5E4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4A4" w14:paraId="7B0831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95C85D5" w14:textId="13CB148C">
    <w:pPr>
      <w:tabs>
        <w:tab w:val="center" w:pos="4680"/>
        <w:tab w:val="right" w:pos="9360"/>
      </w:tabs>
    </w:pPr>
    <w:r w:rsidRPr="009838BC">
      <w:rPr>
        <w:b/>
      </w:rPr>
      <w:tab/>
      <w:t>Federal Communications Commission</w:t>
    </w:r>
    <w:r w:rsidRPr="009838BC">
      <w:rPr>
        <w:b/>
      </w:rPr>
      <w:tab/>
    </w:r>
    <w:r w:rsidR="00CF74A4">
      <w:rPr>
        <w:b/>
      </w:rPr>
      <w:t xml:space="preserve">DA </w:t>
    </w:r>
    <w:r w:rsidR="00CF74A4">
      <w:rPr>
        <w:b/>
      </w:rPr>
      <w:t>21-309</w:t>
    </w:r>
    <w:bookmarkStart w:id="1" w:name="_GoBack"/>
    <w:bookmarkEnd w:id="1"/>
  </w:p>
  <w:p w:rsidR="009838BC" w:rsidRPr="009838BC" w:rsidP="009838BC" w14:paraId="0D870AD5" w14:textId="462EC24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9838BC" w:rsidRPr="009838BC" w:rsidP="009838BC" w14:paraId="10B747AD"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5116C3E" w14:textId="4106660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41731F">
                            <w:rPr>
                              <w:rFonts w:ascii="Arial" w:hAnsi="Arial"/>
                              <w:b/>
                            </w:rPr>
                            <w:t>5 L St., N.E.</w:t>
                          </w:r>
                        </w:p>
                        <w:p w:rsidR="009838BC" w:rsidP="009838BC" w14:textId="77777777">
                          <w:pPr>
                            <w:rPr>
                              <w:rFonts w:ascii="Arial" w:hAnsi="Arial"/>
                              <w:sz w:val="24"/>
                            </w:rPr>
                          </w:pPr>
                          <w:r>
                            <w:rPr>
                              <w:rFonts w:ascii="Arial" w:hAnsi="Arial"/>
                              <w:b/>
                            </w:rPr>
                            <w:t>Washington, D.C. 20</w:t>
                          </w:r>
                          <w:r w:rsidR="00751DA8">
                            <w:rPr>
                              <w:rFonts w:ascii="Arial" w:hAnsi="Arial"/>
                              <w:b/>
                            </w:rPr>
                            <w:t>002</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EA844E6" w14:textId="77777777">
                    <w:pPr>
                      <w:rPr>
                        <w:rFonts w:ascii="Arial" w:hAnsi="Arial"/>
                        <w:b/>
                      </w:rPr>
                    </w:pPr>
                    <w:r>
                      <w:rPr>
                        <w:rFonts w:ascii="Arial" w:hAnsi="Arial"/>
                        <w:b/>
                      </w:rPr>
                      <w:t>Federal Communications Commission</w:t>
                    </w:r>
                  </w:p>
                  <w:p w:rsidR="009838BC" w:rsidP="009838BC" w14:paraId="186834FA" w14:textId="77777777">
                    <w:pPr>
                      <w:rPr>
                        <w:rFonts w:ascii="Arial" w:hAnsi="Arial"/>
                        <w:b/>
                      </w:rPr>
                    </w:pPr>
                    <w:r>
                      <w:rPr>
                        <w:rFonts w:ascii="Arial" w:hAnsi="Arial"/>
                        <w:b/>
                      </w:rPr>
                      <w:t>4</w:t>
                    </w:r>
                    <w:r w:rsidR="0041731F">
                      <w:rPr>
                        <w:rFonts w:ascii="Arial" w:hAnsi="Arial"/>
                        <w:b/>
                      </w:rPr>
                      <w:t>5 L St., N.E.</w:t>
                    </w:r>
                  </w:p>
                  <w:p w:rsidR="009838BC" w:rsidP="009838BC" w14:paraId="70C51363" w14:textId="77777777">
                    <w:pPr>
                      <w:rPr>
                        <w:rFonts w:ascii="Arial" w:hAnsi="Arial"/>
                        <w:sz w:val="24"/>
                      </w:rPr>
                    </w:pPr>
                    <w:r>
                      <w:rPr>
                        <w:rFonts w:ascii="Arial" w:hAnsi="Arial"/>
                        <w:b/>
                      </w:rPr>
                      <w:t>Washington, D.C. 20</w:t>
                    </w:r>
                    <w:r w:rsidR="00751DA8">
                      <w:rPr>
                        <w:rFonts w:ascii="Arial" w:hAnsi="Arial"/>
                        <w:b/>
                      </w:rPr>
                      <w:t>002</w:t>
                    </w:r>
                  </w:p>
                </w:txbxContent>
              </v:textbox>
              <w10:wrap anchorx="margin"/>
            </v:shape>
          </w:pict>
        </mc:Fallback>
      </mc:AlternateContent>
    </w:r>
    <w:r w:rsidR="00504C43">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10690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41E9C31D" w:rsidR="41E9C31D">
      <w:rPr>
        <w:rFonts w:ascii="Arial" w:hAnsi="Arial" w:cs="Arial"/>
        <w:b/>
        <w:bCs/>
        <w:sz w:val="96"/>
        <w:szCs w:val="96"/>
      </w:rPr>
      <w:t>PUBLIC NOTICE</w:t>
    </w:r>
  </w:p>
  <w:p w:rsidR="009838BC" w:rsidRPr="00357D50" w:rsidP="009838BC" w14:paraId="38726FA6" w14:textId="6817BE4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D830343" w14:textId="77777777">
                    <w:pPr>
                      <w:spacing w:before="40"/>
                      <w:jc w:val="right"/>
                      <w:rPr>
                        <w:rFonts w:ascii="Arial" w:hAnsi="Arial"/>
                        <w:b/>
                        <w:sz w:val="16"/>
                      </w:rPr>
                    </w:pPr>
                    <w:r>
                      <w:rPr>
                        <w:rFonts w:ascii="Arial" w:hAnsi="Arial"/>
                        <w:b/>
                        <w:sz w:val="16"/>
                      </w:rPr>
                      <w:t>News Media Information 202 / 418-0500</w:t>
                    </w:r>
                  </w:p>
                  <w:p w:rsidR="009838BC" w:rsidP="009838BC" w14:paraId="3620F09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8BB979F" w14:textId="77777777">
                    <w:pPr>
                      <w:jc w:val="right"/>
                    </w:pPr>
                    <w:r>
                      <w:rPr>
                        <w:rFonts w:ascii="Arial" w:hAnsi="Arial"/>
                        <w:b/>
                        <w:sz w:val="16"/>
                      </w:rPr>
                      <w:t>TTY: 1-888-835-5322</w:t>
                    </w:r>
                  </w:p>
                </w:txbxContent>
              </v:textbox>
            </v:shape>
          </w:pict>
        </mc:Fallback>
      </mc:AlternateContent>
    </w:r>
  </w:p>
  <w:p w:rsidR="006F7393" w:rsidRPr="009838BC" w:rsidP="009838BC" w14:paraId="193207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5FE52D17"/>
    <w:multiLevelType w:val="hybridMultilevel"/>
    <w:tmpl w:val="32F8E0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6">
    <w:nsid w:val="61182925"/>
    <w:multiLevelType w:val="singleLevel"/>
    <w:tmpl w:val="A4D2861E"/>
    <w:lvl w:ilvl="0">
      <w:start w:val="1"/>
      <w:numFmt w:val="decimal"/>
      <w:pStyle w:val="ParaNum"/>
      <w:lvlText w:val="%1."/>
      <w:lvlJc w:val="left"/>
      <w:pPr>
        <w:tabs>
          <w:tab w:val="num" w:pos="1080"/>
        </w:tabs>
        <w:ind w:firstLine="720"/>
      </w:pPr>
      <w:rPr>
        <w:rFonts w:cs="Times New Roman"/>
        <w:b w:val="0"/>
        <w:bCs w:val="0"/>
      </w:rPr>
    </w:lvl>
  </w:abstractNum>
  <w:abstractNum w:abstractNumId="7">
    <w:nsid w:val="7B083CD9"/>
    <w:multiLevelType w:val="hybridMultilevel"/>
    <w:tmpl w:val="C8DE9F5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lvlOverride w:ilvl="0">
      <w:startOverride w:val="1"/>
    </w:lvlOverride>
  </w:num>
  <w:num w:numId="8">
    <w:abstractNumId w:val="5"/>
  </w:num>
  <w:num w:numId="9">
    <w:abstractNumId w:val="6"/>
    <w:lvlOverride w:ilvl="0">
      <w:startOverride w:val="1"/>
    </w:lvlOverride>
  </w:num>
  <w:num w:numId="10">
    <w:abstractNumId w:val="6"/>
    <w:lvlOverride w:ilvl="0">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17"/>
    <w:rsid w:val="00006FFA"/>
    <w:rsid w:val="000072CE"/>
    <w:rsid w:val="00013A8B"/>
    <w:rsid w:val="00021445"/>
    <w:rsid w:val="00023EEF"/>
    <w:rsid w:val="00035A85"/>
    <w:rsid w:val="00036039"/>
    <w:rsid w:val="00037F90"/>
    <w:rsid w:val="00040912"/>
    <w:rsid w:val="00040F37"/>
    <w:rsid w:val="00044E12"/>
    <w:rsid w:val="0004655D"/>
    <w:rsid w:val="000475FE"/>
    <w:rsid w:val="0004782E"/>
    <w:rsid w:val="00047F09"/>
    <w:rsid w:val="00052512"/>
    <w:rsid w:val="00053094"/>
    <w:rsid w:val="000564C3"/>
    <w:rsid w:val="000602BE"/>
    <w:rsid w:val="0006118C"/>
    <w:rsid w:val="000644CE"/>
    <w:rsid w:val="00070824"/>
    <w:rsid w:val="000713BD"/>
    <w:rsid w:val="000750A7"/>
    <w:rsid w:val="00081796"/>
    <w:rsid w:val="0008541F"/>
    <w:rsid w:val="000872D7"/>
    <w:rsid w:val="000875BF"/>
    <w:rsid w:val="00091FB5"/>
    <w:rsid w:val="00092756"/>
    <w:rsid w:val="00093527"/>
    <w:rsid w:val="000959B6"/>
    <w:rsid w:val="00096D8C"/>
    <w:rsid w:val="000972E6"/>
    <w:rsid w:val="0009743B"/>
    <w:rsid w:val="000A10C0"/>
    <w:rsid w:val="000A2A00"/>
    <w:rsid w:val="000A2A17"/>
    <w:rsid w:val="000A595D"/>
    <w:rsid w:val="000A626E"/>
    <w:rsid w:val="000A74A6"/>
    <w:rsid w:val="000A79C3"/>
    <w:rsid w:val="000B1C03"/>
    <w:rsid w:val="000B3A6A"/>
    <w:rsid w:val="000B60F0"/>
    <w:rsid w:val="000C0B65"/>
    <w:rsid w:val="000C0F79"/>
    <w:rsid w:val="000C66C7"/>
    <w:rsid w:val="000C6E73"/>
    <w:rsid w:val="000D2025"/>
    <w:rsid w:val="000D43AE"/>
    <w:rsid w:val="000D56C7"/>
    <w:rsid w:val="000D6E8A"/>
    <w:rsid w:val="000D767D"/>
    <w:rsid w:val="000E055E"/>
    <w:rsid w:val="000E19CC"/>
    <w:rsid w:val="000E3D42"/>
    <w:rsid w:val="000E41FB"/>
    <w:rsid w:val="000E5884"/>
    <w:rsid w:val="000F1542"/>
    <w:rsid w:val="000F4A62"/>
    <w:rsid w:val="000F5127"/>
    <w:rsid w:val="000F53A4"/>
    <w:rsid w:val="000F6A2C"/>
    <w:rsid w:val="000F7869"/>
    <w:rsid w:val="000F7CD8"/>
    <w:rsid w:val="00101E4C"/>
    <w:rsid w:val="001044DD"/>
    <w:rsid w:val="001154B0"/>
    <w:rsid w:val="0012028E"/>
    <w:rsid w:val="00120C77"/>
    <w:rsid w:val="00121751"/>
    <w:rsid w:val="00122BD5"/>
    <w:rsid w:val="00124D4F"/>
    <w:rsid w:val="00135978"/>
    <w:rsid w:val="001378E8"/>
    <w:rsid w:val="00141647"/>
    <w:rsid w:val="00143FDA"/>
    <w:rsid w:val="00145AD5"/>
    <w:rsid w:val="0014759E"/>
    <w:rsid w:val="00154D4C"/>
    <w:rsid w:val="00160DB7"/>
    <w:rsid w:val="0016146B"/>
    <w:rsid w:val="0016213D"/>
    <w:rsid w:val="00162E7E"/>
    <w:rsid w:val="001653C7"/>
    <w:rsid w:val="0017088F"/>
    <w:rsid w:val="00171FF7"/>
    <w:rsid w:val="00180756"/>
    <w:rsid w:val="00181E76"/>
    <w:rsid w:val="00186F48"/>
    <w:rsid w:val="001873D8"/>
    <w:rsid w:val="00193E11"/>
    <w:rsid w:val="00193E3A"/>
    <w:rsid w:val="00194D56"/>
    <w:rsid w:val="001979D9"/>
    <w:rsid w:val="001A2128"/>
    <w:rsid w:val="001A7AAE"/>
    <w:rsid w:val="001A7D7E"/>
    <w:rsid w:val="001B3EB2"/>
    <w:rsid w:val="001D012F"/>
    <w:rsid w:val="001D6BCF"/>
    <w:rsid w:val="001E01CA"/>
    <w:rsid w:val="001E0B63"/>
    <w:rsid w:val="001E0DDA"/>
    <w:rsid w:val="001E22D5"/>
    <w:rsid w:val="001E5CF8"/>
    <w:rsid w:val="001E6BA7"/>
    <w:rsid w:val="001F07C1"/>
    <w:rsid w:val="00200524"/>
    <w:rsid w:val="00203B23"/>
    <w:rsid w:val="0020456A"/>
    <w:rsid w:val="00204A17"/>
    <w:rsid w:val="00204B5C"/>
    <w:rsid w:val="002060D9"/>
    <w:rsid w:val="00207D3D"/>
    <w:rsid w:val="002108F8"/>
    <w:rsid w:val="00211434"/>
    <w:rsid w:val="002141D4"/>
    <w:rsid w:val="00217381"/>
    <w:rsid w:val="00217FD7"/>
    <w:rsid w:val="0022124D"/>
    <w:rsid w:val="002212DF"/>
    <w:rsid w:val="00222177"/>
    <w:rsid w:val="002222C0"/>
    <w:rsid w:val="00226822"/>
    <w:rsid w:val="00240FBE"/>
    <w:rsid w:val="00245546"/>
    <w:rsid w:val="0025085C"/>
    <w:rsid w:val="00251915"/>
    <w:rsid w:val="00253E26"/>
    <w:rsid w:val="00254126"/>
    <w:rsid w:val="00254E39"/>
    <w:rsid w:val="002553B6"/>
    <w:rsid w:val="00255612"/>
    <w:rsid w:val="00255729"/>
    <w:rsid w:val="0025580E"/>
    <w:rsid w:val="002578D6"/>
    <w:rsid w:val="00260594"/>
    <w:rsid w:val="0026147D"/>
    <w:rsid w:val="0026152D"/>
    <w:rsid w:val="00261579"/>
    <w:rsid w:val="0026161A"/>
    <w:rsid w:val="002664F9"/>
    <w:rsid w:val="002700B1"/>
    <w:rsid w:val="00270383"/>
    <w:rsid w:val="002703C9"/>
    <w:rsid w:val="00270C8A"/>
    <w:rsid w:val="002733F5"/>
    <w:rsid w:val="002746E1"/>
    <w:rsid w:val="00274DB9"/>
    <w:rsid w:val="00275CBD"/>
    <w:rsid w:val="002762A1"/>
    <w:rsid w:val="00280133"/>
    <w:rsid w:val="002809EB"/>
    <w:rsid w:val="00281336"/>
    <w:rsid w:val="0028147A"/>
    <w:rsid w:val="00281B71"/>
    <w:rsid w:val="00285017"/>
    <w:rsid w:val="00285792"/>
    <w:rsid w:val="00285868"/>
    <w:rsid w:val="00291933"/>
    <w:rsid w:val="00292798"/>
    <w:rsid w:val="00294497"/>
    <w:rsid w:val="002949E2"/>
    <w:rsid w:val="00294DEA"/>
    <w:rsid w:val="002A0F52"/>
    <w:rsid w:val="002A2D2E"/>
    <w:rsid w:val="002A2EDB"/>
    <w:rsid w:val="002A4A94"/>
    <w:rsid w:val="002A4EF8"/>
    <w:rsid w:val="002A785A"/>
    <w:rsid w:val="002B301A"/>
    <w:rsid w:val="002B4B71"/>
    <w:rsid w:val="002B5D13"/>
    <w:rsid w:val="002C064E"/>
    <w:rsid w:val="002C0BAE"/>
    <w:rsid w:val="002C1041"/>
    <w:rsid w:val="002C1E1A"/>
    <w:rsid w:val="002C21CD"/>
    <w:rsid w:val="002C386A"/>
    <w:rsid w:val="002C5A25"/>
    <w:rsid w:val="002C6A5F"/>
    <w:rsid w:val="002D56B7"/>
    <w:rsid w:val="002D6875"/>
    <w:rsid w:val="002D70A1"/>
    <w:rsid w:val="002E14C8"/>
    <w:rsid w:val="002E19F3"/>
    <w:rsid w:val="002E23A9"/>
    <w:rsid w:val="002E7FD2"/>
    <w:rsid w:val="002F0542"/>
    <w:rsid w:val="002F0C76"/>
    <w:rsid w:val="002F4ADD"/>
    <w:rsid w:val="002F5468"/>
    <w:rsid w:val="002F6AFC"/>
    <w:rsid w:val="002F7461"/>
    <w:rsid w:val="00300584"/>
    <w:rsid w:val="0030591E"/>
    <w:rsid w:val="00322932"/>
    <w:rsid w:val="003241F5"/>
    <w:rsid w:val="00326C84"/>
    <w:rsid w:val="00326CC7"/>
    <w:rsid w:val="00333640"/>
    <w:rsid w:val="00333B4F"/>
    <w:rsid w:val="003405DB"/>
    <w:rsid w:val="0034299F"/>
    <w:rsid w:val="00342F26"/>
    <w:rsid w:val="00343749"/>
    <w:rsid w:val="003437FC"/>
    <w:rsid w:val="00347A6D"/>
    <w:rsid w:val="0035239D"/>
    <w:rsid w:val="00354EEB"/>
    <w:rsid w:val="00357D50"/>
    <w:rsid w:val="00361C1D"/>
    <w:rsid w:val="00363C0B"/>
    <w:rsid w:val="003643D6"/>
    <w:rsid w:val="00364588"/>
    <w:rsid w:val="003666D7"/>
    <w:rsid w:val="00370F2E"/>
    <w:rsid w:val="00373177"/>
    <w:rsid w:val="0037392D"/>
    <w:rsid w:val="00380189"/>
    <w:rsid w:val="00380825"/>
    <w:rsid w:val="00380C26"/>
    <w:rsid w:val="00380E05"/>
    <w:rsid w:val="003925DC"/>
    <w:rsid w:val="0039597A"/>
    <w:rsid w:val="003A0B0E"/>
    <w:rsid w:val="003A15C8"/>
    <w:rsid w:val="003A6213"/>
    <w:rsid w:val="003A7B5A"/>
    <w:rsid w:val="003B0550"/>
    <w:rsid w:val="003B2EC4"/>
    <w:rsid w:val="003B694F"/>
    <w:rsid w:val="003B6DD4"/>
    <w:rsid w:val="003B6EE4"/>
    <w:rsid w:val="003C0B13"/>
    <w:rsid w:val="003C6537"/>
    <w:rsid w:val="003C6FA1"/>
    <w:rsid w:val="003D1EA9"/>
    <w:rsid w:val="003D7B34"/>
    <w:rsid w:val="003E355D"/>
    <w:rsid w:val="003F06F0"/>
    <w:rsid w:val="003F171C"/>
    <w:rsid w:val="003F6670"/>
    <w:rsid w:val="004037DD"/>
    <w:rsid w:val="00403C3B"/>
    <w:rsid w:val="004040FC"/>
    <w:rsid w:val="0040599A"/>
    <w:rsid w:val="004112B9"/>
    <w:rsid w:val="00412FC5"/>
    <w:rsid w:val="0041336D"/>
    <w:rsid w:val="00413AF1"/>
    <w:rsid w:val="00413FD5"/>
    <w:rsid w:val="00416FEB"/>
    <w:rsid w:val="0041725A"/>
    <w:rsid w:val="0041731F"/>
    <w:rsid w:val="00422276"/>
    <w:rsid w:val="004242F1"/>
    <w:rsid w:val="00431D1E"/>
    <w:rsid w:val="00432A42"/>
    <w:rsid w:val="00435471"/>
    <w:rsid w:val="00440C3F"/>
    <w:rsid w:val="00445A00"/>
    <w:rsid w:val="0045103C"/>
    <w:rsid w:val="00451B0F"/>
    <w:rsid w:val="0045370F"/>
    <w:rsid w:val="00460463"/>
    <w:rsid w:val="0046125F"/>
    <w:rsid w:val="00461E03"/>
    <w:rsid w:val="00462A17"/>
    <w:rsid w:val="00463107"/>
    <w:rsid w:val="004638E7"/>
    <w:rsid w:val="00465124"/>
    <w:rsid w:val="00465CF9"/>
    <w:rsid w:val="00470C8F"/>
    <w:rsid w:val="00477263"/>
    <w:rsid w:val="00482561"/>
    <w:rsid w:val="00482EA5"/>
    <w:rsid w:val="0048310D"/>
    <w:rsid w:val="004852EA"/>
    <w:rsid w:val="004871D9"/>
    <w:rsid w:val="00487524"/>
    <w:rsid w:val="004926D7"/>
    <w:rsid w:val="004926F2"/>
    <w:rsid w:val="004958F3"/>
    <w:rsid w:val="00496106"/>
    <w:rsid w:val="00497EFA"/>
    <w:rsid w:val="004A1280"/>
    <w:rsid w:val="004A1DD9"/>
    <w:rsid w:val="004A33A9"/>
    <w:rsid w:val="004A3D9B"/>
    <w:rsid w:val="004A4205"/>
    <w:rsid w:val="004B340A"/>
    <w:rsid w:val="004B6975"/>
    <w:rsid w:val="004C0625"/>
    <w:rsid w:val="004C12D0"/>
    <w:rsid w:val="004C2EE3"/>
    <w:rsid w:val="004C3C56"/>
    <w:rsid w:val="004C42D7"/>
    <w:rsid w:val="004C4ECE"/>
    <w:rsid w:val="004C69F7"/>
    <w:rsid w:val="004D038E"/>
    <w:rsid w:val="004D03EA"/>
    <w:rsid w:val="004D4266"/>
    <w:rsid w:val="004D65E8"/>
    <w:rsid w:val="004D6DF3"/>
    <w:rsid w:val="004E1065"/>
    <w:rsid w:val="004E13AB"/>
    <w:rsid w:val="004E4A22"/>
    <w:rsid w:val="004E4F61"/>
    <w:rsid w:val="004E6315"/>
    <w:rsid w:val="004E64FE"/>
    <w:rsid w:val="004F0016"/>
    <w:rsid w:val="004F4AAE"/>
    <w:rsid w:val="00503BA8"/>
    <w:rsid w:val="00504C43"/>
    <w:rsid w:val="005101FD"/>
    <w:rsid w:val="00511968"/>
    <w:rsid w:val="00515482"/>
    <w:rsid w:val="00516298"/>
    <w:rsid w:val="00517B3A"/>
    <w:rsid w:val="00521A67"/>
    <w:rsid w:val="0052260C"/>
    <w:rsid w:val="00524206"/>
    <w:rsid w:val="00526890"/>
    <w:rsid w:val="005313B1"/>
    <w:rsid w:val="0053235D"/>
    <w:rsid w:val="00533791"/>
    <w:rsid w:val="005364C7"/>
    <w:rsid w:val="005405B2"/>
    <w:rsid w:val="005413F0"/>
    <w:rsid w:val="0054218D"/>
    <w:rsid w:val="005421E9"/>
    <w:rsid w:val="00546732"/>
    <w:rsid w:val="005479D8"/>
    <w:rsid w:val="0055614C"/>
    <w:rsid w:val="00557BB8"/>
    <w:rsid w:val="00557F08"/>
    <w:rsid w:val="005611DA"/>
    <w:rsid w:val="00562AC1"/>
    <w:rsid w:val="00564611"/>
    <w:rsid w:val="00567387"/>
    <w:rsid w:val="00574DE9"/>
    <w:rsid w:val="00586729"/>
    <w:rsid w:val="00587212"/>
    <w:rsid w:val="005912E0"/>
    <w:rsid w:val="005925FE"/>
    <w:rsid w:val="005942B6"/>
    <w:rsid w:val="00594DB3"/>
    <w:rsid w:val="00596429"/>
    <w:rsid w:val="005A2173"/>
    <w:rsid w:val="005A310D"/>
    <w:rsid w:val="005A5E4C"/>
    <w:rsid w:val="005B109C"/>
    <w:rsid w:val="005C1B22"/>
    <w:rsid w:val="005C2BEA"/>
    <w:rsid w:val="005C352D"/>
    <w:rsid w:val="005D2AFA"/>
    <w:rsid w:val="005D2C09"/>
    <w:rsid w:val="005D40ED"/>
    <w:rsid w:val="005D7000"/>
    <w:rsid w:val="005E09C1"/>
    <w:rsid w:val="005F2D69"/>
    <w:rsid w:val="005F65C8"/>
    <w:rsid w:val="005F69FE"/>
    <w:rsid w:val="00600184"/>
    <w:rsid w:val="00603250"/>
    <w:rsid w:val="00607BA5"/>
    <w:rsid w:val="00612875"/>
    <w:rsid w:val="006130AA"/>
    <w:rsid w:val="006153C7"/>
    <w:rsid w:val="00620D38"/>
    <w:rsid w:val="00621985"/>
    <w:rsid w:val="00626EB6"/>
    <w:rsid w:val="00630468"/>
    <w:rsid w:val="00634416"/>
    <w:rsid w:val="006353A3"/>
    <w:rsid w:val="0064558E"/>
    <w:rsid w:val="00645D44"/>
    <w:rsid w:val="006521D2"/>
    <w:rsid w:val="00653BBF"/>
    <w:rsid w:val="00655D03"/>
    <w:rsid w:val="00667150"/>
    <w:rsid w:val="0067038B"/>
    <w:rsid w:val="00673C4B"/>
    <w:rsid w:val="0068376B"/>
    <w:rsid w:val="00683F84"/>
    <w:rsid w:val="00686EF1"/>
    <w:rsid w:val="0069763A"/>
    <w:rsid w:val="00697E0F"/>
    <w:rsid w:val="006A1CFF"/>
    <w:rsid w:val="006A3BF4"/>
    <w:rsid w:val="006A6A81"/>
    <w:rsid w:val="006B0DA5"/>
    <w:rsid w:val="006B1D73"/>
    <w:rsid w:val="006B3637"/>
    <w:rsid w:val="006B60B2"/>
    <w:rsid w:val="006B77BF"/>
    <w:rsid w:val="006C18AC"/>
    <w:rsid w:val="006C48E5"/>
    <w:rsid w:val="006C4C2A"/>
    <w:rsid w:val="006C4D6E"/>
    <w:rsid w:val="006C5101"/>
    <w:rsid w:val="006C6E26"/>
    <w:rsid w:val="006D0E62"/>
    <w:rsid w:val="006D16D6"/>
    <w:rsid w:val="006D1C17"/>
    <w:rsid w:val="006D5C84"/>
    <w:rsid w:val="006D6A16"/>
    <w:rsid w:val="006E26AF"/>
    <w:rsid w:val="006E2D53"/>
    <w:rsid w:val="006E35F9"/>
    <w:rsid w:val="006E7CB6"/>
    <w:rsid w:val="006F30AE"/>
    <w:rsid w:val="006F508F"/>
    <w:rsid w:val="006F6210"/>
    <w:rsid w:val="006F7393"/>
    <w:rsid w:val="00701F94"/>
    <w:rsid w:val="0070224F"/>
    <w:rsid w:val="0070278C"/>
    <w:rsid w:val="00705A25"/>
    <w:rsid w:val="00705B41"/>
    <w:rsid w:val="00710D64"/>
    <w:rsid w:val="007115F7"/>
    <w:rsid w:val="007126EC"/>
    <w:rsid w:val="00721098"/>
    <w:rsid w:val="007214B5"/>
    <w:rsid w:val="00721A0D"/>
    <w:rsid w:val="0072291B"/>
    <w:rsid w:val="007279D1"/>
    <w:rsid w:val="00732CC1"/>
    <w:rsid w:val="00733CE6"/>
    <w:rsid w:val="00742F9F"/>
    <w:rsid w:val="00751DA8"/>
    <w:rsid w:val="00757DB2"/>
    <w:rsid w:val="0076162A"/>
    <w:rsid w:val="00776C00"/>
    <w:rsid w:val="0078103C"/>
    <w:rsid w:val="00785689"/>
    <w:rsid w:val="00786060"/>
    <w:rsid w:val="00786C73"/>
    <w:rsid w:val="00787C52"/>
    <w:rsid w:val="007939CE"/>
    <w:rsid w:val="007944F4"/>
    <w:rsid w:val="0079754B"/>
    <w:rsid w:val="007A02A9"/>
    <w:rsid w:val="007A1E6D"/>
    <w:rsid w:val="007A7C00"/>
    <w:rsid w:val="007B39F9"/>
    <w:rsid w:val="007B4B67"/>
    <w:rsid w:val="007C0EE4"/>
    <w:rsid w:val="007C47BF"/>
    <w:rsid w:val="007C514E"/>
    <w:rsid w:val="007C583B"/>
    <w:rsid w:val="007D0E2C"/>
    <w:rsid w:val="007D2605"/>
    <w:rsid w:val="007D459D"/>
    <w:rsid w:val="007D47EF"/>
    <w:rsid w:val="007D4C40"/>
    <w:rsid w:val="007D5C05"/>
    <w:rsid w:val="007E21B9"/>
    <w:rsid w:val="007E4C54"/>
    <w:rsid w:val="007F0A7C"/>
    <w:rsid w:val="007F39F2"/>
    <w:rsid w:val="007F4B3D"/>
    <w:rsid w:val="007F61CA"/>
    <w:rsid w:val="008001E9"/>
    <w:rsid w:val="008006C6"/>
    <w:rsid w:val="00801BF4"/>
    <w:rsid w:val="008035C2"/>
    <w:rsid w:val="0080493B"/>
    <w:rsid w:val="00807466"/>
    <w:rsid w:val="00807CB5"/>
    <w:rsid w:val="0081317D"/>
    <w:rsid w:val="0082165D"/>
    <w:rsid w:val="00822CE0"/>
    <w:rsid w:val="008232AF"/>
    <w:rsid w:val="008260E9"/>
    <w:rsid w:val="00826498"/>
    <w:rsid w:val="00826725"/>
    <w:rsid w:val="008303AD"/>
    <w:rsid w:val="00830EC3"/>
    <w:rsid w:val="00835EDC"/>
    <w:rsid w:val="00837C62"/>
    <w:rsid w:val="00841AB1"/>
    <w:rsid w:val="00850C1A"/>
    <w:rsid w:val="00851CAF"/>
    <w:rsid w:val="00852F7B"/>
    <w:rsid w:val="00856652"/>
    <w:rsid w:val="008646BC"/>
    <w:rsid w:val="00873A84"/>
    <w:rsid w:val="00875C49"/>
    <w:rsid w:val="00881E98"/>
    <w:rsid w:val="00882D12"/>
    <w:rsid w:val="0088549E"/>
    <w:rsid w:val="00885669"/>
    <w:rsid w:val="0089293C"/>
    <w:rsid w:val="00893493"/>
    <w:rsid w:val="008949DB"/>
    <w:rsid w:val="00894A00"/>
    <w:rsid w:val="00894AAD"/>
    <w:rsid w:val="008959F5"/>
    <w:rsid w:val="00895BE7"/>
    <w:rsid w:val="00896BFD"/>
    <w:rsid w:val="008A0060"/>
    <w:rsid w:val="008A1D37"/>
    <w:rsid w:val="008B00C6"/>
    <w:rsid w:val="008B1B6B"/>
    <w:rsid w:val="008B1F46"/>
    <w:rsid w:val="008B252B"/>
    <w:rsid w:val="008B4E2D"/>
    <w:rsid w:val="008B5510"/>
    <w:rsid w:val="008B6A0E"/>
    <w:rsid w:val="008C0350"/>
    <w:rsid w:val="008C1862"/>
    <w:rsid w:val="008C22FD"/>
    <w:rsid w:val="008C4971"/>
    <w:rsid w:val="008C515B"/>
    <w:rsid w:val="008C6376"/>
    <w:rsid w:val="008D79C9"/>
    <w:rsid w:val="008E2631"/>
    <w:rsid w:val="008E6AD1"/>
    <w:rsid w:val="008E6CFD"/>
    <w:rsid w:val="008F014C"/>
    <w:rsid w:val="008F102C"/>
    <w:rsid w:val="008F20D5"/>
    <w:rsid w:val="008F3069"/>
    <w:rsid w:val="008F5AF2"/>
    <w:rsid w:val="00900E12"/>
    <w:rsid w:val="009011ED"/>
    <w:rsid w:val="0090320C"/>
    <w:rsid w:val="0090697E"/>
    <w:rsid w:val="00910376"/>
    <w:rsid w:val="00910605"/>
    <w:rsid w:val="00910F12"/>
    <w:rsid w:val="009121D2"/>
    <w:rsid w:val="00926503"/>
    <w:rsid w:val="00930ECF"/>
    <w:rsid w:val="00935DE2"/>
    <w:rsid w:val="00941C31"/>
    <w:rsid w:val="00943811"/>
    <w:rsid w:val="009447DE"/>
    <w:rsid w:val="00944DE3"/>
    <w:rsid w:val="00946F61"/>
    <w:rsid w:val="009504EC"/>
    <w:rsid w:val="00954ACD"/>
    <w:rsid w:val="00961B70"/>
    <w:rsid w:val="00963F3D"/>
    <w:rsid w:val="00966974"/>
    <w:rsid w:val="00970ED7"/>
    <w:rsid w:val="009714C5"/>
    <w:rsid w:val="009737D7"/>
    <w:rsid w:val="00974E24"/>
    <w:rsid w:val="009826E9"/>
    <w:rsid w:val="00982856"/>
    <w:rsid w:val="009838BC"/>
    <w:rsid w:val="00985D6E"/>
    <w:rsid w:val="00987626"/>
    <w:rsid w:val="00996877"/>
    <w:rsid w:val="009A6538"/>
    <w:rsid w:val="009B2C58"/>
    <w:rsid w:val="009B3A04"/>
    <w:rsid w:val="009B46E4"/>
    <w:rsid w:val="009B6F1C"/>
    <w:rsid w:val="009C125B"/>
    <w:rsid w:val="009C4601"/>
    <w:rsid w:val="009C5EC5"/>
    <w:rsid w:val="009C6ECF"/>
    <w:rsid w:val="009C76DC"/>
    <w:rsid w:val="009D0AA2"/>
    <w:rsid w:val="009D1FC1"/>
    <w:rsid w:val="009D4574"/>
    <w:rsid w:val="009D7E22"/>
    <w:rsid w:val="009E077C"/>
    <w:rsid w:val="009E0D0D"/>
    <w:rsid w:val="009E0F5D"/>
    <w:rsid w:val="009E255A"/>
    <w:rsid w:val="009E2ECC"/>
    <w:rsid w:val="009E4B5C"/>
    <w:rsid w:val="009E4E52"/>
    <w:rsid w:val="009E57A2"/>
    <w:rsid w:val="009F3D3F"/>
    <w:rsid w:val="00A14916"/>
    <w:rsid w:val="00A1506C"/>
    <w:rsid w:val="00A150CB"/>
    <w:rsid w:val="00A165E1"/>
    <w:rsid w:val="00A17103"/>
    <w:rsid w:val="00A1783E"/>
    <w:rsid w:val="00A33092"/>
    <w:rsid w:val="00A34121"/>
    <w:rsid w:val="00A41DEF"/>
    <w:rsid w:val="00A430B0"/>
    <w:rsid w:val="00A44990"/>
    <w:rsid w:val="00A45F4F"/>
    <w:rsid w:val="00A476FB"/>
    <w:rsid w:val="00A517D8"/>
    <w:rsid w:val="00A5568F"/>
    <w:rsid w:val="00A55B2A"/>
    <w:rsid w:val="00A600A9"/>
    <w:rsid w:val="00A70359"/>
    <w:rsid w:val="00A72074"/>
    <w:rsid w:val="00A81BE3"/>
    <w:rsid w:val="00A82AAC"/>
    <w:rsid w:val="00A84C5D"/>
    <w:rsid w:val="00A85694"/>
    <w:rsid w:val="00A866AC"/>
    <w:rsid w:val="00A914FA"/>
    <w:rsid w:val="00A94D77"/>
    <w:rsid w:val="00A966B9"/>
    <w:rsid w:val="00AA28C1"/>
    <w:rsid w:val="00AA3674"/>
    <w:rsid w:val="00AA55B7"/>
    <w:rsid w:val="00AA5B9E"/>
    <w:rsid w:val="00AB22BD"/>
    <w:rsid w:val="00AB2407"/>
    <w:rsid w:val="00AB53DF"/>
    <w:rsid w:val="00AB5DB8"/>
    <w:rsid w:val="00AB6326"/>
    <w:rsid w:val="00AB7410"/>
    <w:rsid w:val="00AC11F4"/>
    <w:rsid w:val="00AC3406"/>
    <w:rsid w:val="00AC7CED"/>
    <w:rsid w:val="00AD085A"/>
    <w:rsid w:val="00AD0DAE"/>
    <w:rsid w:val="00AD3089"/>
    <w:rsid w:val="00AD4362"/>
    <w:rsid w:val="00AD4B6C"/>
    <w:rsid w:val="00AD61D0"/>
    <w:rsid w:val="00AD62BF"/>
    <w:rsid w:val="00AE2942"/>
    <w:rsid w:val="00AE2EB4"/>
    <w:rsid w:val="00AF1B55"/>
    <w:rsid w:val="00AF3080"/>
    <w:rsid w:val="00B03D86"/>
    <w:rsid w:val="00B045FA"/>
    <w:rsid w:val="00B07D6D"/>
    <w:rsid w:val="00B07E5C"/>
    <w:rsid w:val="00B11A2D"/>
    <w:rsid w:val="00B1567F"/>
    <w:rsid w:val="00B15B8A"/>
    <w:rsid w:val="00B206D2"/>
    <w:rsid w:val="00B214C3"/>
    <w:rsid w:val="00B23251"/>
    <w:rsid w:val="00B24F8F"/>
    <w:rsid w:val="00B326E3"/>
    <w:rsid w:val="00B476CF"/>
    <w:rsid w:val="00B47A09"/>
    <w:rsid w:val="00B5148C"/>
    <w:rsid w:val="00B51502"/>
    <w:rsid w:val="00B56DAD"/>
    <w:rsid w:val="00B63320"/>
    <w:rsid w:val="00B7232B"/>
    <w:rsid w:val="00B739FC"/>
    <w:rsid w:val="00B77AE1"/>
    <w:rsid w:val="00B77B43"/>
    <w:rsid w:val="00B811F7"/>
    <w:rsid w:val="00B94471"/>
    <w:rsid w:val="00BA5DC6"/>
    <w:rsid w:val="00BA6196"/>
    <w:rsid w:val="00BA6B6D"/>
    <w:rsid w:val="00BA7910"/>
    <w:rsid w:val="00BA7BD5"/>
    <w:rsid w:val="00BA7D63"/>
    <w:rsid w:val="00BB17C7"/>
    <w:rsid w:val="00BB45EB"/>
    <w:rsid w:val="00BC2454"/>
    <w:rsid w:val="00BC501B"/>
    <w:rsid w:val="00BC5751"/>
    <w:rsid w:val="00BC6D8C"/>
    <w:rsid w:val="00BD27AB"/>
    <w:rsid w:val="00BD4717"/>
    <w:rsid w:val="00BD55D7"/>
    <w:rsid w:val="00BD6D8B"/>
    <w:rsid w:val="00BE44C4"/>
    <w:rsid w:val="00BF19C6"/>
    <w:rsid w:val="00C00311"/>
    <w:rsid w:val="00C11DD0"/>
    <w:rsid w:val="00C122F4"/>
    <w:rsid w:val="00C12D44"/>
    <w:rsid w:val="00C16AF2"/>
    <w:rsid w:val="00C21442"/>
    <w:rsid w:val="00C218E1"/>
    <w:rsid w:val="00C245C9"/>
    <w:rsid w:val="00C30EAC"/>
    <w:rsid w:val="00C3269A"/>
    <w:rsid w:val="00C34006"/>
    <w:rsid w:val="00C36271"/>
    <w:rsid w:val="00C426B1"/>
    <w:rsid w:val="00C42827"/>
    <w:rsid w:val="00C449E0"/>
    <w:rsid w:val="00C45E81"/>
    <w:rsid w:val="00C469D2"/>
    <w:rsid w:val="00C507B8"/>
    <w:rsid w:val="00C51FAB"/>
    <w:rsid w:val="00C5720B"/>
    <w:rsid w:val="00C6231F"/>
    <w:rsid w:val="00C6349B"/>
    <w:rsid w:val="00C63683"/>
    <w:rsid w:val="00C64AB7"/>
    <w:rsid w:val="00C676FC"/>
    <w:rsid w:val="00C67B01"/>
    <w:rsid w:val="00C67FAA"/>
    <w:rsid w:val="00C752CE"/>
    <w:rsid w:val="00C76D09"/>
    <w:rsid w:val="00C8247F"/>
    <w:rsid w:val="00C82B6B"/>
    <w:rsid w:val="00C87D99"/>
    <w:rsid w:val="00C90D6A"/>
    <w:rsid w:val="00C9125B"/>
    <w:rsid w:val="00C912C9"/>
    <w:rsid w:val="00C91BF5"/>
    <w:rsid w:val="00C930FD"/>
    <w:rsid w:val="00C94174"/>
    <w:rsid w:val="00C95521"/>
    <w:rsid w:val="00C976E8"/>
    <w:rsid w:val="00CA060D"/>
    <w:rsid w:val="00CB7E66"/>
    <w:rsid w:val="00CC0CD7"/>
    <w:rsid w:val="00CC240D"/>
    <w:rsid w:val="00CC2E45"/>
    <w:rsid w:val="00CC5984"/>
    <w:rsid w:val="00CC72B6"/>
    <w:rsid w:val="00CD1C5D"/>
    <w:rsid w:val="00CD3AB7"/>
    <w:rsid w:val="00CE014F"/>
    <w:rsid w:val="00CE03F6"/>
    <w:rsid w:val="00CE5163"/>
    <w:rsid w:val="00CE76D6"/>
    <w:rsid w:val="00CF1967"/>
    <w:rsid w:val="00CF2B46"/>
    <w:rsid w:val="00CF49A3"/>
    <w:rsid w:val="00CF74A4"/>
    <w:rsid w:val="00D0218D"/>
    <w:rsid w:val="00D04C2E"/>
    <w:rsid w:val="00D1141E"/>
    <w:rsid w:val="00D11438"/>
    <w:rsid w:val="00D133D4"/>
    <w:rsid w:val="00D16881"/>
    <w:rsid w:val="00D17C64"/>
    <w:rsid w:val="00D20B7D"/>
    <w:rsid w:val="00D216CD"/>
    <w:rsid w:val="00D223B1"/>
    <w:rsid w:val="00D223E4"/>
    <w:rsid w:val="00D224F2"/>
    <w:rsid w:val="00D26227"/>
    <w:rsid w:val="00D329AC"/>
    <w:rsid w:val="00D35934"/>
    <w:rsid w:val="00D40C4A"/>
    <w:rsid w:val="00D4329B"/>
    <w:rsid w:val="00D4414E"/>
    <w:rsid w:val="00D467F7"/>
    <w:rsid w:val="00D47D43"/>
    <w:rsid w:val="00D5048B"/>
    <w:rsid w:val="00D53FFC"/>
    <w:rsid w:val="00D5560E"/>
    <w:rsid w:val="00D5659D"/>
    <w:rsid w:val="00D567B0"/>
    <w:rsid w:val="00D63B21"/>
    <w:rsid w:val="00D66774"/>
    <w:rsid w:val="00D701C1"/>
    <w:rsid w:val="00D70289"/>
    <w:rsid w:val="00D70FA8"/>
    <w:rsid w:val="00D737D3"/>
    <w:rsid w:val="00D73EF7"/>
    <w:rsid w:val="00D7546A"/>
    <w:rsid w:val="00D8285B"/>
    <w:rsid w:val="00D84F94"/>
    <w:rsid w:val="00D9125F"/>
    <w:rsid w:val="00D91360"/>
    <w:rsid w:val="00D92AA4"/>
    <w:rsid w:val="00D9318C"/>
    <w:rsid w:val="00D93DF1"/>
    <w:rsid w:val="00DA2529"/>
    <w:rsid w:val="00DA343C"/>
    <w:rsid w:val="00DB130A"/>
    <w:rsid w:val="00DB37AF"/>
    <w:rsid w:val="00DB4249"/>
    <w:rsid w:val="00DB5FA3"/>
    <w:rsid w:val="00DB640C"/>
    <w:rsid w:val="00DB64E6"/>
    <w:rsid w:val="00DB6574"/>
    <w:rsid w:val="00DC072E"/>
    <w:rsid w:val="00DC10A1"/>
    <w:rsid w:val="00DC5965"/>
    <w:rsid w:val="00DC655F"/>
    <w:rsid w:val="00DC6DE5"/>
    <w:rsid w:val="00DC7B26"/>
    <w:rsid w:val="00DD05B5"/>
    <w:rsid w:val="00DD05D9"/>
    <w:rsid w:val="00DD7175"/>
    <w:rsid w:val="00DD7EBD"/>
    <w:rsid w:val="00DF336C"/>
    <w:rsid w:val="00DF62B6"/>
    <w:rsid w:val="00E00DDA"/>
    <w:rsid w:val="00E028D4"/>
    <w:rsid w:val="00E07225"/>
    <w:rsid w:val="00E1137D"/>
    <w:rsid w:val="00E13E60"/>
    <w:rsid w:val="00E155B7"/>
    <w:rsid w:val="00E170B7"/>
    <w:rsid w:val="00E17F02"/>
    <w:rsid w:val="00E208D0"/>
    <w:rsid w:val="00E20A43"/>
    <w:rsid w:val="00E23CAE"/>
    <w:rsid w:val="00E26076"/>
    <w:rsid w:val="00E3144C"/>
    <w:rsid w:val="00E3186C"/>
    <w:rsid w:val="00E3300C"/>
    <w:rsid w:val="00E50E12"/>
    <w:rsid w:val="00E51823"/>
    <w:rsid w:val="00E5409F"/>
    <w:rsid w:val="00E54395"/>
    <w:rsid w:val="00E550CB"/>
    <w:rsid w:val="00E5751D"/>
    <w:rsid w:val="00E57F5A"/>
    <w:rsid w:val="00E765B8"/>
    <w:rsid w:val="00E85D70"/>
    <w:rsid w:val="00E8720E"/>
    <w:rsid w:val="00E90079"/>
    <w:rsid w:val="00E908C3"/>
    <w:rsid w:val="00E92EDC"/>
    <w:rsid w:val="00EA2BE8"/>
    <w:rsid w:val="00EA6B3A"/>
    <w:rsid w:val="00EA7615"/>
    <w:rsid w:val="00EB34F4"/>
    <w:rsid w:val="00EB428A"/>
    <w:rsid w:val="00EB55E7"/>
    <w:rsid w:val="00EB64E5"/>
    <w:rsid w:val="00EC0185"/>
    <w:rsid w:val="00EC048A"/>
    <w:rsid w:val="00EC10AA"/>
    <w:rsid w:val="00EC2E06"/>
    <w:rsid w:val="00EC4905"/>
    <w:rsid w:val="00EC62F2"/>
    <w:rsid w:val="00ED3C91"/>
    <w:rsid w:val="00EE144F"/>
    <w:rsid w:val="00EE31AA"/>
    <w:rsid w:val="00EE6393"/>
    <w:rsid w:val="00EE67FE"/>
    <w:rsid w:val="00EF36DD"/>
    <w:rsid w:val="00F021FA"/>
    <w:rsid w:val="00F02F0B"/>
    <w:rsid w:val="00F06ADE"/>
    <w:rsid w:val="00F07910"/>
    <w:rsid w:val="00F112EF"/>
    <w:rsid w:val="00F11D41"/>
    <w:rsid w:val="00F11F99"/>
    <w:rsid w:val="00F128F6"/>
    <w:rsid w:val="00F15B84"/>
    <w:rsid w:val="00F17BB2"/>
    <w:rsid w:val="00F305BE"/>
    <w:rsid w:val="00F328AA"/>
    <w:rsid w:val="00F33E73"/>
    <w:rsid w:val="00F377CB"/>
    <w:rsid w:val="00F3790D"/>
    <w:rsid w:val="00F41E82"/>
    <w:rsid w:val="00F51091"/>
    <w:rsid w:val="00F52966"/>
    <w:rsid w:val="00F553AC"/>
    <w:rsid w:val="00F574B8"/>
    <w:rsid w:val="00F57ACA"/>
    <w:rsid w:val="00F57B58"/>
    <w:rsid w:val="00F616C3"/>
    <w:rsid w:val="00F6181D"/>
    <w:rsid w:val="00F62E97"/>
    <w:rsid w:val="00F64209"/>
    <w:rsid w:val="00F71B57"/>
    <w:rsid w:val="00F733C6"/>
    <w:rsid w:val="00F73829"/>
    <w:rsid w:val="00F743E0"/>
    <w:rsid w:val="00F80931"/>
    <w:rsid w:val="00F80D22"/>
    <w:rsid w:val="00F8483C"/>
    <w:rsid w:val="00F87E61"/>
    <w:rsid w:val="00F93BF5"/>
    <w:rsid w:val="00F93FC0"/>
    <w:rsid w:val="00F96F63"/>
    <w:rsid w:val="00FA55C5"/>
    <w:rsid w:val="00FA59E6"/>
    <w:rsid w:val="00FA7FC0"/>
    <w:rsid w:val="00FB0A19"/>
    <w:rsid w:val="00FB18D2"/>
    <w:rsid w:val="00FB225F"/>
    <w:rsid w:val="00FB25F4"/>
    <w:rsid w:val="00FB340E"/>
    <w:rsid w:val="00FB3EAB"/>
    <w:rsid w:val="00FB508D"/>
    <w:rsid w:val="00FB5221"/>
    <w:rsid w:val="00FC2CA6"/>
    <w:rsid w:val="00FC305D"/>
    <w:rsid w:val="00FC55CC"/>
    <w:rsid w:val="00FC565F"/>
    <w:rsid w:val="00FC71A0"/>
    <w:rsid w:val="00FC7E18"/>
    <w:rsid w:val="00FD1E07"/>
    <w:rsid w:val="00FD1EA3"/>
    <w:rsid w:val="00FD3C72"/>
    <w:rsid w:val="00FD66D5"/>
    <w:rsid w:val="00FE326A"/>
    <w:rsid w:val="00FE752F"/>
    <w:rsid w:val="00FF0384"/>
    <w:rsid w:val="00FF44BB"/>
    <w:rsid w:val="00FF778E"/>
    <w:rsid w:val="00FF7863"/>
    <w:rsid w:val="05B1785E"/>
    <w:rsid w:val="18607F87"/>
    <w:rsid w:val="1A982C9B"/>
    <w:rsid w:val="271648C2"/>
    <w:rsid w:val="3679D128"/>
    <w:rsid w:val="38D5EBEF"/>
    <w:rsid w:val="3B9042E4"/>
    <w:rsid w:val="41E9C31D"/>
    <w:rsid w:val="4B777D06"/>
    <w:rsid w:val="771FCD0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AD8D4DB5-F252-4BAC-A748-8D74872D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17"/>
    <w:pPr>
      <w:widowControl w:val="0"/>
    </w:pPr>
    <w:rPr>
      <w:kern w:val="28"/>
      <w:sz w:val="22"/>
    </w:rPr>
  </w:style>
  <w:style w:type="paragraph" w:styleId="Heading1">
    <w:name w:val="heading 1"/>
    <w:aliases w:val="Heading 1 Char Char Char Char,Heading 1 Char Char Char Char Char Char,Heading 1 Char Char Char1 Char,Heading 1 Char Char1 Char Char,Heading 1 Char Char1 Char1,Heading 1 Char Char2 Char,Heading 1 Char1 Char Char,Heading 1 Char2"/>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link w:val="Heading5Char1"/>
    <w:uiPriority w:val="9"/>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link w:val="Heading7Char1"/>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aliases w:val="9,Heading 9 Char,Heading 9.table,Titre 9,Topic,t,table"/>
    <w:basedOn w:val="Normal"/>
    <w:next w:val="ParaNum"/>
    <w:link w:val="Heading9Char1"/>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Heading 1 Char Char Char Char Char Char Char,Heading 1 Char Char Char1 Char Char,Heading 1 Char Char1 Char Char Char,Heading 1 Char Char1 Char1 Char,Heading 1 Char Char2 Char Char,Heading 1 Char2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basedOn w:val="DefaultParagraphFont"/>
    <w:link w:val="Heading2"/>
    <w:uiPriority w:val="9"/>
    <w:locked/>
    <w:rsid w:val="00C449E0"/>
    <w:rPr>
      <w:b/>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basedOn w:val="DefaultParagraphFont"/>
    <w:link w:val="Heading3"/>
    <w:uiPriority w:val="9"/>
    <w:locked/>
    <w:rsid w:val="00C449E0"/>
    <w:rPr>
      <w:b/>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1">
    <w:name w:val="Heading 5 Char1"/>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1">
    <w:name w:val="Heading 7 Char1"/>
    <w:aliases w:val="Heading 7 Char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1">
    <w:name w:val="Heading 9 Char1"/>
    <w:aliases w:val="9 Char,Heading 9 Char Char,Heading 9.table Char,Titre 9 Char,Topic Char,t Char,table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link w:val="ParaNumChar"/>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Pr>
      <w:vertAlign w:val="superscript"/>
    </w:rPr>
  </w:style>
  <w:style w:type="paragraph" w:styleId="FootnoteText">
    <w:name w:val="footnote text"/>
    <w:aliases w:val="ALTS FOOTNOTE,ALTS FOOTNOTE Char1,Footnote Text Char Char,Footnote Text Char1,Footnote Text Char2,Footnote Text Char2 Char Char,Footnote Text Char2 Char1 Char1 Char Char,Footnote Text Char3 Char1 Char Char,Footnote Text... + Italic,f,fn"/>
    <w:basedOn w:val="Normal"/>
    <w:link w:val="FootnoteTextChar"/>
    <w:uiPriority w:val="99"/>
    <w:rsid w:val="000E3D42"/>
    <w:pPr>
      <w:widowControl/>
      <w:spacing w:after="120"/>
    </w:pPr>
    <w:rPr>
      <w:kern w:val="0"/>
      <w:sz w:val="20"/>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 Italic Char,f Char,fn Char"/>
    <w:basedOn w:val="DefaultParagraphFont"/>
    <w:link w:val="FootnoteText"/>
    <w:uiPriority w:val="99"/>
    <w:locked/>
    <w:rsid w:val="006D1C17"/>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uiPriority w:val="99"/>
    <w:semiHidden/>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10F12"/>
    <w:rPr>
      <w:kern w:val="28"/>
      <w:sz w:val="22"/>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ParaNumChar">
    <w:name w:val="ParaNum Char"/>
    <w:link w:val="ParaNum"/>
    <w:locked/>
    <w:rsid w:val="006D1C17"/>
    <w:rPr>
      <w:kern w:val="28"/>
      <w:sz w:val="22"/>
    </w:rPr>
  </w:style>
  <w:style w:type="paragraph" w:customStyle="1" w:styleId="xmsonormal">
    <w:name w:val="x_msonormal"/>
    <w:basedOn w:val="Normal"/>
    <w:rsid w:val="006D1C17"/>
    <w:pPr>
      <w:widowControl/>
    </w:pPr>
    <w:rPr>
      <w:rFonts w:ascii="Calibri" w:hAnsi="Calibri" w:cs="Calibri"/>
      <w:kern w:val="0"/>
      <w:szCs w:val="22"/>
    </w:rPr>
  </w:style>
  <w:style w:type="paragraph" w:styleId="BalloonText">
    <w:name w:val="Balloon Text"/>
    <w:basedOn w:val="Normal"/>
    <w:link w:val="BalloonTextChar"/>
    <w:uiPriority w:val="99"/>
    <w:semiHidden/>
    <w:unhideWhenUsed/>
    <w:rsid w:val="00FF038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0384"/>
    <w:rPr>
      <w:rFonts w:ascii="Segoe UI" w:hAnsi="Segoe UI" w:cs="Segoe UI"/>
      <w:kern w:val="28"/>
      <w:sz w:val="18"/>
      <w:szCs w:val="18"/>
    </w:rPr>
  </w:style>
  <w:style w:type="paragraph" w:styleId="ListParagraph">
    <w:name w:val="List Paragraph"/>
    <w:basedOn w:val="Normal"/>
    <w:uiPriority w:val="34"/>
    <w:qFormat/>
    <w:rsid w:val="00C449E0"/>
    <w:pPr>
      <w:spacing w:after="160" w:line="259" w:lineRule="auto"/>
      <w:ind w:left="720"/>
      <w:contextualSpacing/>
    </w:pPr>
    <w:rPr>
      <w:rFonts w:ascii="Calibri" w:hAnsi="Calibri" w:cs="Arial"/>
    </w:rPr>
  </w:style>
  <w:style w:type="character" w:styleId="CommentReference">
    <w:name w:val="annotation reference"/>
    <w:basedOn w:val="DefaultParagraphFont"/>
    <w:uiPriority w:val="99"/>
    <w:semiHidden/>
    <w:unhideWhenUsed/>
    <w:rsid w:val="006C6E26"/>
    <w:rPr>
      <w:rFonts w:cs="Times New Roman"/>
      <w:sz w:val="16"/>
      <w:szCs w:val="16"/>
    </w:rPr>
  </w:style>
  <w:style w:type="paragraph" w:styleId="CommentText">
    <w:name w:val="annotation text"/>
    <w:basedOn w:val="Normal"/>
    <w:link w:val="CommentTextChar"/>
    <w:uiPriority w:val="99"/>
    <w:semiHidden/>
    <w:unhideWhenUsed/>
    <w:rsid w:val="006C6E26"/>
    <w:rPr>
      <w:sz w:val="20"/>
    </w:rPr>
  </w:style>
  <w:style w:type="character" w:customStyle="1" w:styleId="CommentTextChar">
    <w:name w:val="Comment Text Char"/>
    <w:basedOn w:val="DefaultParagraphFont"/>
    <w:link w:val="CommentText"/>
    <w:uiPriority w:val="99"/>
    <w:semiHidden/>
    <w:locked/>
    <w:rsid w:val="006C6E26"/>
    <w:rPr>
      <w:rFonts w:cs="Times New Roman"/>
      <w:kern w:val="28"/>
    </w:rPr>
  </w:style>
  <w:style w:type="paragraph" w:styleId="CommentSubject">
    <w:name w:val="annotation subject"/>
    <w:basedOn w:val="CommentText"/>
    <w:next w:val="CommentText"/>
    <w:link w:val="CommentSubjectChar"/>
    <w:uiPriority w:val="99"/>
    <w:semiHidden/>
    <w:unhideWhenUsed/>
    <w:rsid w:val="006C6E26"/>
    <w:rPr>
      <w:b/>
      <w:bCs/>
    </w:rPr>
  </w:style>
  <w:style w:type="character" w:customStyle="1" w:styleId="CommentSubjectChar">
    <w:name w:val="Comment Subject Char"/>
    <w:basedOn w:val="CommentTextChar"/>
    <w:link w:val="CommentSubject"/>
    <w:uiPriority w:val="99"/>
    <w:semiHidden/>
    <w:locked/>
    <w:rsid w:val="006C6E26"/>
    <w:rPr>
      <w:rFonts w:cs="Times New Roman"/>
      <w:b/>
      <w:bCs/>
      <w:kern w:val="28"/>
    </w:rPr>
  </w:style>
  <w:style w:type="table" w:styleId="TableGrid">
    <w:name w:val="Table Grid"/>
    <w:basedOn w:val="TableNormal"/>
    <w:uiPriority w:val="59"/>
    <w:rsid w:val="0056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E4E52"/>
    <w:rPr>
      <w:rFonts w:cs="Times New Roman"/>
      <w:color w:val="605E5C"/>
      <w:shd w:val="clear" w:color="auto" w:fill="E1DFDD"/>
    </w:rPr>
  </w:style>
  <w:style w:type="paragraph" w:styleId="Revision">
    <w:name w:val="Revision"/>
    <w:hidden/>
    <w:uiPriority w:val="99"/>
    <w:semiHidden/>
    <w:rsid w:val="004958F3"/>
    <w:rPr>
      <w:kern w:val="28"/>
      <w:sz w:val="22"/>
    </w:rPr>
  </w:style>
  <w:style w:type="character" w:styleId="FollowedHyperlink">
    <w:name w:val="FollowedHyperlink"/>
    <w:basedOn w:val="DefaultParagraphFont"/>
    <w:uiPriority w:val="99"/>
    <w:semiHidden/>
    <w:unhideWhenUsed/>
    <w:rsid w:val="00D50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supplychain/coveredlist"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