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D1776E" w:rsidP="00D1776E" w14:paraId="5CD7B01C" w14:textId="77777777">
      <w:pPr>
        <w:widowControl/>
        <w:jc w:val="center"/>
        <w:rPr>
          <w:b/>
        </w:rPr>
      </w:pPr>
      <w:r>
        <w:rPr>
          <w:b/>
          <w:kern w:val="0"/>
        </w:rPr>
        <w:t>Before</w:t>
      </w:r>
      <w:r>
        <w:rPr>
          <w:b/>
        </w:rPr>
        <w:t xml:space="preserve"> the</w:t>
      </w:r>
    </w:p>
    <w:p w:rsidR="00D1776E" w:rsidP="00D1776E" w14:paraId="598BFA5C" w14:textId="77777777">
      <w:pPr>
        <w:pStyle w:val="StyleBoldCentered"/>
        <w:widowControl/>
        <w:rPr>
          <w:rFonts w:ascii="Times New Roman" w:hAnsi="Times New Roman"/>
        </w:rPr>
      </w:pPr>
      <w:r>
        <w:rPr>
          <w:rFonts w:ascii="Times New Roman" w:hAnsi="Times New Roman"/>
        </w:rPr>
        <w:t>F</w:t>
      </w:r>
      <w:r>
        <w:rPr>
          <w:rFonts w:ascii="Times New Roman" w:hAnsi="Times New Roman"/>
          <w:caps w:val="0"/>
        </w:rPr>
        <w:t>ederal Communications Commission</w:t>
      </w:r>
    </w:p>
    <w:p w:rsidR="00D1776E" w:rsidP="00D1776E" w14:paraId="6A10939B" w14:textId="77777777">
      <w:pPr>
        <w:pStyle w:val="StyleBoldCentered"/>
        <w:widowControl/>
        <w:rPr>
          <w:rFonts w:ascii="Times New Roman" w:hAnsi="Times New Roman"/>
        </w:rPr>
      </w:pPr>
      <w:r>
        <w:rPr>
          <w:rFonts w:ascii="Times New Roman" w:hAnsi="Times New Roman"/>
          <w:caps w:val="0"/>
        </w:rPr>
        <w:t>Washington</w:t>
      </w:r>
      <w:r>
        <w:rPr>
          <w:rFonts w:ascii="Times New Roman" w:hAnsi="Times New Roman"/>
        </w:rPr>
        <w:t>, D.C. 20554</w:t>
      </w:r>
    </w:p>
    <w:p w:rsidR="00D1776E" w:rsidP="00D1776E" w14:paraId="18FB88A3" w14:textId="77777777">
      <w:pPr>
        <w:widowControl/>
      </w:pPr>
    </w:p>
    <w:p w:rsidR="00D1776E" w:rsidP="00D1776E" w14:paraId="04B59B34" w14:textId="77777777">
      <w:pPr>
        <w:widowControl/>
      </w:pPr>
    </w:p>
    <w:tbl>
      <w:tblPr>
        <w:tblW w:w="0" w:type="auto"/>
        <w:tblLayout w:type="fixed"/>
        <w:tblLook w:val="0000"/>
      </w:tblPr>
      <w:tblGrid>
        <w:gridCol w:w="4698"/>
        <w:gridCol w:w="630"/>
        <w:gridCol w:w="4248"/>
      </w:tblGrid>
      <w:tr w14:paraId="3BD513F1" w14:textId="77777777" w:rsidTr="00D1776E">
        <w:tblPrEx>
          <w:tblW w:w="0" w:type="auto"/>
          <w:tblLayout w:type="fixed"/>
          <w:tblLook w:val="0000"/>
        </w:tblPrEx>
        <w:tc>
          <w:tcPr>
            <w:tcW w:w="4698" w:type="dxa"/>
          </w:tcPr>
          <w:p w:rsidR="00D1776E" w:rsidP="00D1776E" w14:paraId="460FC007" w14:textId="77777777">
            <w:pPr>
              <w:widowControl/>
              <w:tabs>
                <w:tab w:val="center" w:pos="4680"/>
              </w:tabs>
              <w:suppressAutoHyphens/>
              <w:rPr>
                <w:spacing w:val="-2"/>
              </w:rPr>
            </w:pPr>
            <w:r>
              <w:rPr>
                <w:spacing w:val="-2"/>
              </w:rPr>
              <w:t>In the Matter of</w:t>
            </w:r>
          </w:p>
          <w:p w:rsidR="00D1776E" w:rsidP="00D1776E" w14:paraId="6546B7D7" w14:textId="77777777">
            <w:pPr>
              <w:widowControl/>
              <w:tabs>
                <w:tab w:val="center" w:pos="4680"/>
              </w:tabs>
              <w:suppressAutoHyphens/>
              <w:rPr>
                <w:spacing w:val="-2"/>
              </w:rPr>
            </w:pPr>
          </w:p>
          <w:p w:rsidR="00D1776E" w:rsidP="00D1776E" w14:paraId="65079123" w14:textId="18B2D332">
            <w:pPr>
              <w:widowControl/>
            </w:pPr>
            <w:r>
              <w:t>County</w:t>
            </w:r>
            <w:r w:rsidR="001D479E">
              <w:t xml:space="preserve"> of Morris,</w:t>
            </w:r>
            <w:r>
              <w:t xml:space="preserve"> New </w:t>
            </w:r>
            <w:r w:rsidR="001D479E">
              <w:t>Jersey</w:t>
            </w:r>
          </w:p>
          <w:p w:rsidR="00D1776E" w:rsidP="00D1776E" w14:paraId="6E57EA57" w14:textId="77777777">
            <w:pPr>
              <w:widowControl/>
            </w:pPr>
          </w:p>
          <w:p w:rsidR="00D1776E" w:rsidP="00D1776E" w14:paraId="3DC60AC2" w14:textId="513F5868">
            <w:pPr>
              <w:widowControl/>
              <w:tabs>
                <w:tab w:val="center" w:pos="4680"/>
              </w:tabs>
              <w:suppressAutoHyphens/>
              <w:rPr>
                <w:spacing w:val="-2"/>
              </w:rPr>
            </w:pPr>
            <w:r>
              <w:t xml:space="preserve"> </w:t>
            </w:r>
          </w:p>
        </w:tc>
        <w:tc>
          <w:tcPr>
            <w:tcW w:w="630" w:type="dxa"/>
          </w:tcPr>
          <w:p w:rsidR="00D1776E" w:rsidP="00D1776E" w14:paraId="719797C1" w14:textId="77777777">
            <w:pPr>
              <w:widowControl/>
              <w:tabs>
                <w:tab w:val="center" w:pos="4680"/>
              </w:tabs>
              <w:suppressAutoHyphens/>
              <w:rPr>
                <w:b/>
                <w:spacing w:val="-2"/>
              </w:rPr>
            </w:pPr>
            <w:r>
              <w:rPr>
                <w:b/>
                <w:spacing w:val="-2"/>
              </w:rPr>
              <w:t>)</w:t>
            </w:r>
          </w:p>
          <w:p w:rsidR="00D1776E" w:rsidP="00D1776E" w14:paraId="5FA5BACD" w14:textId="77777777">
            <w:pPr>
              <w:widowControl/>
              <w:tabs>
                <w:tab w:val="center" w:pos="4680"/>
              </w:tabs>
              <w:suppressAutoHyphens/>
              <w:rPr>
                <w:b/>
                <w:spacing w:val="-2"/>
              </w:rPr>
            </w:pPr>
            <w:r>
              <w:rPr>
                <w:b/>
                <w:spacing w:val="-2"/>
              </w:rPr>
              <w:t>)</w:t>
            </w:r>
          </w:p>
          <w:p w:rsidR="00D1776E" w:rsidP="00D1776E" w14:paraId="73FC35B1" w14:textId="77777777">
            <w:pPr>
              <w:widowControl/>
              <w:tabs>
                <w:tab w:val="center" w:pos="4680"/>
              </w:tabs>
              <w:suppressAutoHyphens/>
              <w:rPr>
                <w:b/>
                <w:spacing w:val="-2"/>
              </w:rPr>
            </w:pPr>
            <w:r>
              <w:rPr>
                <w:b/>
                <w:spacing w:val="-2"/>
              </w:rPr>
              <w:t>)</w:t>
            </w:r>
          </w:p>
          <w:p w:rsidR="00D1776E" w:rsidP="00D1776E" w14:paraId="2DA4C4BB" w14:textId="77777777">
            <w:pPr>
              <w:widowControl/>
              <w:tabs>
                <w:tab w:val="center" w:pos="4680"/>
              </w:tabs>
              <w:suppressAutoHyphens/>
              <w:rPr>
                <w:b/>
                <w:spacing w:val="-2"/>
              </w:rPr>
            </w:pPr>
            <w:r>
              <w:rPr>
                <w:b/>
                <w:spacing w:val="-2"/>
              </w:rPr>
              <w:t>)</w:t>
            </w:r>
          </w:p>
          <w:p w:rsidR="00D1776E" w:rsidP="00D1776E" w14:paraId="251C1679" w14:textId="77777777">
            <w:pPr>
              <w:widowControl/>
              <w:tabs>
                <w:tab w:val="center" w:pos="4680"/>
              </w:tabs>
              <w:suppressAutoHyphens/>
              <w:rPr>
                <w:b/>
                <w:spacing w:val="-2"/>
              </w:rPr>
            </w:pPr>
            <w:r>
              <w:rPr>
                <w:b/>
                <w:spacing w:val="-2"/>
              </w:rPr>
              <w:t>)</w:t>
            </w:r>
          </w:p>
          <w:p w:rsidR="00D1776E" w:rsidP="00D1776E" w14:paraId="4196DFF2" w14:textId="77777777">
            <w:pPr>
              <w:widowControl/>
              <w:tabs>
                <w:tab w:val="center" w:pos="4680"/>
              </w:tabs>
              <w:suppressAutoHyphens/>
              <w:rPr>
                <w:b/>
                <w:spacing w:val="-2"/>
              </w:rPr>
            </w:pPr>
            <w:r>
              <w:rPr>
                <w:b/>
                <w:spacing w:val="-2"/>
              </w:rPr>
              <w:t>)</w:t>
            </w:r>
          </w:p>
        </w:tc>
        <w:tc>
          <w:tcPr>
            <w:tcW w:w="4248" w:type="dxa"/>
          </w:tcPr>
          <w:p w:rsidR="00D1776E" w:rsidP="00D1776E" w14:paraId="541A2566" w14:textId="77777777">
            <w:pPr>
              <w:widowControl/>
              <w:tabs>
                <w:tab w:val="center" w:pos="4680"/>
              </w:tabs>
              <w:suppressAutoHyphens/>
              <w:rPr>
                <w:spacing w:val="-2"/>
              </w:rPr>
            </w:pPr>
          </w:p>
          <w:p w:rsidR="00D1776E" w:rsidP="00D1776E" w14:paraId="0A1995C5" w14:textId="77777777">
            <w:pPr>
              <w:pStyle w:val="TOAHeading"/>
              <w:widowControl/>
              <w:tabs>
                <w:tab w:val="center" w:pos="4680"/>
                <w:tab w:val="clear" w:pos="9360"/>
              </w:tabs>
              <w:rPr>
                <w:spacing w:val="-2"/>
              </w:rPr>
            </w:pPr>
          </w:p>
          <w:p w:rsidR="00D1776E" w:rsidP="00E00C84" w14:paraId="129366A2" w14:textId="489DA213">
            <w:pPr>
              <w:widowControl/>
              <w:tabs>
                <w:tab w:val="center" w:pos="4680"/>
              </w:tabs>
              <w:suppressAutoHyphens/>
              <w:rPr>
                <w:spacing w:val="-2"/>
              </w:rPr>
            </w:pPr>
            <w:r>
              <w:t xml:space="preserve">File Nos. </w:t>
            </w:r>
            <w:bookmarkStart w:id="0" w:name="_Hlk34817384"/>
            <w:r w:rsidR="0093259C">
              <w:t>0008925343</w:t>
            </w:r>
            <w:r>
              <w:t xml:space="preserve">, </w:t>
            </w:r>
            <w:r w:rsidRPr="008B2205" w:rsidR="00E00C84">
              <w:t>000</w:t>
            </w:r>
            <w:r w:rsidR="00FB6CC2">
              <w:t>8930926</w:t>
            </w:r>
            <w:r w:rsidRPr="008F7B37">
              <w:t xml:space="preserve">, </w:t>
            </w:r>
            <w:r w:rsidR="000B029F">
              <w:t>0008930929</w:t>
            </w:r>
            <w:bookmarkEnd w:id="0"/>
          </w:p>
        </w:tc>
      </w:tr>
    </w:tbl>
    <w:p w:rsidR="00D1776E" w:rsidP="00D1776E" w14:paraId="786ADC24" w14:textId="77777777">
      <w:pPr>
        <w:widowControl/>
      </w:pPr>
    </w:p>
    <w:p w:rsidR="00D1776E" w:rsidP="00D1776E" w14:paraId="368C37E1" w14:textId="77777777">
      <w:pPr>
        <w:pStyle w:val="StyleBoldCentered"/>
        <w:widowControl/>
        <w:rPr>
          <w:rFonts w:ascii="Times New Roman" w:hAnsi="Times New Roman"/>
        </w:rPr>
      </w:pPr>
      <w:r>
        <w:rPr>
          <w:rFonts w:ascii="Times New Roman" w:hAnsi="Times New Roman"/>
        </w:rPr>
        <w:t>Order</w:t>
      </w:r>
    </w:p>
    <w:p w:rsidR="00D1776E" w:rsidP="00D1776E" w14:paraId="3C4894AC" w14:textId="77777777">
      <w:pPr>
        <w:widowControl/>
        <w:tabs>
          <w:tab w:val="left" w:pos="-720"/>
        </w:tabs>
        <w:suppressAutoHyphens/>
        <w:spacing w:line="227" w:lineRule="auto"/>
        <w:rPr>
          <w:spacing w:val="-2"/>
        </w:rPr>
      </w:pPr>
    </w:p>
    <w:p w:rsidR="00D1776E" w:rsidP="00D1776E" w14:paraId="477C4D78" w14:textId="44DA5E83">
      <w:pPr>
        <w:widowControl/>
        <w:tabs>
          <w:tab w:val="left" w:pos="720"/>
          <w:tab w:val="left" w:pos="5760"/>
          <w:tab w:val="right" w:pos="9360"/>
        </w:tabs>
        <w:suppressAutoHyphens/>
        <w:spacing w:line="227" w:lineRule="auto"/>
        <w:rPr>
          <w:spacing w:val="-2"/>
          <w:szCs w:val="22"/>
        </w:rPr>
      </w:pPr>
      <w:r>
        <w:rPr>
          <w:b/>
          <w:spacing w:val="-2"/>
          <w:szCs w:val="22"/>
        </w:rPr>
        <w:t xml:space="preserve">Adopted: </w:t>
      </w:r>
      <w:r w:rsidR="00061B23">
        <w:rPr>
          <w:b/>
          <w:spacing w:val="-2"/>
          <w:szCs w:val="22"/>
        </w:rPr>
        <w:t>March 12</w:t>
      </w:r>
      <w:r w:rsidR="000B029F">
        <w:rPr>
          <w:b/>
          <w:spacing w:val="-2"/>
          <w:szCs w:val="22"/>
        </w:rPr>
        <w:t>, 202</w:t>
      </w:r>
      <w:r w:rsidR="00073566">
        <w:rPr>
          <w:b/>
          <w:spacing w:val="-2"/>
          <w:szCs w:val="22"/>
        </w:rPr>
        <w:t>1</w:t>
      </w:r>
      <w:r>
        <w:rPr>
          <w:b/>
          <w:spacing w:val="-2"/>
          <w:szCs w:val="22"/>
        </w:rPr>
        <w:tab/>
      </w:r>
      <w:r>
        <w:rPr>
          <w:b/>
          <w:spacing w:val="-2"/>
          <w:szCs w:val="22"/>
        </w:rPr>
        <w:tab/>
        <w:t xml:space="preserve">Released: </w:t>
      </w:r>
      <w:r w:rsidR="00061B23">
        <w:rPr>
          <w:b/>
          <w:spacing w:val="-2"/>
          <w:szCs w:val="22"/>
        </w:rPr>
        <w:t>March 12</w:t>
      </w:r>
      <w:r w:rsidR="004E7D72">
        <w:rPr>
          <w:b/>
          <w:spacing w:val="-2"/>
          <w:szCs w:val="22"/>
        </w:rPr>
        <w:t>, 202</w:t>
      </w:r>
      <w:r w:rsidR="00073566">
        <w:rPr>
          <w:b/>
          <w:spacing w:val="-2"/>
          <w:szCs w:val="22"/>
        </w:rPr>
        <w:t>1</w:t>
      </w:r>
    </w:p>
    <w:p w:rsidR="00D1776E" w:rsidP="00D1776E" w14:paraId="06B4DD46" w14:textId="77777777">
      <w:pPr>
        <w:widowControl/>
        <w:rPr>
          <w:szCs w:val="22"/>
        </w:rPr>
      </w:pPr>
    </w:p>
    <w:p w:rsidR="00D1776E" w:rsidP="00D1776E" w14:paraId="63997063" w14:textId="77777777">
      <w:pPr>
        <w:widowControl/>
        <w:rPr>
          <w:spacing w:val="-2"/>
        </w:rPr>
      </w:pPr>
      <w:r>
        <w:rPr>
          <w:szCs w:val="22"/>
        </w:rPr>
        <w:t>By the</w:t>
      </w:r>
      <w:r>
        <w:rPr>
          <w:spacing w:val="-2"/>
          <w:szCs w:val="22"/>
        </w:rPr>
        <w:t xml:space="preserve"> Chief, Policy and Licensing Division, Public Safety and Homeland Security Bureau:</w:t>
      </w:r>
    </w:p>
    <w:p w:rsidR="00D1776E" w:rsidP="00D1776E" w14:paraId="10797B61" w14:textId="77777777">
      <w:pPr>
        <w:widowControl/>
      </w:pPr>
    </w:p>
    <w:p w:rsidR="00D1776E" w:rsidP="00D1776E" w14:paraId="1F7F03EB" w14:textId="77777777">
      <w:pPr>
        <w:pStyle w:val="Heading1"/>
        <w:widowControl/>
      </w:pPr>
      <w:r>
        <w:t>introduction</w:t>
      </w:r>
    </w:p>
    <w:p w:rsidR="00D1776E" w:rsidRPr="002E27B5" w:rsidP="00D1776E" w14:paraId="66C61361" w14:textId="4EDF0075">
      <w:pPr>
        <w:pStyle w:val="ParaNum"/>
        <w:widowControl/>
      </w:pPr>
      <w:r>
        <w:t>The</w:t>
      </w:r>
      <w:r w:rsidR="00C736FE">
        <w:t xml:space="preserve"> County</w:t>
      </w:r>
      <w:r w:rsidR="00470D04">
        <w:t xml:space="preserve"> of Morris</w:t>
      </w:r>
      <w:r w:rsidR="00C736FE">
        <w:t xml:space="preserve">, New </w:t>
      </w:r>
      <w:r w:rsidR="00470D04">
        <w:t>Jersey</w:t>
      </w:r>
      <w:r w:rsidR="00C736FE">
        <w:t xml:space="preserve"> (</w:t>
      </w:r>
      <w:r w:rsidR="00470D04">
        <w:t>Morris</w:t>
      </w:r>
      <w:r w:rsidR="00C736FE">
        <w:t xml:space="preserve"> or the County)</w:t>
      </w:r>
      <w:r w:rsidR="000E2F6E">
        <w:rPr>
          <w:szCs w:val="22"/>
        </w:rPr>
        <w:t xml:space="preserve"> is </w:t>
      </w:r>
      <w:r w:rsidR="00C736FE">
        <w:rPr>
          <w:szCs w:val="22"/>
        </w:rPr>
        <w:t xml:space="preserve">the licensee of </w:t>
      </w:r>
      <w:r w:rsidR="00073566">
        <w:rPr>
          <w:szCs w:val="22"/>
        </w:rPr>
        <w:t xml:space="preserve">three </w:t>
      </w:r>
      <w:r w:rsidR="00C736FE">
        <w:rPr>
          <w:szCs w:val="22"/>
        </w:rPr>
        <w:t xml:space="preserve">700 MHz trunked public safety </w:t>
      </w:r>
      <w:r w:rsidR="003F411B">
        <w:rPr>
          <w:szCs w:val="22"/>
        </w:rPr>
        <w:t>stations</w:t>
      </w:r>
      <w:r w:rsidR="00DF7031">
        <w:rPr>
          <w:szCs w:val="22"/>
        </w:rPr>
        <w:t>, call signs</w:t>
      </w:r>
      <w:r w:rsidR="00C736FE">
        <w:rPr>
          <w:szCs w:val="22"/>
        </w:rPr>
        <w:t xml:space="preserve"> </w:t>
      </w:r>
      <w:r w:rsidR="005A7DB8">
        <w:rPr>
          <w:szCs w:val="22"/>
        </w:rPr>
        <w:t>WQXD782</w:t>
      </w:r>
      <w:r w:rsidR="00C736FE">
        <w:rPr>
          <w:szCs w:val="22"/>
        </w:rPr>
        <w:t>, WQ</w:t>
      </w:r>
      <w:r w:rsidR="005A7DB8">
        <w:rPr>
          <w:szCs w:val="22"/>
        </w:rPr>
        <w:t>XD784</w:t>
      </w:r>
      <w:r w:rsidR="00C736FE">
        <w:rPr>
          <w:szCs w:val="22"/>
        </w:rPr>
        <w:t>, and WQ</w:t>
      </w:r>
      <w:r w:rsidR="007C6B54">
        <w:rPr>
          <w:szCs w:val="22"/>
        </w:rPr>
        <w:t>XD785</w:t>
      </w:r>
      <w:r w:rsidR="00C736FE">
        <w:rPr>
          <w:szCs w:val="22"/>
        </w:rPr>
        <w:t xml:space="preserve">. </w:t>
      </w:r>
      <w:r w:rsidR="00EE462C">
        <w:rPr>
          <w:szCs w:val="22"/>
        </w:rPr>
        <w:t xml:space="preserve"> </w:t>
      </w:r>
      <w:r w:rsidR="003775B3">
        <w:rPr>
          <w:szCs w:val="22"/>
        </w:rPr>
        <w:t xml:space="preserve">On </w:t>
      </w:r>
      <w:r w:rsidR="00073566">
        <w:rPr>
          <w:szCs w:val="22"/>
        </w:rPr>
        <w:t>November 8, 2017</w:t>
      </w:r>
      <w:r w:rsidR="003775B3">
        <w:rPr>
          <w:szCs w:val="22"/>
        </w:rPr>
        <w:t xml:space="preserve">, </w:t>
      </w:r>
      <w:r w:rsidR="00073566">
        <w:rPr>
          <w:szCs w:val="22"/>
        </w:rPr>
        <w:t>t</w:t>
      </w:r>
      <w:r w:rsidR="00EE462C">
        <w:rPr>
          <w:szCs w:val="22"/>
        </w:rPr>
        <w:t xml:space="preserve">he </w:t>
      </w:r>
      <w:r w:rsidR="000B07E7">
        <w:rPr>
          <w:szCs w:val="22"/>
        </w:rPr>
        <w:t xml:space="preserve">Bureau </w:t>
      </w:r>
      <w:r w:rsidR="00EE462C">
        <w:rPr>
          <w:szCs w:val="22"/>
        </w:rPr>
        <w:t>granted the County</w:t>
      </w:r>
      <w:r w:rsidR="000E2F6E">
        <w:t xml:space="preserve"> </w:t>
      </w:r>
      <w:r w:rsidR="00F92223">
        <w:rPr>
          <w:szCs w:val="22"/>
        </w:rPr>
        <w:t xml:space="preserve">an </w:t>
      </w:r>
      <w:r w:rsidR="000E2F6E">
        <w:rPr>
          <w:szCs w:val="22"/>
        </w:rPr>
        <w:t>extended period to construct the</w:t>
      </w:r>
      <w:r w:rsidR="00EE462C">
        <w:rPr>
          <w:szCs w:val="22"/>
        </w:rPr>
        <w:t>se</w:t>
      </w:r>
      <w:r w:rsidR="000E2F6E">
        <w:rPr>
          <w:szCs w:val="22"/>
        </w:rPr>
        <w:t xml:space="preserve"> </w:t>
      </w:r>
      <w:r w:rsidR="00EE462C">
        <w:rPr>
          <w:szCs w:val="22"/>
        </w:rPr>
        <w:t xml:space="preserve">authorizations.  </w:t>
      </w:r>
      <w:r w:rsidR="00FA3143">
        <w:rPr>
          <w:szCs w:val="22"/>
        </w:rPr>
        <w:t>T</w:t>
      </w:r>
      <w:r w:rsidR="00EE462C">
        <w:rPr>
          <w:szCs w:val="22"/>
        </w:rPr>
        <w:t xml:space="preserve">his </w:t>
      </w:r>
      <w:r w:rsidR="003775B3">
        <w:rPr>
          <w:szCs w:val="22"/>
        </w:rPr>
        <w:t xml:space="preserve">extended </w:t>
      </w:r>
      <w:r w:rsidR="00EE462C">
        <w:rPr>
          <w:szCs w:val="22"/>
        </w:rPr>
        <w:t xml:space="preserve">period ended on </w:t>
      </w:r>
      <w:r w:rsidR="00D17C4D">
        <w:rPr>
          <w:szCs w:val="22"/>
        </w:rPr>
        <w:t>February 8, 2020.</w:t>
      </w:r>
      <w:r w:rsidR="00EE462C">
        <w:rPr>
          <w:szCs w:val="22"/>
        </w:rPr>
        <w:t xml:space="preserve">  </w:t>
      </w:r>
      <w:r w:rsidR="000E2F6E">
        <w:t xml:space="preserve">On </w:t>
      </w:r>
      <w:r w:rsidR="00CE5247">
        <w:t>January</w:t>
      </w:r>
      <w:r w:rsidR="00367ED2">
        <w:t xml:space="preserve"> 7, 20</w:t>
      </w:r>
      <w:r w:rsidR="00CE5247">
        <w:t>20</w:t>
      </w:r>
      <w:r w:rsidR="00703C04">
        <w:t>,</w:t>
      </w:r>
      <w:r w:rsidR="000E2F6E">
        <w:rPr>
          <w:szCs w:val="22"/>
        </w:rPr>
        <w:t xml:space="preserve"> </w:t>
      </w:r>
      <w:r w:rsidR="00367ED2">
        <w:rPr>
          <w:szCs w:val="22"/>
        </w:rPr>
        <w:t xml:space="preserve">the County </w:t>
      </w:r>
      <w:r w:rsidR="000E2F6E">
        <w:t xml:space="preserve">submitted the instant request to extend the construction period </w:t>
      </w:r>
      <w:r w:rsidR="00565013">
        <w:t xml:space="preserve">for all referenced authorizations </w:t>
      </w:r>
      <w:r w:rsidR="000E2F6E">
        <w:t xml:space="preserve">through </w:t>
      </w:r>
      <w:r w:rsidR="007F4743">
        <w:t>February 8</w:t>
      </w:r>
      <w:r w:rsidR="00367ED2">
        <w:t>, 202</w:t>
      </w:r>
      <w:r w:rsidR="007F4743">
        <w:t>2</w:t>
      </w:r>
      <w:r w:rsidR="00A24755">
        <w:t>,</w:t>
      </w:r>
      <w:r w:rsidR="006638A8">
        <w:t xml:space="preserve"> and waive the </w:t>
      </w:r>
      <w:r w:rsidR="00A24755">
        <w:t xml:space="preserve">extended implementation </w:t>
      </w:r>
      <w:r w:rsidR="006638A8">
        <w:t>requirements under Section 90.629 of the Commission’s rules</w:t>
      </w:r>
      <w:r w:rsidR="000E2F6E">
        <w:t>.</w:t>
      </w:r>
      <w:r>
        <w:rPr>
          <w:rStyle w:val="FootnoteReference"/>
        </w:rPr>
        <w:footnoteReference w:id="3"/>
      </w:r>
      <w:r w:rsidRPr="002D3939" w:rsidR="003B2B20">
        <w:rPr>
          <w:szCs w:val="22"/>
        </w:rPr>
        <w:t xml:space="preserve"> </w:t>
      </w:r>
      <w:r w:rsidR="003B2B20">
        <w:rPr>
          <w:szCs w:val="22"/>
        </w:rPr>
        <w:t xml:space="preserve"> </w:t>
      </w:r>
      <w:r w:rsidR="00D420BE">
        <w:rPr>
          <w:szCs w:val="22"/>
        </w:rPr>
        <w:t>As discussed b</w:t>
      </w:r>
      <w:r w:rsidR="000E2F6E">
        <w:t>elow</w:t>
      </w:r>
      <w:r w:rsidR="00D420BE">
        <w:t>,</w:t>
      </w:r>
      <w:r w:rsidR="000E2F6E">
        <w:t xml:space="preserve"> we </w:t>
      </w:r>
      <w:r w:rsidR="00D420BE">
        <w:t xml:space="preserve">grant </w:t>
      </w:r>
      <w:r w:rsidR="00367ED2">
        <w:t>the County’s</w:t>
      </w:r>
      <w:r w:rsidR="000E2F6E">
        <w:t xml:space="preserve"> </w:t>
      </w:r>
      <w:r w:rsidR="00D420BE">
        <w:t xml:space="preserve">extension </w:t>
      </w:r>
      <w:r w:rsidR="000E2F6E">
        <w:t>request</w:t>
      </w:r>
      <w:r w:rsidR="00D420BE">
        <w:t>.</w:t>
      </w:r>
      <w:r w:rsidR="00565013">
        <w:t xml:space="preserve"> </w:t>
      </w:r>
    </w:p>
    <w:p w:rsidR="00D1776E" w:rsidP="00D1776E" w14:paraId="57E2553E" w14:textId="77777777">
      <w:pPr>
        <w:pStyle w:val="Heading1"/>
        <w:widowControl/>
      </w:pPr>
      <w:r>
        <w:t>background</w:t>
      </w:r>
    </w:p>
    <w:p w:rsidR="00D1776E" w:rsidP="00D1776E" w14:paraId="20ECFFAC" w14:textId="520EEDE8">
      <w:pPr>
        <w:pStyle w:val="ParaNum"/>
        <w:widowControl/>
        <w:rPr>
          <w:szCs w:val="22"/>
        </w:rPr>
      </w:pPr>
      <w:r w:rsidRPr="00F875C5">
        <w:rPr>
          <w:i/>
          <w:szCs w:val="22"/>
        </w:rPr>
        <w:t>Extended Implementation</w:t>
      </w:r>
      <w:bookmarkStart w:id="2" w:name="_GoBack"/>
      <w:r w:rsidRPr="00E65AB1">
        <w:rPr>
          <w:iCs/>
          <w:szCs w:val="22"/>
        </w:rPr>
        <w:t xml:space="preserve">.  </w:t>
      </w:r>
      <w:bookmarkEnd w:id="2"/>
      <w:r w:rsidRPr="00F875C5">
        <w:rPr>
          <w:szCs w:val="22"/>
        </w:rPr>
        <w:t>Section 90.551 of the Commission’s rules requires</w:t>
      </w:r>
      <w:r>
        <w:rPr>
          <w:szCs w:val="22"/>
        </w:rPr>
        <w:t xml:space="preserve"> </w:t>
      </w:r>
      <w:r w:rsidRPr="00F875C5">
        <w:rPr>
          <w:szCs w:val="22"/>
        </w:rPr>
        <w:t>700</w:t>
      </w:r>
      <w:r>
        <w:rPr>
          <w:szCs w:val="22"/>
        </w:rPr>
        <w:t xml:space="preserve"> MHz narrowband stations to </w:t>
      </w:r>
      <w:r w:rsidRPr="00F875C5">
        <w:rPr>
          <w:szCs w:val="22"/>
        </w:rPr>
        <w:t>be constructed and placed into operation within 12 months from the date of grant of the authorization</w:t>
      </w:r>
      <w:r w:rsidR="00A24755">
        <w:rPr>
          <w:szCs w:val="22"/>
        </w:rPr>
        <w:t>.</w:t>
      </w:r>
      <w:r>
        <w:rPr>
          <w:rStyle w:val="FootnoteReference"/>
          <w:szCs w:val="22"/>
        </w:rPr>
        <w:footnoteReference w:id="4"/>
      </w:r>
      <w:r w:rsidRPr="00F875C5">
        <w:rPr>
          <w:szCs w:val="22"/>
        </w:rPr>
        <w:t xml:space="preserve"> </w:t>
      </w:r>
      <w:r w:rsidR="00B7601A">
        <w:rPr>
          <w:szCs w:val="22"/>
        </w:rPr>
        <w:t xml:space="preserve"> </w:t>
      </w:r>
      <w:r w:rsidR="00C5035B">
        <w:rPr>
          <w:szCs w:val="22"/>
        </w:rPr>
        <w:t xml:space="preserve">Section </w:t>
      </w:r>
      <w:r w:rsidRPr="00C5035B" w:rsidR="00C5035B">
        <w:rPr>
          <w:szCs w:val="22"/>
        </w:rPr>
        <w:t>90.629</w:t>
      </w:r>
      <w:r w:rsidR="00C5035B">
        <w:rPr>
          <w:szCs w:val="22"/>
        </w:rPr>
        <w:t xml:space="preserve"> of the Commission’s rules</w:t>
      </w:r>
      <w:r w:rsidR="00B7601A">
        <w:rPr>
          <w:szCs w:val="22"/>
        </w:rPr>
        <w:t>, however,</w:t>
      </w:r>
      <w:r w:rsidR="00C5035B">
        <w:rPr>
          <w:szCs w:val="22"/>
        </w:rPr>
        <w:t xml:space="preserve"> </w:t>
      </w:r>
      <w:r>
        <w:rPr>
          <w:szCs w:val="22"/>
        </w:rPr>
        <w:t>allow</w:t>
      </w:r>
      <w:r w:rsidR="00B7601A">
        <w:rPr>
          <w:szCs w:val="22"/>
        </w:rPr>
        <w:t>s</w:t>
      </w:r>
      <w:r w:rsidR="00C5035B">
        <w:rPr>
          <w:szCs w:val="22"/>
        </w:rPr>
        <w:t xml:space="preserve"> licensees a one-time</w:t>
      </w:r>
      <w:r>
        <w:rPr>
          <w:szCs w:val="22"/>
        </w:rPr>
        <w:t xml:space="preserve"> extended </w:t>
      </w:r>
      <w:r w:rsidRPr="00F875C5">
        <w:rPr>
          <w:szCs w:val="22"/>
        </w:rPr>
        <w:t>construction period</w:t>
      </w:r>
      <w:r>
        <w:rPr>
          <w:szCs w:val="22"/>
        </w:rPr>
        <w:t xml:space="preserve"> of up to 5 years</w:t>
      </w:r>
      <w:r w:rsidR="00C5035B">
        <w:rPr>
          <w:szCs w:val="22"/>
        </w:rPr>
        <w:t xml:space="preserve"> subject to certain conditions</w:t>
      </w:r>
      <w:r w:rsidR="004B387D">
        <w:rPr>
          <w:szCs w:val="22"/>
        </w:rPr>
        <w:t>.</w:t>
      </w:r>
      <w:r>
        <w:rPr>
          <w:rStyle w:val="FootnoteReference"/>
          <w:sz w:val="22"/>
          <w:szCs w:val="22"/>
        </w:rPr>
        <w:footnoteReference w:id="5"/>
      </w:r>
    </w:p>
    <w:p w:rsidR="00221764" w:rsidP="00186489" w14:paraId="3867968B" w14:textId="40E97365">
      <w:pPr>
        <w:pStyle w:val="ParaNum"/>
      </w:pPr>
      <w:r w:rsidRPr="007A5BB0">
        <w:rPr>
          <w:i/>
        </w:rPr>
        <w:t>Morris</w:t>
      </w:r>
      <w:r w:rsidRPr="007A5BB0" w:rsidR="00C736FE">
        <w:rPr>
          <w:i/>
        </w:rPr>
        <w:t>’s</w:t>
      </w:r>
      <w:r w:rsidRPr="007A5BB0" w:rsidR="000E2F6E">
        <w:rPr>
          <w:i/>
        </w:rPr>
        <w:t xml:space="preserve"> Waiver Request</w:t>
      </w:r>
      <w:r w:rsidR="000E2F6E">
        <w:t xml:space="preserve">.  </w:t>
      </w:r>
      <w:r>
        <w:t xml:space="preserve">The County states that </w:t>
      </w:r>
      <w:r w:rsidR="00142F93">
        <w:t>it has:</w:t>
      </w:r>
    </w:p>
    <w:p w:rsidR="00142F93" w:rsidP="001F45D4" w14:paraId="400B7D69" w14:textId="052E13E8">
      <w:pPr>
        <w:pStyle w:val="ParaNum"/>
        <w:numPr>
          <w:ilvl w:val="0"/>
          <w:numId w:val="7"/>
        </w:numPr>
      </w:pPr>
      <w:r>
        <w:t>obtained overall approval and initial funding for the radio project</w:t>
      </w:r>
    </w:p>
    <w:p w:rsidR="00142F93" w:rsidP="001F45D4" w14:paraId="13D7056E" w14:textId="7947BD9B">
      <w:pPr>
        <w:pStyle w:val="ParaNum"/>
        <w:numPr>
          <w:ilvl w:val="0"/>
          <w:numId w:val="7"/>
        </w:numPr>
      </w:pPr>
      <w:r>
        <w:t>contracted with a state contract radio system infrastructure vendor for a core upgrade</w:t>
      </w:r>
    </w:p>
    <w:p w:rsidR="00142F93" w:rsidP="001F45D4" w14:paraId="3AF81019" w14:textId="080489E5">
      <w:pPr>
        <w:pStyle w:val="ParaNum"/>
        <w:numPr>
          <w:ilvl w:val="0"/>
          <w:numId w:val="7"/>
        </w:numPr>
      </w:pPr>
      <w:r>
        <w:t>completed the core upgrade</w:t>
      </w:r>
    </w:p>
    <w:p w:rsidR="00142F93" w:rsidP="001F45D4" w14:paraId="45EC07F6" w14:textId="1BA22D88">
      <w:pPr>
        <w:pStyle w:val="ParaNum"/>
        <w:numPr>
          <w:ilvl w:val="0"/>
          <w:numId w:val="7"/>
        </w:numPr>
      </w:pPr>
      <w:r>
        <w:t>contracted with a state contract radio system infrastructure vendor for a network</w:t>
      </w:r>
      <w:r w:rsidR="007204FA">
        <w:t xml:space="preserve"> </w:t>
      </w:r>
      <w:r>
        <w:t>upgrade</w:t>
      </w:r>
    </w:p>
    <w:p w:rsidR="00142F93" w:rsidP="001F45D4" w14:paraId="0AFA382B" w14:textId="61C4713C">
      <w:pPr>
        <w:pStyle w:val="ParaNum"/>
        <w:numPr>
          <w:ilvl w:val="0"/>
          <w:numId w:val="7"/>
        </w:numPr>
      </w:pPr>
      <w:r>
        <w:t>completed the network design</w:t>
      </w:r>
    </w:p>
    <w:p w:rsidR="00142F93" w:rsidP="001F45D4" w14:paraId="3C498E42" w14:textId="4C2BF5EB">
      <w:pPr>
        <w:pStyle w:val="ParaNum"/>
        <w:numPr>
          <w:ilvl w:val="0"/>
          <w:numId w:val="7"/>
        </w:numPr>
      </w:pPr>
      <w:r>
        <w:t>procured new microwave equipment</w:t>
      </w:r>
    </w:p>
    <w:p w:rsidR="00142F93" w:rsidP="001F45D4" w14:paraId="6CE33C23" w14:textId="2B083834">
      <w:pPr>
        <w:pStyle w:val="ParaNum"/>
        <w:numPr>
          <w:ilvl w:val="0"/>
          <w:numId w:val="7"/>
        </w:numPr>
      </w:pPr>
      <w:r>
        <w:t>completed the installation of the new microwave equipment</w:t>
      </w:r>
    </w:p>
    <w:p w:rsidR="00142F93" w:rsidP="001F45D4" w14:paraId="2836F3AC" w14:textId="0996225A">
      <w:pPr>
        <w:pStyle w:val="ParaNum"/>
        <w:numPr>
          <w:ilvl w:val="0"/>
          <w:numId w:val="7"/>
        </w:numPr>
      </w:pPr>
      <w:r>
        <w:t>contracted with a state contract radio system infrastructure vendor for the installation</w:t>
      </w:r>
      <w:r w:rsidR="007204FA">
        <w:t xml:space="preserve"> </w:t>
      </w:r>
      <w:r>
        <w:t>of the microwave equipment</w:t>
      </w:r>
    </w:p>
    <w:p w:rsidR="00142F93" w:rsidP="001F45D4" w14:paraId="5F2EE659" w14:textId="13442510">
      <w:pPr>
        <w:pStyle w:val="ParaNum"/>
        <w:numPr>
          <w:ilvl w:val="0"/>
          <w:numId w:val="7"/>
        </w:numPr>
      </w:pPr>
      <w:r>
        <w:t>completed the installation of the new microwave network</w:t>
      </w:r>
    </w:p>
    <w:p w:rsidR="00142F93" w:rsidP="001F45D4" w14:paraId="2547CE82" w14:textId="3B0A48CD">
      <w:pPr>
        <w:pStyle w:val="ParaNum"/>
        <w:numPr>
          <w:ilvl w:val="0"/>
          <w:numId w:val="7"/>
        </w:numPr>
      </w:pPr>
      <w:r>
        <w:t>upgraded current tie lines with fiber</w:t>
      </w:r>
    </w:p>
    <w:p w:rsidR="00C319D5" w:rsidP="00C319D5" w14:paraId="02F7D135" w14:textId="7821952C">
      <w:pPr>
        <w:pStyle w:val="ParaNum"/>
        <w:numPr>
          <w:ilvl w:val="0"/>
          <w:numId w:val="7"/>
        </w:numPr>
      </w:pPr>
      <w:r>
        <w:t>engaged with the state contract vendor</w:t>
      </w:r>
      <w:r>
        <w:rPr>
          <w:rStyle w:val="FootnoteReference"/>
        </w:rPr>
        <w:footnoteReference w:id="6"/>
      </w:r>
    </w:p>
    <w:p w:rsidR="003D4E63" w:rsidP="003D4E63" w14:paraId="20FA50B8" w14:textId="3FB43BE0">
      <w:pPr>
        <w:pStyle w:val="ParaNum"/>
      </w:pPr>
      <w:r>
        <w:t>The County claims that due to unforeseen circumstances outside of the County’s direct control, the County is unable to meet its current buildout deadlines.  The County cites several factors as contributing to the delayed buildout including, delayed access to the New Jersey state contract to purchase the system and</w:t>
      </w:r>
      <w:r w:rsidRPr="00C319D5">
        <w:t xml:space="preserve"> </w:t>
      </w:r>
      <w:r>
        <w:t>delayed</w:t>
      </w:r>
      <w:r w:rsidRPr="00C319D5">
        <w:t xml:space="preserve"> equipment shipments to the County</w:t>
      </w:r>
      <w:r>
        <w:t xml:space="preserve">.  </w:t>
      </w:r>
      <w:r w:rsidR="00677755">
        <w:t>The County also submits that</w:t>
      </w:r>
      <w:r>
        <w:t xml:space="preserve"> the release schedule of the County’s state contract radio vendor </w:t>
      </w:r>
      <w:r w:rsidR="00B74DCC">
        <w:t>did</w:t>
      </w:r>
      <w:r>
        <w:t xml:space="preserve"> not make the purchased LMR equipment available for delivery until the third quarter of 2019 putting its phased buildout behind schedule.  There </w:t>
      </w:r>
      <w:r w:rsidR="00B74DCC">
        <w:t>were</w:t>
      </w:r>
      <w:r>
        <w:t xml:space="preserve"> also system</w:t>
      </w:r>
      <w:r w:rsidRPr="00C319D5">
        <w:t xml:space="preserve"> </w:t>
      </w:r>
      <w:r>
        <w:t>design and coverage issues at the County’s currently licensed sites.</w:t>
      </w:r>
      <w:r>
        <w:rPr>
          <w:rStyle w:val="FootnoteReference"/>
        </w:rPr>
        <w:footnoteReference w:id="7"/>
      </w:r>
    </w:p>
    <w:p w:rsidR="00D1776E" w:rsidP="00B17C6F" w14:paraId="3F191C49" w14:textId="23DC979A">
      <w:pPr>
        <w:pStyle w:val="ParaNum"/>
      </w:pPr>
      <w:r>
        <w:t xml:space="preserve">The County contends </w:t>
      </w:r>
      <w:r w:rsidRPr="008E0080" w:rsidR="008E0080">
        <w:t xml:space="preserve">that it is in the public interest for the Commission to grant this extension of time and allow the County to implement its new 700 MHz digital radio network supporting emergency communications in Morris County. </w:t>
      </w:r>
      <w:r w:rsidR="009B1716">
        <w:t xml:space="preserve"> </w:t>
      </w:r>
      <w:r w:rsidR="001F4522">
        <w:t xml:space="preserve">The County </w:t>
      </w:r>
      <w:r w:rsidR="00E15823">
        <w:t>updates that they are currently on track to complete the system consistent with their revised slow growth implementation schedule, noting that they have appropriated all funding and procured all equipment and services.</w:t>
      </w:r>
      <w:r>
        <w:rPr>
          <w:rStyle w:val="FootnoteReference"/>
        </w:rPr>
        <w:footnoteReference w:id="8"/>
      </w:r>
      <w:r w:rsidRPr="008E0080" w:rsidR="008E0080">
        <w:t xml:space="preserve"> </w:t>
      </w:r>
      <w:r w:rsidR="003F5E35">
        <w:t xml:space="preserve"> </w:t>
      </w:r>
      <w:r w:rsidR="00C86686">
        <w:t xml:space="preserve">The County argues that </w:t>
      </w:r>
      <w:r w:rsidR="00543ADB">
        <w:t>r</w:t>
      </w:r>
      <w:r w:rsidRPr="008E0080" w:rsidR="008E0080">
        <w:t>ejecting this request will only add undue burden and expense to th</w:t>
      </w:r>
      <w:r w:rsidR="003F5E35">
        <w:t>e</w:t>
      </w:r>
      <w:r w:rsidRPr="008E0080" w:rsidR="008E0080">
        <w:t xml:space="preserve"> County </w:t>
      </w:r>
      <w:r w:rsidR="003F5E35">
        <w:t>in</w:t>
      </w:r>
      <w:r w:rsidRPr="008E0080" w:rsidR="008E0080">
        <w:t xml:space="preserve"> reapply</w:t>
      </w:r>
      <w:r w:rsidR="003F5E35">
        <w:t>ing</w:t>
      </w:r>
      <w:r w:rsidRPr="008E0080" w:rsidR="008E0080">
        <w:t xml:space="preserve"> to the Commission for the already approved and coordinated radio locations once they are ready to construct.</w:t>
      </w:r>
      <w:r>
        <w:rPr>
          <w:rStyle w:val="FootnoteReference"/>
        </w:rPr>
        <w:footnoteReference w:id="9"/>
      </w:r>
    </w:p>
    <w:p w:rsidR="00D1776E" w:rsidP="00D1776E" w14:paraId="415EFC34" w14:textId="77777777">
      <w:pPr>
        <w:pStyle w:val="Heading1"/>
        <w:widowControl/>
      </w:pPr>
      <w:r>
        <w:t>Discussion</w:t>
      </w:r>
    </w:p>
    <w:p w:rsidR="00D1776E" w:rsidRPr="0050320F" w:rsidP="00D1776E" w14:paraId="73FE2F01" w14:textId="77777777">
      <w:pPr>
        <w:pStyle w:val="ParaNum"/>
        <w:widowControl/>
      </w:pPr>
      <w:r w:rsidRPr="00C15259">
        <w:t xml:space="preserve">To </w:t>
      </w:r>
      <w:r w:rsidRPr="0050320F">
        <w:t>obtain a waiver of the Commission’s rules, a petitioner must demonstrate either that (</w:t>
      </w:r>
      <w:r w:rsidRPr="0050320F">
        <w:t>i</w:t>
      </w:r>
      <w:r w:rsidRPr="0050320F">
        <w:t xml:space="preserve">) the </w:t>
      </w:r>
      <w:bookmarkStart w:id="3" w:name="_Hlk4774672"/>
      <w:r w:rsidRPr="0050320F">
        <w:t>underlying purpose of the rule</w:t>
      </w:r>
      <w:bookmarkEnd w:id="3"/>
      <w:r w:rsidRPr="0050320F">
        <w:t xml:space="preserve">(s) would not be served or would be frustrated by application to the present case, and that a grant of the waiver would be in the public interest; or (ii) in view of unique or unusual factual </w:t>
      </w:r>
      <w:r w:rsidRPr="0050320F">
        <w:rPr>
          <w:szCs w:val="22"/>
        </w:rPr>
        <w:t>circumstances of the instant case, application of the rule(s) would be inequitable, unduly burdensome, or contrary to the public interest, or the applicant has no reasonable alternative.</w:t>
      </w:r>
      <w:r>
        <w:rPr>
          <w:rStyle w:val="FootnoteReference"/>
          <w:sz w:val="22"/>
        </w:rPr>
        <w:footnoteReference w:id="10"/>
      </w:r>
      <w:r w:rsidRPr="0050320F">
        <w:rPr>
          <w:szCs w:val="22"/>
        </w:rPr>
        <w:t xml:space="preserve">  An applicant seeking a </w:t>
      </w:r>
      <w:r w:rsidRPr="0050320F">
        <w:rPr>
          <w:bCs/>
          <w:szCs w:val="22"/>
        </w:rPr>
        <w:t>waiver</w:t>
      </w:r>
      <w:r w:rsidRPr="0050320F">
        <w:rPr>
          <w:szCs w:val="22"/>
        </w:rPr>
        <w:t xml:space="preserve"> faces a high hurdle and must plead with particularity the facts and circumstances that warrant a </w:t>
      </w:r>
      <w:r w:rsidRPr="0050320F">
        <w:rPr>
          <w:bCs/>
          <w:szCs w:val="22"/>
        </w:rPr>
        <w:t>waiver</w:t>
      </w:r>
      <w:r w:rsidRPr="0050320F">
        <w:rPr>
          <w:szCs w:val="22"/>
        </w:rPr>
        <w:t>.</w:t>
      </w:r>
      <w:r>
        <w:rPr>
          <w:rStyle w:val="FootnoteReference"/>
          <w:szCs w:val="22"/>
        </w:rPr>
        <w:footnoteReference w:id="11"/>
      </w:r>
      <w:r w:rsidRPr="0050320F">
        <w:rPr>
          <w:szCs w:val="22"/>
        </w:rPr>
        <w:t xml:space="preserve">  </w:t>
      </w:r>
    </w:p>
    <w:p w:rsidR="00203796" w:rsidRPr="008075BE" w:rsidP="008075BE" w14:paraId="795E2A94" w14:textId="4FB8E084">
      <w:pPr>
        <w:pStyle w:val="ParaNum"/>
        <w:widowControl/>
        <w:rPr>
          <w:szCs w:val="22"/>
        </w:rPr>
      </w:pPr>
      <w:r w:rsidRPr="008075BE">
        <w:rPr>
          <w:szCs w:val="22"/>
        </w:rPr>
        <w:t>W</w:t>
      </w:r>
      <w:r w:rsidRPr="008075BE" w:rsidR="008075BE">
        <w:rPr>
          <w:szCs w:val="22"/>
        </w:rPr>
        <w:t>e</w:t>
      </w:r>
      <w:r w:rsidRPr="00925DFA">
        <w:rPr>
          <w:szCs w:val="22"/>
        </w:rPr>
        <w:t xml:space="preserve"> </w:t>
      </w:r>
      <w:r w:rsidRPr="008075BE" w:rsidR="008075BE">
        <w:rPr>
          <w:szCs w:val="22"/>
        </w:rPr>
        <w:t xml:space="preserve">find that the County has met </w:t>
      </w:r>
      <w:r w:rsidRPr="008075BE">
        <w:rPr>
          <w:szCs w:val="22"/>
        </w:rPr>
        <w:t>the first prong of the Commission’s waiver standard</w:t>
      </w:r>
      <w:r w:rsidRPr="008075BE" w:rsidR="008075BE">
        <w:rPr>
          <w:szCs w:val="22"/>
        </w:rPr>
        <w:t>.</w:t>
      </w:r>
      <w:r w:rsidRPr="008075BE">
        <w:rPr>
          <w:szCs w:val="22"/>
        </w:rPr>
        <w:t xml:space="preserve"> </w:t>
      </w:r>
      <w:r w:rsidRPr="008075BE" w:rsidR="008075BE">
        <w:rPr>
          <w:szCs w:val="22"/>
        </w:rPr>
        <w:t xml:space="preserve"> </w:t>
      </w:r>
      <w:r w:rsidRPr="008075BE" w:rsidR="004B387D">
        <w:rPr>
          <w:szCs w:val="22"/>
        </w:rPr>
        <w:t>Here, st</w:t>
      </w:r>
      <w:r w:rsidRPr="008075BE">
        <w:rPr>
          <w:szCs w:val="22"/>
        </w:rPr>
        <w:t>ringent</w:t>
      </w:r>
      <w:r w:rsidRPr="008075BE" w:rsidR="004B387D">
        <w:rPr>
          <w:szCs w:val="22"/>
        </w:rPr>
        <w:t xml:space="preserve"> </w:t>
      </w:r>
      <w:r w:rsidRPr="008075BE">
        <w:rPr>
          <w:szCs w:val="22"/>
        </w:rPr>
        <w:t>appl</w:t>
      </w:r>
      <w:r w:rsidRPr="008075BE" w:rsidR="004B387D">
        <w:rPr>
          <w:szCs w:val="22"/>
        </w:rPr>
        <w:t>ication of</w:t>
      </w:r>
      <w:r w:rsidRPr="008075BE">
        <w:rPr>
          <w:szCs w:val="22"/>
        </w:rPr>
        <w:t xml:space="preserve"> </w:t>
      </w:r>
      <w:r w:rsidRPr="008075BE" w:rsidR="004B387D">
        <w:rPr>
          <w:szCs w:val="22"/>
        </w:rPr>
        <w:t>our rule w</w:t>
      </w:r>
      <w:r w:rsidRPr="008075BE" w:rsidR="00896615">
        <w:rPr>
          <w:szCs w:val="22"/>
        </w:rPr>
        <w:t xml:space="preserve">ould </w:t>
      </w:r>
      <w:r w:rsidRPr="008075BE" w:rsidR="009603B5">
        <w:rPr>
          <w:szCs w:val="22"/>
        </w:rPr>
        <w:t>effe</w:t>
      </w:r>
      <w:r w:rsidRPr="008075BE" w:rsidR="004B387D">
        <w:rPr>
          <w:szCs w:val="22"/>
        </w:rPr>
        <w:t>c</w:t>
      </w:r>
      <w:r w:rsidRPr="008075BE" w:rsidR="009603B5">
        <w:rPr>
          <w:szCs w:val="22"/>
        </w:rPr>
        <w:t xml:space="preserve">tively </w:t>
      </w:r>
      <w:r w:rsidR="000B38CA">
        <w:rPr>
          <w:szCs w:val="22"/>
        </w:rPr>
        <w:t xml:space="preserve">negate </w:t>
      </w:r>
      <w:r w:rsidRPr="008075BE">
        <w:rPr>
          <w:szCs w:val="22"/>
        </w:rPr>
        <w:t xml:space="preserve">the </w:t>
      </w:r>
      <w:r w:rsidR="000B38CA">
        <w:rPr>
          <w:szCs w:val="22"/>
        </w:rPr>
        <w:t xml:space="preserve">significant efforts that the </w:t>
      </w:r>
      <w:r w:rsidRPr="008075BE">
        <w:rPr>
          <w:szCs w:val="22"/>
        </w:rPr>
        <w:t xml:space="preserve">County </w:t>
      </w:r>
      <w:r w:rsidR="00381587">
        <w:rPr>
          <w:szCs w:val="22"/>
        </w:rPr>
        <w:t xml:space="preserve">has undertaken </w:t>
      </w:r>
      <w:r w:rsidRPr="008075BE">
        <w:rPr>
          <w:szCs w:val="22"/>
        </w:rPr>
        <w:t xml:space="preserve">to </w:t>
      </w:r>
      <w:r w:rsidRPr="008075BE" w:rsidR="00B17C6F">
        <w:rPr>
          <w:szCs w:val="22"/>
        </w:rPr>
        <w:t xml:space="preserve">design </w:t>
      </w:r>
      <w:r w:rsidRPr="008075BE" w:rsidR="008075BE">
        <w:rPr>
          <w:szCs w:val="22"/>
        </w:rPr>
        <w:t xml:space="preserve">and </w:t>
      </w:r>
      <w:r w:rsidR="00381587">
        <w:rPr>
          <w:szCs w:val="22"/>
        </w:rPr>
        <w:t xml:space="preserve">construct its radio </w:t>
      </w:r>
      <w:r w:rsidRPr="008075BE">
        <w:rPr>
          <w:szCs w:val="22"/>
        </w:rPr>
        <w:t>system</w:t>
      </w:r>
      <w:r w:rsidRPr="008075BE" w:rsidR="00BA4198">
        <w:rPr>
          <w:szCs w:val="22"/>
        </w:rPr>
        <w:t xml:space="preserve">.  </w:t>
      </w:r>
      <w:r w:rsidRPr="008075BE" w:rsidR="00BD422A">
        <w:rPr>
          <w:szCs w:val="22"/>
        </w:rPr>
        <w:t>Under these circumstances, we</w:t>
      </w:r>
      <w:r w:rsidRPr="008075BE" w:rsidR="004E39C9">
        <w:rPr>
          <w:szCs w:val="22"/>
        </w:rPr>
        <w:t xml:space="preserve"> </w:t>
      </w:r>
      <w:r w:rsidRPr="008075BE" w:rsidR="00BD422A">
        <w:rPr>
          <w:szCs w:val="22"/>
        </w:rPr>
        <w:t xml:space="preserve">believe the County </w:t>
      </w:r>
      <w:r w:rsidRPr="008075BE" w:rsidR="00BD422A">
        <w:rPr>
          <w:szCs w:val="22"/>
        </w:rPr>
        <w:t xml:space="preserve">should be afforded additional time </w:t>
      </w:r>
      <w:r w:rsidRPr="008075BE" w:rsidR="00180A5C">
        <w:rPr>
          <w:szCs w:val="22"/>
        </w:rPr>
        <w:t xml:space="preserve">to avoid </w:t>
      </w:r>
      <w:r w:rsidRPr="008075BE" w:rsidR="008075BE">
        <w:rPr>
          <w:szCs w:val="22"/>
        </w:rPr>
        <w:t xml:space="preserve">incurring </w:t>
      </w:r>
      <w:r w:rsidRPr="008075BE" w:rsidR="004E39C9">
        <w:rPr>
          <w:szCs w:val="22"/>
        </w:rPr>
        <w:t xml:space="preserve">unnecessary cost in </w:t>
      </w:r>
      <w:r w:rsidR="003775B3">
        <w:rPr>
          <w:szCs w:val="22"/>
        </w:rPr>
        <w:t>finalizing</w:t>
      </w:r>
      <w:r w:rsidRPr="008075BE" w:rsidR="004E39C9">
        <w:rPr>
          <w:szCs w:val="22"/>
        </w:rPr>
        <w:t xml:space="preserve"> and implementing </w:t>
      </w:r>
      <w:r w:rsidRPr="008075BE" w:rsidR="00180A5C">
        <w:rPr>
          <w:szCs w:val="22"/>
        </w:rPr>
        <w:t>its</w:t>
      </w:r>
      <w:r w:rsidRPr="008075BE" w:rsidR="004E39C9">
        <w:rPr>
          <w:szCs w:val="22"/>
        </w:rPr>
        <w:t xml:space="preserve"> public safety communications system. </w:t>
      </w:r>
      <w:r w:rsidR="003F5E35">
        <w:rPr>
          <w:szCs w:val="22"/>
        </w:rPr>
        <w:t xml:space="preserve"> </w:t>
      </w:r>
      <w:r w:rsidRPr="008075BE" w:rsidR="004E39C9">
        <w:rPr>
          <w:szCs w:val="22"/>
        </w:rPr>
        <w:t>The</w:t>
      </w:r>
      <w:bookmarkStart w:id="4" w:name="_Hlk5347153"/>
      <w:r w:rsidRPr="008075BE" w:rsidR="004E39C9">
        <w:rPr>
          <w:szCs w:val="22"/>
        </w:rPr>
        <w:t xml:space="preserve"> requested extension is </w:t>
      </w:r>
      <w:r w:rsidRPr="008075BE" w:rsidR="00703C04">
        <w:rPr>
          <w:szCs w:val="22"/>
        </w:rPr>
        <w:t>rea</w:t>
      </w:r>
      <w:r w:rsidRPr="00925DFA" w:rsidR="00703C04">
        <w:rPr>
          <w:szCs w:val="22"/>
        </w:rPr>
        <w:t xml:space="preserve">sonable </w:t>
      </w:r>
      <w:r w:rsidRPr="00925DFA" w:rsidR="00026879">
        <w:rPr>
          <w:szCs w:val="22"/>
        </w:rPr>
        <w:t xml:space="preserve">in light of </w:t>
      </w:r>
      <w:r w:rsidRPr="008075BE" w:rsidR="00AC65C3">
        <w:rPr>
          <w:szCs w:val="22"/>
        </w:rPr>
        <w:t xml:space="preserve">the </w:t>
      </w:r>
      <w:r w:rsidR="00C038C6">
        <w:rPr>
          <w:szCs w:val="22"/>
        </w:rPr>
        <w:t>efforts</w:t>
      </w:r>
      <w:r w:rsidRPr="008075BE" w:rsidR="008075BE">
        <w:rPr>
          <w:szCs w:val="22"/>
        </w:rPr>
        <w:t xml:space="preserve"> the </w:t>
      </w:r>
      <w:r w:rsidRPr="00925DFA" w:rsidR="00AC65C3">
        <w:rPr>
          <w:szCs w:val="22"/>
        </w:rPr>
        <w:t xml:space="preserve">County has </w:t>
      </w:r>
      <w:r w:rsidR="00C038C6">
        <w:rPr>
          <w:szCs w:val="22"/>
        </w:rPr>
        <w:t xml:space="preserve">already </w:t>
      </w:r>
      <w:r w:rsidRPr="00925DFA" w:rsidR="00AC65C3">
        <w:rPr>
          <w:szCs w:val="22"/>
        </w:rPr>
        <w:t xml:space="preserve">dedicated </w:t>
      </w:r>
      <w:r w:rsidR="00C038C6">
        <w:rPr>
          <w:szCs w:val="22"/>
        </w:rPr>
        <w:t xml:space="preserve">to this </w:t>
      </w:r>
      <w:r w:rsidRPr="00925DFA" w:rsidR="00AC65C3">
        <w:rPr>
          <w:szCs w:val="22"/>
        </w:rPr>
        <w:t>system,</w:t>
      </w:r>
      <w:r w:rsidR="00C038C6">
        <w:rPr>
          <w:szCs w:val="22"/>
        </w:rPr>
        <w:t xml:space="preserve"> and that it is only seeking a two-year extension</w:t>
      </w:r>
      <w:r w:rsidRPr="008075BE" w:rsidR="00AC65C3">
        <w:rPr>
          <w:szCs w:val="22"/>
        </w:rPr>
        <w:t xml:space="preserve">.  </w:t>
      </w:r>
      <w:bookmarkEnd w:id="4"/>
      <w:r w:rsidRPr="008075BE" w:rsidR="00AC65C3">
        <w:rPr>
          <w:szCs w:val="22"/>
        </w:rPr>
        <w:t xml:space="preserve">  </w:t>
      </w:r>
    </w:p>
    <w:p w:rsidR="00C35FD1" w:rsidP="00C35FD1" w14:paraId="2C945B4A" w14:textId="77777777">
      <w:pPr>
        <w:pStyle w:val="Heading1"/>
        <w:widowControl/>
      </w:pPr>
      <w:r>
        <w:t>Ordering clauses</w:t>
      </w:r>
    </w:p>
    <w:p w:rsidR="00C35FD1" w:rsidP="00C35FD1" w14:paraId="527EF289" w14:textId="0D8B739A">
      <w:pPr>
        <w:pStyle w:val="ParaNum"/>
        <w:widowControl/>
      </w:pPr>
      <w:r>
        <w:t xml:space="preserve"> </w:t>
      </w:r>
      <w:r w:rsidRPr="009E09B2">
        <w:t>Accordingly, IT IS ORDERED, pursuant to Sections 4(</w:t>
      </w:r>
      <w:r w:rsidRPr="009E09B2">
        <w:t>i</w:t>
      </w:r>
      <w:r w:rsidRPr="009E09B2">
        <w:t>) and 303(c) of the Communications Act of 1934, as amended, 47 U.S.C. §§ 154(</w:t>
      </w:r>
      <w:r w:rsidRPr="009E09B2">
        <w:t>i</w:t>
      </w:r>
      <w:r w:rsidRPr="009E09B2">
        <w:t xml:space="preserve">), 303(c), and </w:t>
      </w:r>
      <w:r w:rsidR="003775B3">
        <w:t>s</w:t>
      </w:r>
      <w:r w:rsidRPr="009E09B2">
        <w:t>ection 1.925 of the Commission’s rules, 47 CFR § 1.925, that the waiver request associated with File No</w:t>
      </w:r>
      <w:r>
        <w:t>s</w:t>
      </w:r>
      <w:r w:rsidRPr="009E09B2">
        <w:t xml:space="preserve">. </w:t>
      </w:r>
      <w:r w:rsidR="00073566">
        <w:t xml:space="preserve">0008925343, </w:t>
      </w:r>
      <w:r w:rsidRPr="008B2205" w:rsidR="00073566">
        <w:t>000</w:t>
      </w:r>
      <w:r w:rsidR="00073566">
        <w:t>8930926</w:t>
      </w:r>
      <w:r w:rsidRPr="008F7B37" w:rsidR="00073566">
        <w:t>,</w:t>
      </w:r>
      <w:r w:rsidR="00073566">
        <w:t xml:space="preserve"> and</w:t>
      </w:r>
      <w:r w:rsidRPr="008F7B37" w:rsidR="00073566">
        <w:t xml:space="preserve"> </w:t>
      </w:r>
      <w:r w:rsidR="00073566">
        <w:t>0008930929</w:t>
      </w:r>
      <w:r w:rsidR="006D4552">
        <w:t xml:space="preserve"> </w:t>
      </w:r>
      <w:r w:rsidRPr="009E09B2">
        <w:t xml:space="preserve">filed by </w:t>
      </w:r>
      <w:r w:rsidR="005175BC">
        <w:t xml:space="preserve">the County of </w:t>
      </w:r>
      <w:r w:rsidR="00470D04">
        <w:t>Morris</w:t>
      </w:r>
      <w:r>
        <w:t xml:space="preserve">, New </w:t>
      </w:r>
      <w:r w:rsidR="005175BC">
        <w:t>Jersey</w:t>
      </w:r>
      <w:r>
        <w:t xml:space="preserve"> IS </w:t>
      </w:r>
      <w:r w:rsidR="00AE3E4E">
        <w:t xml:space="preserve">GRANTED, </w:t>
      </w:r>
      <w:r>
        <w:t xml:space="preserve">and the associated </w:t>
      </w:r>
      <w:r w:rsidR="00AE3E4E">
        <w:t>licenses</w:t>
      </w:r>
      <w:r>
        <w:t xml:space="preserve"> SHALL</w:t>
      </w:r>
      <w:r w:rsidR="00AE3E4E">
        <w:t xml:space="preserve"> BE MODIFIED</w:t>
      </w:r>
      <w:r>
        <w:t xml:space="preserve"> </w:t>
      </w:r>
      <w:r w:rsidR="00AE3E4E">
        <w:t xml:space="preserve">to specify a construction expiration date of </w:t>
      </w:r>
      <w:r w:rsidR="005175BC">
        <w:t xml:space="preserve">February </w:t>
      </w:r>
      <w:r w:rsidR="00E215D1">
        <w:t>8</w:t>
      </w:r>
      <w:r w:rsidR="00AE3E4E">
        <w:t>, 202</w:t>
      </w:r>
      <w:r w:rsidR="00E215D1">
        <w:t>2</w:t>
      </w:r>
      <w:r w:rsidR="00AE3E4E">
        <w:t>.</w:t>
      </w:r>
    </w:p>
    <w:p w:rsidR="00C35FD1" w:rsidP="008F1338" w14:paraId="6B2B44A3" w14:textId="77777777">
      <w:pPr>
        <w:pStyle w:val="ParaNum"/>
        <w:keepNext/>
        <w:keepLines/>
        <w:widowControl/>
      </w:pPr>
      <w:r>
        <w:t xml:space="preserve">This action is taken under delegated authority pursuant to Section 155(c) of the Communications Act of 1934, as amended, 47 U.S.C. § 155(c) and Sections 0.191 and 0.392 of the Commission’s rules, 47 CFR §§ 0.191, 0.392.  </w:t>
      </w:r>
    </w:p>
    <w:p w:rsidR="00C35FD1" w:rsidP="008F1338" w14:paraId="75F51D5E" w14:textId="77777777">
      <w:pPr>
        <w:pStyle w:val="ParaNum"/>
        <w:keepNext/>
        <w:keepLines/>
        <w:widowControl/>
        <w:numPr>
          <w:ilvl w:val="0"/>
          <w:numId w:val="0"/>
        </w:numPr>
        <w:ind w:firstLine="720"/>
      </w:pPr>
    </w:p>
    <w:p w:rsidR="00C35FD1" w:rsidP="008F1338" w14:paraId="57749E9A" w14:textId="77777777">
      <w:pPr>
        <w:pStyle w:val="ParaNum"/>
        <w:keepNext/>
        <w:keepLines/>
        <w:widowControl/>
        <w:numPr>
          <w:ilvl w:val="0"/>
          <w:numId w:val="0"/>
        </w:numPr>
        <w:spacing w:after="0"/>
        <w:ind w:left="3600" w:firstLine="720"/>
      </w:pPr>
      <w:r>
        <w:t xml:space="preserve">FEDERAL COMMUNICATIONS COMMISSION </w:t>
      </w:r>
    </w:p>
    <w:p w:rsidR="00C35FD1" w:rsidP="008F1338" w14:paraId="2FF552BD" w14:textId="77777777">
      <w:pPr>
        <w:pStyle w:val="ParaNum"/>
        <w:keepNext/>
        <w:keepLines/>
        <w:widowControl/>
        <w:numPr>
          <w:ilvl w:val="0"/>
          <w:numId w:val="0"/>
        </w:numPr>
        <w:spacing w:after="0"/>
        <w:ind w:left="720"/>
      </w:pPr>
    </w:p>
    <w:p w:rsidR="00C35FD1" w:rsidP="008F1338" w14:paraId="7173D980" w14:textId="77777777">
      <w:pPr>
        <w:pStyle w:val="ParaNum"/>
        <w:keepNext/>
        <w:keepLines/>
        <w:widowControl/>
        <w:numPr>
          <w:ilvl w:val="0"/>
          <w:numId w:val="0"/>
        </w:numPr>
        <w:spacing w:after="0"/>
        <w:ind w:left="720"/>
      </w:pPr>
    </w:p>
    <w:p w:rsidR="00C35FD1" w:rsidP="008F1338" w14:paraId="046BF03A" w14:textId="77777777">
      <w:pPr>
        <w:pStyle w:val="ParaNum"/>
        <w:keepNext/>
        <w:keepLines/>
        <w:widowControl/>
        <w:numPr>
          <w:ilvl w:val="0"/>
          <w:numId w:val="0"/>
        </w:numPr>
        <w:spacing w:after="0"/>
        <w:ind w:left="720"/>
      </w:pPr>
    </w:p>
    <w:p w:rsidR="00C35FD1" w:rsidP="008F1338" w14:paraId="3BEB83C3" w14:textId="77777777">
      <w:pPr>
        <w:pStyle w:val="ParaNum"/>
        <w:keepNext/>
        <w:keepLines/>
        <w:widowControl/>
        <w:numPr>
          <w:ilvl w:val="0"/>
          <w:numId w:val="0"/>
        </w:numPr>
        <w:spacing w:after="0"/>
        <w:ind w:left="720"/>
      </w:pPr>
    </w:p>
    <w:p w:rsidR="00C35FD1" w:rsidP="008F1338" w14:paraId="552AAD80" w14:textId="77777777">
      <w:pPr>
        <w:pStyle w:val="ParaNum"/>
        <w:keepNext/>
        <w:keepLines/>
        <w:widowControl/>
        <w:numPr>
          <w:ilvl w:val="0"/>
          <w:numId w:val="0"/>
        </w:numPr>
        <w:spacing w:after="0"/>
        <w:ind w:left="3600" w:firstLine="720"/>
      </w:pPr>
      <w:r>
        <w:t xml:space="preserve">Michael J. Wilhelm  </w:t>
      </w:r>
    </w:p>
    <w:p w:rsidR="00C35FD1" w:rsidP="008F1338" w14:paraId="614EE349" w14:textId="77777777">
      <w:pPr>
        <w:pStyle w:val="ParaNum"/>
        <w:keepNext/>
        <w:keepLines/>
        <w:widowControl/>
        <w:numPr>
          <w:ilvl w:val="0"/>
          <w:numId w:val="0"/>
        </w:numPr>
        <w:spacing w:after="0"/>
        <w:ind w:left="3600" w:firstLine="720"/>
      </w:pPr>
      <w:r>
        <w:t xml:space="preserve">Chief, Policy and Licensing Division </w:t>
      </w:r>
    </w:p>
    <w:p w:rsidR="00C35FD1" w:rsidRPr="0074239C" w:rsidP="008F1338" w14:paraId="2A7254EB" w14:textId="77777777">
      <w:pPr>
        <w:pStyle w:val="ParaNum"/>
        <w:keepNext/>
        <w:keepLines/>
        <w:widowControl/>
        <w:numPr>
          <w:ilvl w:val="0"/>
          <w:numId w:val="0"/>
        </w:numPr>
        <w:spacing w:after="0"/>
        <w:ind w:left="3600" w:firstLine="720"/>
      </w:pPr>
      <w:r>
        <w:t>Public Safety and Homeland Security Bureau</w:t>
      </w:r>
    </w:p>
    <w:p w:rsidR="00C35FD1" w:rsidRPr="00541919" w:rsidP="008F1338" w14:paraId="7F307656" w14:textId="77777777">
      <w:pPr>
        <w:keepNext/>
        <w:keepLines/>
        <w:widowControl/>
      </w:pPr>
    </w:p>
    <w:p w:rsidR="00C35FD1" w:rsidP="00C35FD1" w14:paraId="0138BF93" w14:textId="77777777">
      <w:pPr>
        <w:pStyle w:val="ParaNum"/>
        <w:widowControl/>
        <w:numPr>
          <w:ilvl w:val="0"/>
          <w:numId w:val="0"/>
        </w:numPr>
      </w:pPr>
    </w:p>
    <w:p w:rsidR="00D1776E" w:rsidP="000B07E7" w14:paraId="791A2777" w14:textId="77777777">
      <w:pPr>
        <w:widowControl/>
      </w:pPr>
    </w:p>
    <w:sectPr w:rsidSect="00D1776E">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3324" w:rsidP="00D1776E" w14:paraId="03A9E4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433324" w14:paraId="27A093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3324" w:rsidP="00D1776E" w14:paraId="777C27A4" w14:textId="77777777">
    <w:pPr>
      <w:pStyle w:val="Footer"/>
      <w:framePr w:wrap="around" w:vAnchor="text" w:hAnchor="margin" w:xAlign="center" w:y="1"/>
    </w:pPr>
    <w:r>
      <w:fldChar w:fldCharType="begin"/>
    </w:r>
    <w:r>
      <w:instrText xml:space="preserve">PAGE  </w:instrText>
    </w:r>
    <w:r>
      <w:fldChar w:fldCharType="separate"/>
    </w:r>
    <w:r>
      <w:rPr>
        <w:noProof/>
      </w:rPr>
      <w:t>3</w:t>
    </w:r>
    <w:r>
      <w:fldChar w:fldCharType="end"/>
    </w:r>
  </w:p>
  <w:p w:rsidR="00433324" w14:paraId="7109B50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3324" w14:paraId="65F0E41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564B6" w14:paraId="5B4E566C" w14:textId="77777777">
      <w:r>
        <w:separator/>
      </w:r>
    </w:p>
  </w:footnote>
  <w:footnote w:type="continuationSeparator" w:id="1">
    <w:p w:rsidR="004564B6" w:rsidP="00D1776E" w14:paraId="73FA152F" w14:textId="77777777">
      <w:pPr>
        <w:spacing w:before="120"/>
        <w:rPr>
          <w:sz w:val="20"/>
        </w:rPr>
      </w:pPr>
      <w:r>
        <w:rPr>
          <w:sz w:val="20"/>
        </w:rPr>
        <w:t xml:space="preserve">(Continued from previous page)  </w:t>
      </w:r>
      <w:r>
        <w:rPr>
          <w:sz w:val="20"/>
        </w:rPr>
        <w:separator/>
      </w:r>
    </w:p>
  </w:footnote>
  <w:footnote w:type="continuationNotice" w:id="2">
    <w:p w:rsidR="004564B6" w:rsidP="00D1776E" w14:paraId="44F16794" w14:textId="77777777">
      <w:pPr>
        <w:jc w:val="right"/>
        <w:rPr>
          <w:sz w:val="20"/>
        </w:rPr>
      </w:pPr>
    </w:p>
  </w:footnote>
  <w:footnote w:id="3">
    <w:p w:rsidR="00433324" w:rsidRPr="001F4522" w:rsidP="00D1776E" w14:paraId="6CBB187E" w14:textId="4E7EB2E0">
      <w:pPr>
        <w:pStyle w:val="FootnoteText"/>
      </w:pPr>
      <w:r>
        <w:rPr>
          <w:rStyle w:val="FootnoteReference"/>
        </w:rPr>
        <w:footnoteRef/>
      </w:r>
      <w:r>
        <w:t xml:space="preserve"> File Nos. </w:t>
      </w:r>
      <w:r w:rsidRPr="00470D04" w:rsidR="00470D04">
        <w:t xml:space="preserve">0008925343, 0008930926, 0008930929 </w:t>
      </w:r>
      <w:r>
        <w:rPr>
          <w:spacing w:val="-2"/>
        </w:rPr>
        <w:t xml:space="preserve">(collectively, </w:t>
      </w:r>
      <w:r w:rsidR="00470D04">
        <w:rPr>
          <w:spacing w:val="-2"/>
        </w:rPr>
        <w:t>Morris</w:t>
      </w:r>
      <w:r>
        <w:rPr>
          <w:spacing w:val="-2"/>
        </w:rPr>
        <w:t xml:space="preserve"> Application).  </w:t>
      </w:r>
      <w:r w:rsidRPr="006C5234">
        <w:rPr>
          <w:i/>
          <w:spacing w:val="-2"/>
        </w:rPr>
        <w:t>See also</w:t>
      </w:r>
      <w:r>
        <w:rPr>
          <w:spacing w:val="-2"/>
        </w:rPr>
        <w:t xml:space="preserve"> </w:t>
      </w:r>
      <w:r w:rsidR="00FA4309">
        <w:rPr>
          <w:spacing w:val="-2"/>
        </w:rPr>
        <w:t>Waiver Requ</w:t>
      </w:r>
      <w:r>
        <w:rPr>
          <w:spacing w:val="-2"/>
        </w:rPr>
        <w:t xml:space="preserve">est </w:t>
      </w:r>
      <w:r w:rsidR="00FA4309">
        <w:rPr>
          <w:spacing w:val="-2"/>
        </w:rPr>
        <w:t>of</w:t>
      </w:r>
      <w:r w:rsidR="00B70D05">
        <w:rPr>
          <w:spacing w:val="-2"/>
        </w:rPr>
        <w:t xml:space="preserve"> Rule Section 90.629</w:t>
      </w:r>
      <w:r w:rsidR="005A7DB8">
        <w:rPr>
          <w:spacing w:val="-2"/>
        </w:rPr>
        <w:t xml:space="preserve"> </w:t>
      </w:r>
      <w:r>
        <w:rPr>
          <w:spacing w:val="-2"/>
        </w:rPr>
        <w:t xml:space="preserve">(attachment to </w:t>
      </w:r>
      <w:r w:rsidR="00470D04">
        <w:rPr>
          <w:spacing w:val="-2"/>
        </w:rPr>
        <w:t>Morris</w:t>
      </w:r>
      <w:r>
        <w:rPr>
          <w:spacing w:val="-2"/>
        </w:rPr>
        <w:t xml:space="preserve"> Application) (Waiver Request)</w:t>
      </w:r>
      <w:r w:rsidR="006638A8">
        <w:rPr>
          <w:spacing w:val="-2"/>
        </w:rPr>
        <w:t xml:space="preserve"> and n.3 </w:t>
      </w:r>
      <w:r w:rsidRPr="006638A8" w:rsidR="006638A8">
        <w:rPr>
          <w:i/>
          <w:iCs/>
          <w:spacing w:val="-2"/>
        </w:rPr>
        <w:t>infra</w:t>
      </w:r>
      <w:r w:rsidR="006638A8">
        <w:rPr>
          <w:spacing w:val="-2"/>
        </w:rPr>
        <w:t>.</w:t>
      </w:r>
      <w:r>
        <w:rPr>
          <w:spacing w:val="-2"/>
        </w:rPr>
        <w:t xml:space="preserve"> </w:t>
      </w:r>
      <w:r w:rsidR="00B74DCC">
        <w:rPr>
          <w:spacing w:val="-2"/>
        </w:rPr>
        <w:t xml:space="preserve"> On March 11, 2021, the County provided the Bureau an update on it progress</w:t>
      </w:r>
      <w:r w:rsidR="001F4522">
        <w:rPr>
          <w:spacing w:val="-2"/>
        </w:rPr>
        <w:t xml:space="preserve"> since filing the Waiver Request.  </w:t>
      </w:r>
      <w:bookmarkStart w:id="1" w:name="_Hlk66372711"/>
      <w:r w:rsidR="001F4522">
        <w:rPr>
          <w:i/>
          <w:iCs/>
          <w:spacing w:val="-2"/>
        </w:rPr>
        <w:t xml:space="preserve">See </w:t>
      </w:r>
      <w:r w:rsidRPr="00415DCB" w:rsidR="001F4522">
        <w:rPr>
          <w:spacing w:val="-2"/>
        </w:rPr>
        <w:t>E</w:t>
      </w:r>
      <w:r w:rsidRPr="001F4522" w:rsidR="001F4522">
        <w:rPr>
          <w:spacing w:val="-2"/>
        </w:rPr>
        <w:t>m</w:t>
      </w:r>
      <w:r w:rsidR="001F4522">
        <w:rPr>
          <w:spacing w:val="-2"/>
        </w:rPr>
        <w:t>ail from Raymond J. Hayling II, Managing Director, HHW Group, LLC, to Roberto Mussenden (Mar. 11, 2021) (Waiver Update).</w:t>
      </w:r>
    </w:p>
    <w:bookmarkEnd w:id="1"/>
  </w:footnote>
  <w:footnote w:id="4">
    <w:p w:rsidR="00433324" w:rsidP="00D1776E" w14:paraId="151C07FD" w14:textId="77777777">
      <w:pPr>
        <w:pStyle w:val="FootnoteText"/>
      </w:pPr>
      <w:r>
        <w:rPr>
          <w:rStyle w:val="FootnoteReference"/>
        </w:rPr>
        <w:footnoteRef/>
      </w:r>
      <w:r w:rsidR="00B36406">
        <w:t xml:space="preserve"> 47 CFR § 90.551. </w:t>
      </w:r>
    </w:p>
  </w:footnote>
  <w:footnote w:id="5">
    <w:p w:rsidR="00433324" w:rsidP="00D1776E" w14:paraId="6F6B37E5" w14:textId="3CA83225">
      <w:pPr>
        <w:pStyle w:val="FootnoteText"/>
      </w:pPr>
      <w:r>
        <w:rPr>
          <w:rStyle w:val="FootnoteReference"/>
        </w:rPr>
        <w:footnoteRef/>
      </w:r>
      <w:r>
        <w:t xml:space="preserve"> 47 CFR § 90.629. </w:t>
      </w:r>
      <w:r w:rsidR="004B387D">
        <w:t xml:space="preserve"> </w:t>
      </w:r>
      <w:r w:rsidRPr="00B7601A">
        <w:rPr>
          <w:color w:val="0D0D0D" w:themeColor="text1" w:themeTint="F2"/>
        </w:rPr>
        <w:t>The conditions include</w:t>
      </w:r>
      <w:r>
        <w:rPr>
          <w:color w:val="0D0D0D" w:themeColor="text1" w:themeTint="F2"/>
        </w:rPr>
        <w:t xml:space="preserve"> but are not limited to</w:t>
      </w:r>
      <w:r w:rsidRPr="00B7601A">
        <w:rPr>
          <w:color w:val="0D0D0D" w:themeColor="text1" w:themeTint="F2"/>
        </w:rPr>
        <w:t xml:space="preserve"> the following:  The applicant must justify an extended implementation period</w:t>
      </w:r>
      <w:r w:rsidR="00BC1F2E">
        <w:rPr>
          <w:color w:val="0D0D0D" w:themeColor="text1" w:themeTint="F2"/>
        </w:rPr>
        <w:t>, including a description of</w:t>
      </w:r>
      <w:r w:rsidRPr="00B7601A">
        <w:rPr>
          <w:color w:val="0D0D0D" w:themeColor="text1" w:themeTint="F2"/>
        </w:rPr>
        <w:t xml:space="preserve"> the proposed system, the amount of time necessary to construct and place the system in </w:t>
      </w:r>
      <w:hyperlink r:id="rId1" w:history="1">
        <w:r w:rsidRPr="00B7601A">
          <w:rPr>
            <w:rStyle w:val="Hyperlink"/>
            <w:color w:val="0D0D0D" w:themeColor="text1" w:themeTint="F2"/>
            <w:u w:val="none"/>
          </w:rPr>
          <w:t>operation</w:t>
        </w:r>
      </w:hyperlink>
      <w:r w:rsidRPr="00B7601A">
        <w:rPr>
          <w:color w:val="0D0D0D" w:themeColor="text1" w:themeTint="F2"/>
        </w:rPr>
        <w:t xml:space="preserve">, </w:t>
      </w:r>
      <w:r w:rsidR="00BC1F2E">
        <w:rPr>
          <w:color w:val="0D0D0D" w:themeColor="text1" w:themeTint="F2"/>
        </w:rPr>
        <w:t xml:space="preserve">and </w:t>
      </w:r>
      <w:r w:rsidRPr="00B7601A">
        <w:rPr>
          <w:color w:val="0D0D0D" w:themeColor="text1" w:themeTint="F2"/>
        </w:rPr>
        <w:t>the number of </w:t>
      </w:r>
      <w:hyperlink r:id="rId1" w:history="1">
        <w:r w:rsidRPr="00B7601A">
          <w:rPr>
            <w:rStyle w:val="Hyperlink"/>
            <w:color w:val="0D0D0D" w:themeColor="text1" w:themeTint="F2"/>
            <w:u w:val="none"/>
          </w:rPr>
          <w:t>base stations</w:t>
        </w:r>
      </w:hyperlink>
      <w:r w:rsidRPr="00B7601A">
        <w:rPr>
          <w:color w:val="0D0D0D" w:themeColor="text1" w:themeTint="F2"/>
        </w:rPr>
        <w:t> to be constructed and placed in </w:t>
      </w:r>
      <w:hyperlink r:id="rId1" w:history="1">
        <w:r w:rsidRPr="00B7601A">
          <w:rPr>
            <w:rStyle w:val="Hyperlink"/>
            <w:color w:val="0D0D0D" w:themeColor="text1" w:themeTint="F2"/>
            <w:u w:val="none"/>
          </w:rPr>
          <w:t>operation</w:t>
        </w:r>
      </w:hyperlink>
      <w:r w:rsidRPr="00B7601A">
        <w:rPr>
          <w:color w:val="0D0D0D" w:themeColor="text1" w:themeTint="F2"/>
        </w:rPr>
        <w:t> during each year of the extended construction period</w:t>
      </w:r>
      <w:r w:rsidR="00BC1F2E">
        <w:rPr>
          <w:color w:val="0D0D0D" w:themeColor="text1" w:themeTint="F2"/>
        </w:rPr>
        <w:t>.  The applicant must also</w:t>
      </w:r>
      <w:r w:rsidRPr="00B7601A">
        <w:rPr>
          <w:color w:val="0D0D0D" w:themeColor="text1" w:themeTint="F2"/>
        </w:rPr>
        <w:t xml:space="preserve"> show that: </w:t>
      </w:r>
      <w:r w:rsidRPr="00B7601A">
        <w:rPr>
          <w:bCs/>
          <w:color w:val="0D0D0D" w:themeColor="text1" w:themeTint="F2"/>
        </w:rPr>
        <w:t>(1)</w:t>
      </w:r>
      <w:r w:rsidRPr="00B7601A">
        <w:rPr>
          <w:color w:val="0D0D0D" w:themeColor="text1" w:themeTint="F2"/>
        </w:rPr>
        <w:t> </w:t>
      </w:r>
      <w:r w:rsidR="00BC1F2E">
        <w:rPr>
          <w:color w:val="0D0D0D" w:themeColor="text1" w:themeTint="F2"/>
        </w:rPr>
        <w:t>t</w:t>
      </w:r>
      <w:r w:rsidRPr="00B7601A">
        <w:rPr>
          <w:color w:val="0D0D0D" w:themeColor="text1" w:themeTint="F2"/>
        </w:rPr>
        <w:t>he proposed system will require longer than twelve (12) months to construct and place in </w:t>
      </w:r>
      <w:hyperlink r:id="rId1" w:history="1">
        <w:r w:rsidRPr="00B7601A">
          <w:rPr>
            <w:rStyle w:val="Hyperlink"/>
            <w:color w:val="0D0D0D" w:themeColor="text1" w:themeTint="F2"/>
            <w:u w:val="none"/>
          </w:rPr>
          <w:t>operation</w:t>
        </w:r>
      </w:hyperlink>
      <w:r w:rsidRPr="00B7601A">
        <w:rPr>
          <w:color w:val="0D0D0D" w:themeColor="text1" w:themeTint="F2"/>
        </w:rPr>
        <w:t xml:space="preserve"> because of its purpose, size, or complexity; or </w:t>
      </w:r>
      <w:r w:rsidRPr="00B7601A">
        <w:rPr>
          <w:bCs/>
          <w:color w:val="0D0D0D" w:themeColor="text1" w:themeTint="F2"/>
        </w:rPr>
        <w:t>(2)</w:t>
      </w:r>
      <w:r w:rsidRPr="00B7601A">
        <w:rPr>
          <w:color w:val="0D0D0D" w:themeColor="text1" w:themeTint="F2"/>
        </w:rPr>
        <w:t> </w:t>
      </w:r>
      <w:r w:rsidR="00BC1F2E">
        <w:rPr>
          <w:color w:val="0D0D0D" w:themeColor="text1" w:themeTint="F2"/>
        </w:rPr>
        <w:t>t</w:t>
      </w:r>
      <w:r w:rsidRPr="00B7601A">
        <w:rPr>
          <w:color w:val="0D0D0D" w:themeColor="text1" w:themeTint="F2"/>
        </w:rPr>
        <w:t>he proposed system is to be part of a coordinated or integrated wide-area system which will require more than twelve (12) months to plan, approve, fund, purchase, construct, and place in </w:t>
      </w:r>
      <w:hyperlink r:id="rId1" w:history="1">
        <w:r w:rsidRPr="00B7601A">
          <w:rPr>
            <w:rStyle w:val="Hyperlink"/>
            <w:color w:val="0D0D0D" w:themeColor="text1" w:themeTint="F2"/>
            <w:u w:val="none"/>
          </w:rPr>
          <w:t>operation</w:t>
        </w:r>
      </w:hyperlink>
      <w:r w:rsidRPr="00B7601A">
        <w:rPr>
          <w:color w:val="0D0D0D" w:themeColor="text1" w:themeTint="F2"/>
        </w:rPr>
        <w:t xml:space="preserve">; or </w:t>
      </w:r>
      <w:r w:rsidRPr="00B7601A">
        <w:rPr>
          <w:bCs/>
          <w:color w:val="0D0D0D" w:themeColor="text1" w:themeTint="F2"/>
        </w:rPr>
        <w:t>(3)</w:t>
      </w:r>
      <w:r w:rsidRPr="00B7601A">
        <w:rPr>
          <w:color w:val="0D0D0D" w:themeColor="text1" w:themeTint="F2"/>
        </w:rPr>
        <w:t> </w:t>
      </w:r>
      <w:r w:rsidR="00BC1F2E">
        <w:rPr>
          <w:color w:val="0D0D0D" w:themeColor="text1" w:themeTint="F2"/>
        </w:rPr>
        <w:t>t</w:t>
      </w:r>
      <w:r w:rsidRPr="00B7601A">
        <w:rPr>
          <w:color w:val="0D0D0D" w:themeColor="text1" w:themeTint="F2"/>
        </w:rPr>
        <w:t>he applicant is required by law to follow a multi-year cycle for planning, approval, funding, and purchasing the proposed system.</w:t>
      </w:r>
      <w:r>
        <w:t xml:space="preserve"> </w:t>
      </w:r>
    </w:p>
  </w:footnote>
  <w:footnote w:id="6">
    <w:p w:rsidR="00037F03" w14:paraId="2ABA72EC" w14:textId="01C80459">
      <w:pPr>
        <w:pStyle w:val="FootnoteText"/>
      </w:pPr>
      <w:r>
        <w:rPr>
          <w:rStyle w:val="FootnoteReference"/>
        </w:rPr>
        <w:footnoteRef/>
      </w:r>
      <w:r>
        <w:t xml:space="preserve"> Waiver Request at </w:t>
      </w:r>
      <w:r w:rsidR="00813AC9">
        <w:t>3.</w:t>
      </w:r>
    </w:p>
  </w:footnote>
  <w:footnote w:id="7">
    <w:p w:rsidR="003D4E63" w:rsidRPr="004D187F" w:rsidP="003D4E63" w14:paraId="3DF772A5" w14:textId="77777777">
      <w:pPr>
        <w:pStyle w:val="FootnoteText"/>
      </w:pPr>
      <w:r>
        <w:rPr>
          <w:rStyle w:val="FootnoteReference"/>
        </w:rPr>
        <w:footnoteRef/>
      </w:r>
      <w:r>
        <w:t xml:space="preserve"> </w:t>
      </w:r>
      <w:r>
        <w:rPr>
          <w:i/>
          <w:iCs/>
        </w:rPr>
        <w:t>Id.</w:t>
      </w:r>
      <w:r>
        <w:t xml:space="preserve"> at 2.</w:t>
      </w:r>
    </w:p>
  </w:footnote>
  <w:footnote w:id="8">
    <w:p w:rsidR="001F4522" w14:paraId="66D6C3DB" w14:textId="2298E8C7">
      <w:pPr>
        <w:pStyle w:val="FootnoteText"/>
      </w:pPr>
      <w:r>
        <w:rPr>
          <w:rStyle w:val="FootnoteReference"/>
        </w:rPr>
        <w:footnoteRef/>
      </w:r>
      <w:r>
        <w:t xml:space="preserve"> </w:t>
      </w:r>
      <w:r w:rsidR="00E15823">
        <w:t>Waiver Update.</w:t>
      </w:r>
    </w:p>
  </w:footnote>
  <w:footnote w:id="9">
    <w:p w:rsidR="00543ADB" w:rsidRPr="007435A2" w14:paraId="2B15BF66" w14:textId="0ADB4F57">
      <w:pPr>
        <w:pStyle w:val="FootnoteText"/>
      </w:pPr>
      <w:r>
        <w:rPr>
          <w:rStyle w:val="FootnoteReference"/>
        </w:rPr>
        <w:footnoteRef/>
      </w:r>
      <w:r>
        <w:t xml:space="preserve"> </w:t>
      </w:r>
      <w:r w:rsidR="007435A2">
        <w:rPr>
          <w:i/>
          <w:iCs/>
        </w:rPr>
        <w:t xml:space="preserve">Id. </w:t>
      </w:r>
      <w:r w:rsidR="007435A2">
        <w:t>at 3-4.</w:t>
      </w:r>
    </w:p>
  </w:footnote>
  <w:footnote w:id="10">
    <w:p w:rsidR="00433324" w:rsidP="00D1776E" w14:paraId="04478BAB" w14:textId="77777777">
      <w:pPr>
        <w:pStyle w:val="FootnoteText"/>
      </w:pPr>
      <w:r>
        <w:rPr>
          <w:rStyle w:val="FootnoteReference"/>
        </w:rPr>
        <w:footnoteRef/>
      </w:r>
      <w:r>
        <w:t xml:space="preserve"> 47 CFR § 1.925(a)(3).</w:t>
      </w:r>
    </w:p>
  </w:footnote>
  <w:footnote w:id="11">
    <w:p w:rsidR="00433324" w:rsidP="00D1776E" w14:paraId="47C5E062" w14:textId="77777777">
      <w:pPr>
        <w:pStyle w:val="FootnoteText"/>
        <w:spacing w:before="120"/>
      </w:pPr>
      <w:r>
        <w:rPr>
          <w:rStyle w:val="FootnoteReference"/>
        </w:rPr>
        <w:footnoteRef/>
      </w:r>
      <w:r>
        <w:t xml:space="preserve"> </w:t>
      </w:r>
      <w:r>
        <w:rPr>
          <w:i/>
        </w:rPr>
        <w:t xml:space="preserve">WAIT Radio v. FCC, </w:t>
      </w:r>
      <w:r>
        <w:t>413 F.2d 1153, 1157 (D.C. Cir. 1969) (</w:t>
      </w:r>
      <w:r>
        <w:rPr>
          <w:i/>
        </w:rPr>
        <w:t>WAIT Radio</w:t>
      </w:r>
      <w:r>
        <w:t xml:space="preserve">), </w:t>
      </w:r>
      <w:r>
        <w:rPr>
          <w:i/>
        </w:rPr>
        <w:t xml:space="preserve">aff’d, </w:t>
      </w:r>
      <w:r>
        <w:t xml:space="preserve">459 F.2d 1203 (1973), </w:t>
      </w:r>
      <w:r>
        <w:rPr>
          <w:i/>
        </w:rPr>
        <w:t xml:space="preserve">cert. denied, </w:t>
      </w:r>
      <w:r>
        <w:t>409 U.S. 1027 (1972) (</w:t>
      </w:r>
      <w:r>
        <w:rPr>
          <w:i/>
        </w:rPr>
        <w:t xml:space="preserve">citing Rio Grande Family Radio Fellowship, Inc. v. FCC, </w:t>
      </w:r>
      <w:r>
        <w:t xml:space="preserve">406 F.2d 664 (D.C. Cir. 1968)); </w:t>
      </w:r>
      <w:r w:rsidRPr="005D2BAC">
        <w:rPr>
          <w:i/>
        </w:rPr>
        <w:t>Birach</w:t>
      </w:r>
      <w:r w:rsidRPr="005D2BAC">
        <w:rPr>
          <w:i/>
        </w:rPr>
        <w:t xml:space="preserve"> Broad. Corp</w:t>
      </w:r>
      <w:r>
        <w:t xml:space="preserve">., </w:t>
      </w:r>
      <w:r w:rsidRPr="005D2BAC">
        <w:t>Memorandum Opinion and Order</w:t>
      </w:r>
      <w:r>
        <w:rPr>
          <w:i/>
        </w:rPr>
        <w:t xml:space="preserve">, </w:t>
      </w:r>
      <w:r>
        <w:t>18 FCC Rcd 1414, 1415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3324" w:rsidP="00D1776E" w14:paraId="463C6AD8" w14:textId="5502EE5E">
    <w:pPr>
      <w:pStyle w:val="Header"/>
      <w:rPr>
        <w:b w:val="0"/>
      </w:rPr>
    </w:pPr>
    <w:r>
      <w:tab/>
      <w:t>Federal Communications Commission</w:t>
    </w:r>
    <w:r>
      <w:tab/>
      <w:t xml:space="preserve">DA </w:t>
    </w:r>
    <w:r w:rsidR="004E7D72">
      <w:t>2</w:t>
    </w:r>
    <w:r w:rsidR="00061B23">
      <w:t>1</w:t>
    </w:r>
    <w:r w:rsidR="004E7D72">
      <w:t>-</w:t>
    </w:r>
    <w:r w:rsidR="00A6148D">
      <w:t>311</w:t>
    </w:r>
  </w:p>
  <w:p w:rsidR="00433324" w14:paraId="16DBB93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433324" w14:paraId="065C1C5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3324" w:rsidP="00D1776E" w14:paraId="07CE1A11" w14:textId="5704C1A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w:t>
    </w:r>
    <w:r w:rsidR="004E7D72">
      <w:rPr>
        <w:spacing w:val="-2"/>
      </w:rPr>
      <w:t>2</w:t>
    </w:r>
    <w:r w:rsidR="00BC1F2E">
      <w:rPr>
        <w:spacing w:val="-2"/>
      </w:rPr>
      <w:t>1</w:t>
    </w:r>
    <w:r w:rsidR="004E7D72">
      <w:rPr>
        <w:spacing w:val="-2"/>
      </w:rPr>
      <w:t>-</w:t>
    </w:r>
    <w:r w:rsidR="00A6148D">
      <w:rPr>
        <w:spacing w:val="-2"/>
      </w:rPr>
      <w:t>311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6C049F"/>
    <w:multiLevelType w:val="hybridMultilevel"/>
    <w:tmpl w:val="0096C2A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15A5C3A"/>
    <w:multiLevelType w:val="hybridMultilevel"/>
    <w:tmpl w:val="E940E8D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E88"/>
    <w:rsid w:val="00016B66"/>
    <w:rsid w:val="00026879"/>
    <w:rsid w:val="00037F03"/>
    <w:rsid w:val="00052A93"/>
    <w:rsid w:val="00061B23"/>
    <w:rsid w:val="00072E75"/>
    <w:rsid w:val="000731D0"/>
    <w:rsid w:val="00073566"/>
    <w:rsid w:val="0008099D"/>
    <w:rsid w:val="00085CB3"/>
    <w:rsid w:val="00093937"/>
    <w:rsid w:val="00097630"/>
    <w:rsid w:val="000B029F"/>
    <w:rsid w:val="000B07E7"/>
    <w:rsid w:val="000B38CA"/>
    <w:rsid w:val="000D16C3"/>
    <w:rsid w:val="000E2F6E"/>
    <w:rsid w:val="00121789"/>
    <w:rsid w:val="00124CDB"/>
    <w:rsid w:val="00142F93"/>
    <w:rsid w:val="0016140F"/>
    <w:rsid w:val="00170BA4"/>
    <w:rsid w:val="00180A5C"/>
    <w:rsid w:val="00186489"/>
    <w:rsid w:val="001871E9"/>
    <w:rsid w:val="001A3FF8"/>
    <w:rsid w:val="001A466C"/>
    <w:rsid w:val="001D479E"/>
    <w:rsid w:val="001F4522"/>
    <w:rsid w:val="001F45D4"/>
    <w:rsid w:val="00203796"/>
    <w:rsid w:val="00221764"/>
    <w:rsid w:val="00250F6A"/>
    <w:rsid w:val="00252C7A"/>
    <w:rsid w:val="00280B99"/>
    <w:rsid w:val="002A321D"/>
    <w:rsid w:val="002A4C50"/>
    <w:rsid w:val="002A5132"/>
    <w:rsid w:val="002A561D"/>
    <w:rsid w:val="002D05AE"/>
    <w:rsid w:val="002D3939"/>
    <w:rsid w:val="002E1E6B"/>
    <w:rsid w:val="002E27B5"/>
    <w:rsid w:val="002F0E44"/>
    <w:rsid w:val="00322F5C"/>
    <w:rsid w:val="003237AB"/>
    <w:rsid w:val="0033239E"/>
    <w:rsid w:val="00350ACB"/>
    <w:rsid w:val="00353407"/>
    <w:rsid w:val="00360C29"/>
    <w:rsid w:val="00367ED2"/>
    <w:rsid w:val="003775B3"/>
    <w:rsid w:val="00381587"/>
    <w:rsid w:val="003B2B20"/>
    <w:rsid w:val="003B7419"/>
    <w:rsid w:val="003D4E63"/>
    <w:rsid w:val="003F411B"/>
    <w:rsid w:val="003F5E35"/>
    <w:rsid w:val="0041573D"/>
    <w:rsid w:val="00415DCB"/>
    <w:rsid w:val="00425ECA"/>
    <w:rsid w:val="004311BA"/>
    <w:rsid w:val="00433324"/>
    <w:rsid w:val="004564B6"/>
    <w:rsid w:val="00464672"/>
    <w:rsid w:val="00470D04"/>
    <w:rsid w:val="00492624"/>
    <w:rsid w:val="00492C3A"/>
    <w:rsid w:val="00495DD3"/>
    <w:rsid w:val="004B387D"/>
    <w:rsid w:val="004C125E"/>
    <w:rsid w:val="004C5E5D"/>
    <w:rsid w:val="004D187F"/>
    <w:rsid w:val="004E39C9"/>
    <w:rsid w:val="004E3CF7"/>
    <w:rsid w:val="004E7D72"/>
    <w:rsid w:val="00502C89"/>
    <w:rsid w:val="0050320F"/>
    <w:rsid w:val="005175BC"/>
    <w:rsid w:val="00534C5B"/>
    <w:rsid w:val="00541919"/>
    <w:rsid w:val="00542A7A"/>
    <w:rsid w:val="00543ADB"/>
    <w:rsid w:val="00565013"/>
    <w:rsid w:val="0057229E"/>
    <w:rsid w:val="00574E16"/>
    <w:rsid w:val="00592BA8"/>
    <w:rsid w:val="005A7DB8"/>
    <w:rsid w:val="005C422D"/>
    <w:rsid w:val="005D2BAC"/>
    <w:rsid w:val="005D3754"/>
    <w:rsid w:val="005E5EFF"/>
    <w:rsid w:val="005F09E1"/>
    <w:rsid w:val="005F30EC"/>
    <w:rsid w:val="005F3B63"/>
    <w:rsid w:val="005F5184"/>
    <w:rsid w:val="00607798"/>
    <w:rsid w:val="00621C44"/>
    <w:rsid w:val="006638A8"/>
    <w:rsid w:val="00677755"/>
    <w:rsid w:val="00677AA6"/>
    <w:rsid w:val="00686B67"/>
    <w:rsid w:val="006C5234"/>
    <w:rsid w:val="006D4552"/>
    <w:rsid w:val="006E4033"/>
    <w:rsid w:val="007009D8"/>
    <w:rsid w:val="00703C04"/>
    <w:rsid w:val="007204FA"/>
    <w:rsid w:val="007254F6"/>
    <w:rsid w:val="007258B8"/>
    <w:rsid w:val="0074239C"/>
    <w:rsid w:val="007435A2"/>
    <w:rsid w:val="00755DF6"/>
    <w:rsid w:val="007A0E5A"/>
    <w:rsid w:val="007A5BB0"/>
    <w:rsid w:val="007C6B54"/>
    <w:rsid w:val="007F4743"/>
    <w:rsid w:val="007F51FF"/>
    <w:rsid w:val="00805AA5"/>
    <w:rsid w:val="008075BE"/>
    <w:rsid w:val="008115C5"/>
    <w:rsid w:val="00813AC9"/>
    <w:rsid w:val="00833092"/>
    <w:rsid w:val="00896615"/>
    <w:rsid w:val="008B2205"/>
    <w:rsid w:val="008B4F11"/>
    <w:rsid w:val="008B6797"/>
    <w:rsid w:val="008E0080"/>
    <w:rsid w:val="008F1338"/>
    <w:rsid w:val="008F7B37"/>
    <w:rsid w:val="0091252E"/>
    <w:rsid w:val="00914CE4"/>
    <w:rsid w:val="00925DFA"/>
    <w:rsid w:val="00927ADF"/>
    <w:rsid w:val="00931A16"/>
    <w:rsid w:val="0093259C"/>
    <w:rsid w:val="009603B5"/>
    <w:rsid w:val="009743C1"/>
    <w:rsid w:val="0099529F"/>
    <w:rsid w:val="009B1716"/>
    <w:rsid w:val="009D1015"/>
    <w:rsid w:val="009D1026"/>
    <w:rsid w:val="009E09B2"/>
    <w:rsid w:val="00A24755"/>
    <w:rsid w:val="00A30813"/>
    <w:rsid w:val="00A417DB"/>
    <w:rsid w:val="00A6148D"/>
    <w:rsid w:val="00A71740"/>
    <w:rsid w:val="00A755AE"/>
    <w:rsid w:val="00AC65C3"/>
    <w:rsid w:val="00AE2644"/>
    <w:rsid w:val="00AE3E4E"/>
    <w:rsid w:val="00AF43A9"/>
    <w:rsid w:val="00B17C6F"/>
    <w:rsid w:val="00B2146C"/>
    <w:rsid w:val="00B33A84"/>
    <w:rsid w:val="00B36406"/>
    <w:rsid w:val="00B70D05"/>
    <w:rsid w:val="00B73F95"/>
    <w:rsid w:val="00B74DCC"/>
    <w:rsid w:val="00B7588B"/>
    <w:rsid w:val="00B7601A"/>
    <w:rsid w:val="00B776EE"/>
    <w:rsid w:val="00BA4198"/>
    <w:rsid w:val="00BA4401"/>
    <w:rsid w:val="00BC1F2E"/>
    <w:rsid w:val="00BD422A"/>
    <w:rsid w:val="00BD7C00"/>
    <w:rsid w:val="00C038C6"/>
    <w:rsid w:val="00C105C4"/>
    <w:rsid w:val="00C15259"/>
    <w:rsid w:val="00C232F3"/>
    <w:rsid w:val="00C319D5"/>
    <w:rsid w:val="00C34E88"/>
    <w:rsid w:val="00C35FD1"/>
    <w:rsid w:val="00C5035B"/>
    <w:rsid w:val="00C53D5E"/>
    <w:rsid w:val="00C5439C"/>
    <w:rsid w:val="00C660C8"/>
    <w:rsid w:val="00C736FE"/>
    <w:rsid w:val="00C86686"/>
    <w:rsid w:val="00CB523C"/>
    <w:rsid w:val="00CC08C3"/>
    <w:rsid w:val="00CE5247"/>
    <w:rsid w:val="00D1776E"/>
    <w:rsid w:val="00D17C4D"/>
    <w:rsid w:val="00D420BE"/>
    <w:rsid w:val="00D46F02"/>
    <w:rsid w:val="00DA4FB2"/>
    <w:rsid w:val="00DB422A"/>
    <w:rsid w:val="00DE4A92"/>
    <w:rsid w:val="00DF0E8D"/>
    <w:rsid w:val="00DF28BC"/>
    <w:rsid w:val="00DF7031"/>
    <w:rsid w:val="00E00C84"/>
    <w:rsid w:val="00E15823"/>
    <w:rsid w:val="00E215D1"/>
    <w:rsid w:val="00E245B8"/>
    <w:rsid w:val="00E351D3"/>
    <w:rsid w:val="00E35535"/>
    <w:rsid w:val="00E4589A"/>
    <w:rsid w:val="00E50257"/>
    <w:rsid w:val="00E65AB1"/>
    <w:rsid w:val="00E728B7"/>
    <w:rsid w:val="00E944ED"/>
    <w:rsid w:val="00EE462C"/>
    <w:rsid w:val="00F214EB"/>
    <w:rsid w:val="00F22942"/>
    <w:rsid w:val="00F8233C"/>
    <w:rsid w:val="00F875C5"/>
    <w:rsid w:val="00F92223"/>
    <w:rsid w:val="00F9283D"/>
    <w:rsid w:val="00FA3143"/>
    <w:rsid w:val="00FA4309"/>
    <w:rsid w:val="00FB3080"/>
    <w:rsid w:val="00FB6CC2"/>
    <w:rsid w:val="00FE1CB9"/>
    <w:rsid w:val="00FE3103"/>
    <w:rsid w:val="00FF6F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91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061B23"/>
    <w:pPr>
      <w:numPr>
        <w:numId w:val="2"/>
      </w:numPr>
      <w:tabs>
        <w:tab w:val="clear" w:pos="1080"/>
        <w:tab w:val="left"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541919"/>
  </w:style>
  <w:style w:type="paragraph" w:styleId="BalloonText">
    <w:name w:val="Balloon Text"/>
    <w:basedOn w:val="Normal"/>
    <w:link w:val="BalloonTextChar"/>
    <w:rsid w:val="00A9605F"/>
    <w:rPr>
      <w:rFonts w:ascii="Segoe UI" w:hAnsi="Segoe UI" w:cs="Segoe UI"/>
      <w:sz w:val="18"/>
      <w:szCs w:val="18"/>
    </w:rPr>
  </w:style>
  <w:style w:type="character" w:customStyle="1" w:styleId="BalloonTextChar">
    <w:name w:val="Balloon Text Char"/>
    <w:basedOn w:val="DefaultParagraphFont"/>
    <w:link w:val="BalloonText"/>
    <w:rsid w:val="00A9605F"/>
    <w:rPr>
      <w:rFonts w:ascii="Segoe UI" w:hAnsi="Segoe UI" w:cs="Segoe UI"/>
      <w:snapToGrid w:val="0"/>
      <w:kern w:val="28"/>
      <w:sz w:val="18"/>
      <w:szCs w:val="18"/>
    </w:rPr>
  </w:style>
  <w:style w:type="character" w:styleId="CommentReference">
    <w:name w:val="annotation reference"/>
    <w:basedOn w:val="DefaultParagraphFont"/>
    <w:rsid w:val="00DF7031"/>
    <w:rPr>
      <w:sz w:val="16"/>
      <w:szCs w:val="16"/>
    </w:rPr>
  </w:style>
  <w:style w:type="paragraph" w:styleId="CommentText">
    <w:name w:val="annotation text"/>
    <w:basedOn w:val="Normal"/>
    <w:link w:val="CommentTextChar"/>
    <w:rsid w:val="00DF7031"/>
    <w:rPr>
      <w:sz w:val="20"/>
    </w:rPr>
  </w:style>
  <w:style w:type="character" w:customStyle="1" w:styleId="CommentTextChar">
    <w:name w:val="Comment Text Char"/>
    <w:basedOn w:val="DefaultParagraphFont"/>
    <w:link w:val="CommentText"/>
    <w:rsid w:val="00DF7031"/>
    <w:rPr>
      <w:snapToGrid w:val="0"/>
      <w:kern w:val="28"/>
    </w:rPr>
  </w:style>
  <w:style w:type="paragraph" w:styleId="CommentSubject">
    <w:name w:val="annotation subject"/>
    <w:basedOn w:val="CommentText"/>
    <w:next w:val="CommentText"/>
    <w:link w:val="CommentSubjectChar"/>
    <w:rsid w:val="00DF7031"/>
    <w:rPr>
      <w:b/>
      <w:bCs/>
    </w:rPr>
  </w:style>
  <w:style w:type="character" w:customStyle="1" w:styleId="CommentSubjectChar">
    <w:name w:val="Comment Subject Char"/>
    <w:basedOn w:val="CommentTextChar"/>
    <w:link w:val="CommentSubject"/>
    <w:rsid w:val="00DF7031"/>
    <w:rPr>
      <w:b/>
      <w:bCs/>
      <w:snapToGrid w:val="0"/>
      <w:kern w:val="28"/>
    </w:rPr>
  </w:style>
  <w:style w:type="paragraph" w:styleId="Revision">
    <w:name w:val="Revision"/>
    <w:hidden/>
    <w:uiPriority w:val="99"/>
    <w:semiHidden/>
    <w:rsid w:val="00DF7031"/>
    <w:rPr>
      <w:snapToGrid w:val="0"/>
      <w:kern w:val="28"/>
      <w:sz w:val="22"/>
    </w:rPr>
  </w:style>
  <w:style w:type="character" w:customStyle="1" w:styleId="UnresolvedMention1">
    <w:name w:val="Unresolved Mention1"/>
    <w:basedOn w:val="DefaultParagraphFont"/>
    <w:uiPriority w:val="99"/>
    <w:semiHidden/>
    <w:unhideWhenUsed/>
    <w:rsid w:val="00203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law.cornell.edu/cfr/text/47/90.629"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