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84BCA" w:rsidRPr="00C5171A" w:rsidP="008307D5" w14:paraId="31501FA1" w14:textId="77777777">
      <w:pPr>
        <w:jc w:val="center"/>
        <w:rPr>
          <w:b/>
          <w:szCs w:val="22"/>
        </w:rPr>
      </w:pPr>
      <w:bookmarkStart w:id="0" w:name="_GoBack"/>
      <w:bookmarkEnd w:id="0"/>
      <w:r w:rsidRPr="00C5171A">
        <w:rPr>
          <w:b/>
          <w:kern w:val="0"/>
          <w:szCs w:val="22"/>
        </w:rPr>
        <w:t>Before</w:t>
      </w:r>
      <w:r w:rsidRPr="00C5171A">
        <w:rPr>
          <w:b/>
          <w:szCs w:val="22"/>
        </w:rPr>
        <w:t xml:space="preserve"> the</w:t>
      </w:r>
    </w:p>
    <w:p w:rsidR="00F84BCA" w:rsidRPr="00C5171A" w:rsidP="00F84BCA" w14:paraId="69DA2652" w14:textId="77777777">
      <w:pPr>
        <w:pStyle w:val="StyleBoldCentered"/>
        <w:rPr>
          <w:rFonts w:ascii="Times New Roman" w:hAnsi="Times New Roman"/>
        </w:rPr>
      </w:pPr>
      <w:r w:rsidRPr="00C5171A">
        <w:rPr>
          <w:rFonts w:ascii="Times New Roman" w:hAnsi="Times New Roman"/>
        </w:rPr>
        <w:t>F</w:t>
      </w:r>
      <w:r w:rsidRPr="00C5171A">
        <w:rPr>
          <w:rFonts w:ascii="Times New Roman" w:hAnsi="Times New Roman"/>
          <w:caps w:val="0"/>
        </w:rPr>
        <w:t>ederal Communications Commission</w:t>
      </w:r>
    </w:p>
    <w:p w:rsidR="00F84BCA" w:rsidRPr="00C5171A" w:rsidP="00F84BCA" w14:paraId="70FD18E3" w14:textId="77777777">
      <w:pPr>
        <w:pStyle w:val="StyleBoldCentered"/>
        <w:rPr>
          <w:rFonts w:ascii="Times New Roman" w:hAnsi="Times New Roman"/>
        </w:rPr>
      </w:pPr>
      <w:r w:rsidRPr="00C5171A">
        <w:rPr>
          <w:rFonts w:ascii="Times New Roman" w:hAnsi="Times New Roman"/>
          <w:caps w:val="0"/>
        </w:rPr>
        <w:t>Washington, DC 20554</w:t>
      </w:r>
    </w:p>
    <w:p w:rsidR="00F84BCA" w:rsidRPr="00C5171A" w:rsidP="00F84BCA" w14:paraId="38B0BB65" w14:textId="77777777">
      <w:pPr>
        <w:rPr>
          <w:szCs w:val="22"/>
        </w:rPr>
      </w:pPr>
    </w:p>
    <w:tbl>
      <w:tblPr>
        <w:tblW w:w="0" w:type="auto"/>
        <w:tblLayout w:type="fixed"/>
        <w:tblLook w:val="0000"/>
      </w:tblPr>
      <w:tblGrid>
        <w:gridCol w:w="4698"/>
        <w:gridCol w:w="630"/>
        <w:gridCol w:w="4248"/>
      </w:tblGrid>
      <w:tr w14:paraId="3281649C" w14:textId="77777777" w:rsidTr="00021355">
        <w:tblPrEx>
          <w:tblW w:w="0" w:type="auto"/>
          <w:tblLayout w:type="fixed"/>
          <w:tblLook w:val="0000"/>
        </w:tblPrEx>
        <w:tc>
          <w:tcPr>
            <w:tcW w:w="4698" w:type="dxa"/>
          </w:tcPr>
          <w:p w:rsidR="0062057D" w:rsidP="0062057D" w14:paraId="6F11E024" w14:textId="77777777">
            <w:pPr>
              <w:tabs>
                <w:tab w:val="center" w:pos="4680"/>
              </w:tabs>
              <w:suppressAutoHyphens/>
              <w:rPr>
                <w:spacing w:val="-2"/>
              </w:rPr>
            </w:pPr>
            <w:r>
              <w:rPr>
                <w:spacing w:val="-2"/>
              </w:rPr>
              <w:t>In the Matter of</w:t>
            </w:r>
          </w:p>
          <w:p w:rsidR="0062057D" w:rsidP="0062057D" w14:paraId="1BD0A5BD" w14:textId="77777777">
            <w:pPr>
              <w:tabs>
                <w:tab w:val="center" w:pos="4680"/>
              </w:tabs>
              <w:suppressAutoHyphens/>
              <w:rPr>
                <w:spacing w:val="-2"/>
              </w:rPr>
            </w:pPr>
          </w:p>
          <w:p w:rsidR="0062057D" w:rsidRPr="00555E59" w:rsidP="0062057D" w14:paraId="2E73036D" w14:textId="2E15B7E8">
            <w:pPr>
              <w:tabs>
                <w:tab w:val="center" w:pos="4680"/>
              </w:tabs>
              <w:suppressAutoHyphens/>
              <w:rPr>
                <w:bCs/>
                <w:spacing w:val="-2"/>
              </w:rPr>
            </w:pPr>
            <w:r w:rsidRPr="00D8285C">
              <w:rPr>
                <w:bCs/>
                <w:spacing w:val="-2"/>
              </w:rPr>
              <w:t>The Athenian Multicultural Study Club</w:t>
            </w:r>
          </w:p>
          <w:p w:rsidR="0062057D" w:rsidP="0062057D" w14:paraId="0D57362E" w14:textId="77777777">
            <w:pPr>
              <w:tabs>
                <w:tab w:val="center" w:pos="4680"/>
              </w:tabs>
              <w:suppressAutoHyphens/>
              <w:rPr>
                <w:b/>
                <w:spacing w:val="-2"/>
              </w:rPr>
            </w:pPr>
          </w:p>
          <w:p w:rsidR="0062057D" w:rsidP="0062057D" w14:paraId="65C6446C" w14:textId="77777777">
            <w:pPr>
              <w:tabs>
                <w:tab w:val="center" w:pos="4680"/>
              </w:tabs>
              <w:suppressAutoHyphens/>
              <w:rPr>
                <w:spacing w:val="-2"/>
              </w:rPr>
            </w:pPr>
          </w:p>
          <w:p w:rsidR="0062057D" w:rsidP="0062057D" w14:paraId="023BC88B" w14:textId="77777777">
            <w:pPr>
              <w:tabs>
                <w:tab w:val="center" w:pos="4680"/>
              </w:tabs>
              <w:suppressAutoHyphens/>
              <w:rPr>
                <w:spacing w:val="-2"/>
              </w:rPr>
            </w:pPr>
            <w:r>
              <w:rPr>
                <w:spacing w:val="-2"/>
              </w:rPr>
              <w:t xml:space="preserve">Licensee of Low Power FM Station </w:t>
            </w:r>
          </w:p>
          <w:p w:rsidR="0062057D" w:rsidP="0062057D" w14:paraId="4A891FC9" w14:textId="73009B07">
            <w:pPr>
              <w:tabs>
                <w:tab w:val="center" w:pos="4680"/>
              </w:tabs>
              <w:suppressAutoHyphens/>
              <w:rPr>
                <w:spacing w:val="-2"/>
              </w:rPr>
            </w:pPr>
            <w:r w:rsidRPr="00D8285C">
              <w:rPr>
                <w:spacing w:val="-2"/>
              </w:rPr>
              <w:t>WPLP-LP, Athens, Georgia</w:t>
            </w:r>
            <w:r>
              <w:rPr>
                <w:spacing w:val="-2"/>
              </w:rPr>
              <w:t xml:space="preserve"> </w:t>
            </w:r>
          </w:p>
          <w:p w:rsidR="0062057D" w:rsidRPr="00C5171A" w:rsidP="0062057D" w14:paraId="09955112" w14:textId="77777777">
            <w:pPr>
              <w:autoSpaceDE w:val="0"/>
              <w:autoSpaceDN w:val="0"/>
              <w:adjustRightInd w:val="0"/>
              <w:rPr>
                <w:b/>
                <w:szCs w:val="22"/>
              </w:rPr>
            </w:pPr>
          </w:p>
        </w:tc>
        <w:tc>
          <w:tcPr>
            <w:tcW w:w="630" w:type="dxa"/>
          </w:tcPr>
          <w:p w:rsidR="0062057D" w:rsidP="0062057D" w14:paraId="4053CAFF" w14:textId="77777777">
            <w:pPr>
              <w:tabs>
                <w:tab w:val="center" w:pos="4680"/>
              </w:tabs>
              <w:suppressAutoHyphens/>
              <w:rPr>
                <w:b/>
                <w:spacing w:val="-2"/>
              </w:rPr>
            </w:pPr>
            <w:r>
              <w:rPr>
                <w:b/>
                <w:spacing w:val="-2"/>
              </w:rPr>
              <w:t>)</w:t>
            </w:r>
          </w:p>
          <w:p w:rsidR="0062057D" w:rsidP="0062057D" w14:paraId="699F7FF6" w14:textId="77777777">
            <w:pPr>
              <w:tabs>
                <w:tab w:val="center" w:pos="4680"/>
              </w:tabs>
              <w:suppressAutoHyphens/>
              <w:rPr>
                <w:b/>
                <w:spacing w:val="-2"/>
              </w:rPr>
            </w:pPr>
            <w:r>
              <w:rPr>
                <w:b/>
                <w:spacing w:val="-2"/>
              </w:rPr>
              <w:t>)</w:t>
            </w:r>
          </w:p>
          <w:p w:rsidR="0062057D" w:rsidP="0062057D" w14:paraId="26FCECB7" w14:textId="77777777">
            <w:pPr>
              <w:tabs>
                <w:tab w:val="center" w:pos="4680"/>
              </w:tabs>
              <w:suppressAutoHyphens/>
              <w:rPr>
                <w:b/>
                <w:spacing w:val="-2"/>
              </w:rPr>
            </w:pPr>
            <w:r>
              <w:rPr>
                <w:b/>
                <w:spacing w:val="-2"/>
              </w:rPr>
              <w:t>)</w:t>
            </w:r>
          </w:p>
          <w:p w:rsidR="0062057D" w:rsidP="0062057D" w14:paraId="5011F4FB" w14:textId="77777777">
            <w:pPr>
              <w:tabs>
                <w:tab w:val="center" w:pos="4680"/>
              </w:tabs>
              <w:suppressAutoHyphens/>
              <w:rPr>
                <w:b/>
                <w:spacing w:val="-2"/>
              </w:rPr>
            </w:pPr>
            <w:r>
              <w:rPr>
                <w:b/>
                <w:spacing w:val="-2"/>
              </w:rPr>
              <w:t>)</w:t>
            </w:r>
          </w:p>
          <w:p w:rsidR="0062057D" w:rsidP="0062057D" w14:paraId="5BF02C7B" w14:textId="77777777">
            <w:pPr>
              <w:tabs>
                <w:tab w:val="center" w:pos="4680"/>
              </w:tabs>
              <w:suppressAutoHyphens/>
              <w:rPr>
                <w:b/>
                <w:spacing w:val="-2"/>
              </w:rPr>
            </w:pPr>
            <w:r>
              <w:rPr>
                <w:b/>
                <w:spacing w:val="-2"/>
              </w:rPr>
              <w:t>)</w:t>
            </w:r>
          </w:p>
          <w:p w:rsidR="0062057D" w:rsidP="0062057D" w14:paraId="27E748B8" w14:textId="77777777">
            <w:pPr>
              <w:tabs>
                <w:tab w:val="center" w:pos="4680"/>
              </w:tabs>
              <w:suppressAutoHyphens/>
              <w:rPr>
                <w:b/>
                <w:spacing w:val="-2"/>
              </w:rPr>
            </w:pPr>
            <w:r>
              <w:rPr>
                <w:b/>
                <w:spacing w:val="-2"/>
              </w:rPr>
              <w:t>)</w:t>
            </w:r>
          </w:p>
          <w:p w:rsidR="0062057D" w:rsidP="0062057D" w14:paraId="6EDD931B" w14:textId="77777777">
            <w:pPr>
              <w:tabs>
                <w:tab w:val="center" w:pos="4680"/>
              </w:tabs>
              <w:suppressAutoHyphens/>
              <w:rPr>
                <w:b/>
                <w:spacing w:val="-2"/>
              </w:rPr>
            </w:pPr>
            <w:r>
              <w:rPr>
                <w:b/>
                <w:spacing w:val="-2"/>
              </w:rPr>
              <w:t>)</w:t>
            </w:r>
          </w:p>
          <w:p w:rsidR="0073625E" w:rsidRPr="00C5171A" w:rsidP="0062057D" w14:paraId="465DCDA6" w14:textId="77777777">
            <w:pPr>
              <w:tabs>
                <w:tab w:val="center" w:pos="4680"/>
              </w:tabs>
              <w:suppressAutoHyphens/>
              <w:rPr>
                <w:b/>
                <w:spacing w:val="-2"/>
                <w:szCs w:val="22"/>
              </w:rPr>
            </w:pPr>
          </w:p>
        </w:tc>
        <w:tc>
          <w:tcPr>
            <w:tcW w:w="4248" w:type="dxa"/>
          </w:tcPr>
          <w:p w:rsidR="0062057D" w:rsidP="0062057D" w14:paraId="17A726A2" w14:textId="77777777">
            <w:pPr>
              <w:tabs>
                <w:tab w:val="center" w:pos="4680"/>
              </w:tabs>
              <w:suppressAutoHyphens/>
              <w:rPr>
                <w:spacing w:val="-2"/>
              </w:rPr>
            </w:pPr>
          </w:p>
          <w:p w:rsidR="0062057D" w:rsidP="0062057D" w14:paraId="0281D9B7" w14:textId="77777777">
            <w:pPr>
              <w:pStyle w:val="TOAHeading"/>
              <w:tabs>
                <w:tab w:val="center" w:pos="4680"/>
                <w:tab w:val="clear" w:pos="9360"/>
              </w:tabs>
              <w:rPr>
                <w:spacing w:val="-2"/>
              </w:rPr>
            </w:pPr>
          </w:p>
          <w:p w:rsidR="0062057D" w:rsidRPr="001F7175" w:rsidP="0062057D" w14:paraId="4A89F22F" w14:textId="186FCCD5">
            <w:pPr>
              <w:pStyle w:val="TOAHeading"/>
              <w:tabs>
                <w:tab w:val="center" w:pos="4680"/>
              </w:tabs>
              <w:rPr>
                <w:spacing w:val="-2"/>
              </w:rPr>
            </w:pPr>
            <w:r w:rsidRPr="001F7175">
              <w:rPr>
                <w:spacing w:val="-2"/>
              </w:rPr>
              <w:t xml:space="preserve">File No.:  </w:t>
            </w:r>
            <w:r w:rsidRPr="00D8285C" w:rsidR="00D8285C">
              <w:rPr>
                <w:spacing w:val="-2"/>
              </w:rPr>
              <w:t>EB-IHD-20-00030893</w:t>
            </w:r>
          </w:p>
          <w:p w:rsidR="0062057D" w:rsidRPr="001F7175" w:rsidP="0062057D" w14:paraId="291CD177" w14:textId="2F38008A">
            <w:pPr>
              <w:pStyle w:val="TOAHeading"/>
              <w:tabs>
                <w:tab w:val="center" w:pos="4680"/>
              </w:tabs>
              <w:rPr>
                <w:spacing w:val="-2"/>
              </w:rPr>
            </w:pPr>
            <w:r>
              <w:rPr>
                <w:spacing w:val="-2"/>
              </w:rPr>
              <w:t xml:space="preserve">CD </w:t>
            </w:r>
            <w:r w:rsidRPr="000C4995">
              <w:rPr>
                <w:spacing w:val="-2"/>
              </w:rPr>
              <w:t xml:space="preserve">Acct. No.:  </w:t>
            </w:r>
            <w:r w:rsidRPr="006E21A2" w:rsidR="00D91C76">
              <w:rPr>
                <w:spacing w:val="-2"/>
              </w:rPr>
              <w:t>202132080012</w:t>
            </w:r>
          </w:p>
          <w:p w:rsidR="000C4995" w:rsidRPr="000C4995" w:rsidP="000C4995" w14:paraId="519C8B49" w14:textId="5AF20205">
            <w:pPr>
              <w:rPr>
                <w:snapToGrid/>
                <w:kern w:val="0"/>
                <w:szCs w:val="22"/>
              </w:rPr>
            </w:pPr>
            <w:r w:rsidRPr="000C4995">
              <w:rPr>
                <w:spacing w:val="-2"/>
                <w:szCs w:val="22"/>
              </w:rPr>
              <w:t xml:space="preserve">FRN:  </w:t>
            </w:r>
            <w:r w:rsidRPr="00D8285C" w:rsidR="00D8285C">
              <w:rPr>
                <w:szCs w:val="22"/>
              </w:rPr>
              <w:t>0023023534</w:t>
            </w:r>
          </w:p>
          <w:p w:rsidR="0062057D" w:rsidRPr="001F7175" w:rsidP="0062057D" w14:paraId="7D984D2D" w14:textId="77777777">
            <w:pPr>
              <w:pStyle w:val="TOAHeading"/>
              <w:tabs>
                <w:tab w:val="center" w:pos="4680"/>
              </w:tabs>
              <w:rPr>
                <w:spacing w:val="-2"/>
              </w:rPr>
            </w:pPr>
          </w:p>
          <w:p w:rsidR="0062057D" w:rsidRPr="001F7175" w:rsidP="0062057D" w14:paraId="56D5B97F" w14:textId="3684CA75">
            <w:pPr>
              <w:pStyle w:val="TOAHeading"/>
              <w:tabs>
                <w:tab w:val="center" w:pos="4680"/>
              </w:tabs>
              <w:rPr>
                <w:spacing w:val="-2"/>
              </w:rPr>
            </w:pPr>
            <w:r w:rsidRPr="001F7175">
              <w:rPr>
                <w:spacing w:val="-2"/>
              </w:rPr>
              <w:t xml:space="preserve">Facility ID No.:  </w:t>
            </w:r>
            <w:r w:rsidRPr="00D8285C" w:rsidR="00D8285C">
              <w:rPr>
                <w:spacing w:val="-2"/>
              </w:rPr>
              <w:t>193254</w:t>
            </w:r>
          </w:p>
          <w:p w:rsidR="0062057D" w:rsidRPr="00C5171A" w:rsidP="0062057D" w14:paraId="603A2A9B" w14:textId="77777777">
            <w:pPr>
              <w:tabs>
                <w:tab w:val="center" w:pos="4680"/>
              </w:tabs>
              <w:suppressAutoHyphens/>
              <w:rPr>
                <w:snapToGrid/>
                <w:spacing w:val="-2"/>
                <w:szCs w:val="22"/>
              </w:rPr>
            </w:pPr>
          </w:p>
        </w:tc>
      </w:tr>
    </w:tbl>
    <w:p w:rsidR="00F84BCA" w:rsidRPr="00C5171A" w:rsidP="00AA4B16" w14:paraId="216B139C" w14:textId="77777777">
      <w:pPr>
        <w:jc w:val="center"/>
        <w:outlineLvl w:val="0"/>
        <w:rPr>
          <w:b/>
          <w:szCs w:val="22"/>
        </w:rPr>
      </w:pPr>
      <w:r w:rsidRPr="00C5171A">
        <w:rPr>
          <w:b/>
          <w:szCs w:val="22"/>
        </w:rPr>
        <w:t>ORDER</w:t>
      </w:r>
    </w:p>
    <w:p w:rsidR="00F84BCA" w:rsidRPr="00C5171A" w:rsidP="00AA4B16" w14:paraId="23DC117A" w14:textId="77777777">
      <w:pPr>
        <w:tabs>
          <w:tab w:val="left" w:pos="-720"/>
        </w:tabs>
        <w:suppressAutoHyphens/>
        <w:spacing w:line="227" w:lineRule="auto"/>
        <w:rPr>
          <w:spacing w:val="-2"/>
          <w:szCs w:val="22"/>
        </w:rPr>
      </w:pPr>
    </w:p>
    <w:p w:rsidR="00F84BCA" w:rsidRPr="00C5171A" w:rsidP="00F84BCA" w14:paraId="4C974BF0" w14:textId="1718496F">
      <w:pPr>
        <w:tabs>
          <w:tab w:val="left" w:pos="720"/>
          <w:tab w:val="right" w:pos="9360"/>
        </w:tabs>
        <w:suppressAutoHyphens/>
        <w:spacing w:line="227" w:lineRule="auto"/>
        <w:rPr>
          <w:spacing w:val="-2"/>
          <w:szCs w:val="22"/>
        </w:rPr>
      </w:pPr>
      <w:r w:rsidRPr="00C5171A">
        <w:rPr>
          <w:b/>
          <w:spacing w:val="-2"/>
          <w:szCs w:val="22"/>
        </w:rPr>
        <w:t xml:space="preserve">Adopted:  </w:t>
      </w:r>
      <w:r w:rsidR="000B5A3E">
        <w:rPr>
          <w:b/>
          <w:spacing w:val="-2"/>
          <w:szCs w:val="22"/>
        </w:rPr>
        <w:t xml:space="preserve">January </w:t>
      </w:r>
      <w:r w:rsidR="008D3A07">
        <w:rPr>
          <w:b/>
          <w:spacing w:val="-2"/>
          <w:szCs w:val="22"/>
        </w:rPr>
        <w:t>19</w:t>
      </w:r>
      <w:r w:rsidR="000B5A3E">
        <w:rPr>
          <w:b/>
          <w:spacing w:val="-2"/>
          <w:szCs w:val="22"/>
        </w:rPr>
        <w:t>, 2021</w:t>
      </w:r>
      <w:r w:rsidRPr="00C5171A">
        <w:rPr>
          <w:b/>
          <w:spacing w:val="-2"/>
          <w:szCs w:val="22"/>
        </w:rPr>
        <w:tab/>
        <w:t xml:space="preserve">Released:  </w:t>
      </w:r>
      <w:r w:rsidR="000B5A3E">
        <w:rPr>
          <w:b/>
          <w:spacing w:val="-2"/>
          <w:szCs w:val="22"/>
        </w:rPr>
        <w:t xml:space="preserve">January </w:t>
      </w:r>
      <w:r w:rsidR="008D3A07">
        <w:rPr>
          <w:b/>
          <w:spacing w:val="-2"/>
          <w:szCs w:val="22"/>
        </w:rPr>
        <w:t>19</w:t>
      </w:r>
      <w:r w:rsidR="000B5A3E">
        <w:rPr>
          <w:b/>
          <w:spacing w:val="-2"/>
          <w:szCs w:val="22"/>
        </w:rPr>
        <w:t>, 2021</w:t>
      </w:r>
    </w:p>
    <w:p w:rsidR="00F84BCA" w:rsidRPr="00C5171A" w:rsidP="00F84BCA" w14:paraId="63490F20" w14:textId="77777777">
      <w:pPr>
        <w:rPr>
          <w:szCs w:val="22"/>
        </w:rPr>
      </w:pPr>
    </w:p>
    <w:p w:rsidR="00F84BCA" w:rsidRPr="00C5171A" w:rsidP="00F84BCA" w14:paraId="04D62FC5" w14:textId="77777777">
      <w:pPr>
        <w:rPr>
          <w:spacing w:val="-2"/>
          <w:szCs w:val="22"/>
        </w:rPr>
      </w:pPr>
      <w:r w:rsidRPr="00C5171A">
        <w:rPr>
          <w:spacing w:val="-2"/>
          <w:szCs w:val="22"/>
        </w:rPr>
        <w:t xml:space="preserve">By the </w:t>
      </w:r>
      <w:r w:rsidRPr="00C5171A">
        <w:rPr>
          <w:spacing w:val="-2"/>
          <w:szCs w:val="22"/>
        </w:rPr>
        <w:t>Chief, Enforcement Bureau:</w:t>
      </w:r>
    </w:p>
    <w:p w:rsidR="00F84BCA" w:rsidRPr="00C5171A" w:rsidP="00F84BCA" w14:paraId="27F356AF" w14:textId="77777777">
      <w:pPr>
        <w:rPr>
          <w:szCs w:val="22"/>
        </w:rPr>
      </w:pPr>
    </w:p>
    <w:p w:rsidR="00BA41C1" w:rsidRPr="00C5171A" w:rsidP="00555E59" w14:paraId="3D51414E" w14:textId="2B906F23">
      <w:pPr>
        <w:pStyle w:val="ParaNum"/>
        <w:rPr>
          <w:color w:val="000000"/>
          <w:szCs w:val="22"/>
        </w:rPr>
      </w:pPr>
      <w:r w:rsidRPr="00C5171A">
        <w:t>T</w:t>
      </w:r>
      <w:r w:rsidRPr="00C5171A" w:rsidR="00F84BCA">
        <w:t xml:space="preserve">he Enforcement Bureau </w:t>
      </w:r>
      <w:r w:rsidRPr="00C5171A" w:rsidR="007471C6">
        <w:t>of the Federal Communications Commission (Commission</w:t>
      </w:r>
      <w:r w:rsidR="0079419B">
        <w:t xml:space="preserve"> or FCC</w:t>
      </w:r>
      <w:r w:rsidRPr="00C5171A" w:rsidR="007471C6">
        <w:t xml:space="preserve">) has entered into a Consent Decree to resolve the Commission’s investigation into whether </w:t>
      </w:r>
      <w:r w:rsidRPr="003837AF" w:rsidR="003837AF">
        <w:t xml:space="preserve">The Athenian Multicultural Study Club (Athenian or Licensee), licensee of </w:t>
      </w:r>
      <w:r w:rsidRPr="0055549B" w:rsidR="0055549B">
        <w:t xml:space="preserve">low power FM (LPFM) </w:t>
      </w:r>
      <w:r w:rsidRPr="003837AF" w:rsidR="003837AF">
        <w:t>station WPLP-LP, Athens, Georgia (Station or WPLP-LP)</w:t>
      </w:r>
      <w:r w:rsidRPr="00C5171A" w:rsidR="007471C6">
        <w:t xml:space="preserve">, </w:t>
      </w:r>
      <w:r w:rsidRPr="009714C8" w:rsidR="00207689">
        <w:t xml:space="preserve">violated </w:t>
      </w:r>
      <w:r w:rsidR="00753CD4">
        <w:t xml:space="preserve">the Commission’s underwriting laws by broadcasting announcements on behalf of for-profit entities in exchange for consideration.  The </w:t>
      </w:r>
      <w:r w:rsidR="00991A29">
        <w:t>Commission a</w:t>
      </w:r>
      <w:r w:rsidR="00753CD4">
        <w:t xml:space="preserve">dopted </w:t>
      </w:r>
      <w:r w:rsidR="00991A29">
        <w:t xml:space="preserve">such </w:t>
      </w:r>
      <w:r w:rsidR="00753CD4">
        <w:t xml:space="preserve">rules and procedures to </w:t>
      </w:r>
      <w:r w:rsidR="00E06BDE">
        <w:t xml:space="preserve">preserve the </w:t>
      </w:r>
      <w:r w:rsidR="00991A29">
        <w:t xml:space="preserve">unique </w:t>
      </w:r>
      <w:r w:rsidR="00753CD4">
        <w:t xml:space="preserve">non-profit and locally </w:t>
      </w:r>
      <w:r w:rsidR="00E06BDE">
        <w:t>oriented nature of LPFM stations.</w:t>
      </w:r>
      <w:r w:rsidRPr="00C5171A" w:rsidR="007471C6">
        <w:t xml:space="preserve">  To settle this matter, </w:t>
      </w:r>
      <w:r w:rsidR="003A5B28">
        <w:t>Athenian</w:t>
      </w:r>
      <w:r w:rsidR="00207689">
        <w:t xml:space="preserve"> admits that it </w:t>
      </w:r>
      <w:r w:rsidR="00E06BDE">
        <w:t>broadcast</w:t>
      </w:r>
      <w:r w:rsidR="00991A29">
        <w:t xml:space="preserve"> </w:t>
      </w:r>
      <w:r w:rsidR="00284531">
        <w:t xml:space="preserve">prohibited </w:t>
      </w:r>
      <w:r w:rsidR="00991A29">
        <w:t>commercial</w:t>
      </w:r>
      <w:r w:rsidR="00E06BDE">
        <w:t xml:space="preserve"> a</w:t>
      </w:r>
      <w:r w:rsidR="00284531">
        <w:t>dvertisements in exchange for</w:t>
      </w:r>
      <w:r w:rsidR="00E06BDE">
        <w:t xml:space="preserve"> consideration</w:t>
      </w:r>
      <w:bookmarkStart w:id="1" w:name="_Hlk51593028"/>
      <w:r w:rsidR="00C670CB">
        <w:t xml:space="preserve">. </w:t>
      </w:r>
      <w:bookmarkEnd w:id="1"/>
      <w:r w:rsidR="00C670CB">
        <w:t xml:space="preserve"> </w:t>
      </w:r>
      <w:r w:rsidR="003A5B28">
        <w:t>Athenian</w:t>
      </w:r>
      <w:r w:rsidR="00877273">
        <w:t xml:space="preserve"> </w:t>
      </w:r>
      <w:r w:rsidR="00207689">
        <w:t>agrees to implement a compliance plan and pay a $1</w:t>
      </w:r>
      <w:r w:rsidR="003A5B28">
        <w:t>0</w:t>
      </w:r>
      <w:r w:rsidR="00207689">
        <w:t>,000 civil penalty</w:t>
      </w:r>
      <w:r w:rsidRPr="00C5171A" w:rsidR="007471C6">
        <w:t>.</w:t>
      </w:r>
      <w:r>
        <w:rPr>
          <w:rStyle w:val="FootnoteReference"/>
          <w:szCs w:val="22"/>
        </w:rPr>
        <w:footnoteReference w:id="3"/>
      </w:r>
      <w:r w:rsidRPr="00C5171A" w:rsidR="007471C6">
        <w:t xml:space="preserve"> </w:t>
      </w:r>
      <w:bookmarkStart w:id="2" w:name="co_tablefootnote_11_1"/>
      <w:bookmarkEnd w:id="2"/>
    </w:p>
    <w:p w:rsidR="00B277A4" w:rsidRPr="00C87183" w:rsidP="00555E59" w14:paraId="71431CFB" w14:textId="413B4E7A">
      <w:pPr>
        <w:pStyle w:val="ParaNum"/>
      </w:pPr>
      <w:r w:rsidRPr="00C5171A">
        <w:t>After reviewing the terms of the Consent Decree and evaluating the facts before us, we find that the public interest would be served by adopting the Consent Decree and terminating the referenced investigation</w:t>
      </w:r>
      <w:r w:rsidRPr="00C5171A">
        <w:t xml:space="preserve"> regarding </w:t>
      </w:r>
      <w:r w:rsidRPr="003E7A05" w:rsidR="003E7A05">
        <w:t xml:space="preserve">Athenian’s </w:t>
      </w:r>
      <w:r w:rsidRPr="00C5171A" w:rsidR="00BA41C1">
        <w:t>compliance with section 399</w:t>
      </w:r>
      <w:r w:rsidR="00284531">
        <w:t>B</w:t>
      </w:r>
      <w:r w:rsidR="00C87183">
        <w:t xml:space="preserve"> </w:t>
      </w:r>
      <w:r w:rsidRPr="00C5171A" w:rsidR="00BA41C1">
        <w:t>of the Communications Act of 1934, as amended (Act)</w:t>
      </w:r>
      <w:r w:rsidR="008F196D">
        <w:t>,</w:t>
      </w:r>
      <w:r w:rsidR="00590441">
        <w:t xml:space="preserve"> and</w:t>
      </w:r>
      <w:r w:rsidRPr="00C5171A" w:rsidR="00BA41C1">
        <w:t xml:space="preserve"> section 73.503(d)</w:t>
      </w:r>
      <w:r w:rsidR="00C87183">
        <w:t xml:space="preserve"> of the Commission’s rules</w:t>
      </w:r>
      <w:r w:rsidR="006B4D0C">
        <w:t xml:space="preserve"> </w:t>
      </w:r>
      <w:r w:rsidRPr="006B4D0C" w:rsidR="006B4D0C">
        <w:t>(collectively, the Underwriting Laws)</w:t>
      </w:r>
      <w:r w:rsidRPr="00C87183" w:rsidR="00BA41C1">
        <w:t>.</w:t>
      </w:r>
      <w:r>
        <w:rPr>
          <w:rStyle w:val="FootnoteReference"/>
          <w:sz w:val="22"/>
          <w:szCs w:val="22"/>
        </w:rPr>
        <w:footnoteReference w:id="4"/>
      </w:r>
      <w:r w:rsidRPr="00C87183" w:rsidR="00BA41C1">
        <w:t xml:space="preserve">  </w:t>
      </w:r>
    </w:p>
    <w:p w:rsidR="00F84BCA" w:rsidRPr="00C5171A" w:rsidP="009E72BA" w14:paraId="36BBCC9C" w14:textId="1E9A5961">
      <w:pPr>
        <w:pStyle w:val="ParaNum"/>
        <w:widowControl/>
      </w:pPr>
      <w:r w:rsidRPr="00C5171A">
        <w:t>In the absence of material new evidence relating to this matter, we do not set for hearing the question of</w:t>
      </w:r>
      <w:r w:rsidRPr="00C5171A" w:rsidR="00DE3C59">
        <w:t xml:space="preserve"> </w:t>
      </w:r>
      <w:r w:rsidRPr="003E7A05" w:rsidR="00C87301">
        <w:t xml:space="preserve">Athenian’s </w:t>
      </w:r>
      <w:r w:rsidRPr="00C5171A">
        <w:t>basic qualifications to hold or obtain an</w:t>
      </w:r>
      <w:r w:rsidRPr="00C5171A" w:rsidR="00F74D07">
        <w:t>y</w:t>
      </w:r>
      <w:r w:rsidRPr="00C5171A">
        <w:t xml:space="preserve"> Commission license or</w:t>
      </w:r>
      <w:r w:rsidR="00C87301">
        <w:t xml:space="preserve"> </w:t>
      </w:r>
      <w:r w:rsidRPr="00C5171A">
        <w:t>authorization.</w:t>
      </w:r>
      <w:r>
        <w:rPr>
          <w:rStyle w:val="FootnoteReference"/>
          <w:sz w:val="22"/>
          <w:szCs w:val="22"/>
        </w:rPr>
        <w:footnoteReference w:id="5"/>
      </w:r>
      <w:r w:rsidR="00C87301">
        <w:t xml:space="preserve"> </w:t>
      </w:r>
    </w:p>
    <w:p w:rsidR="00F84BCA" w:rsidRPr="00C5171A" w:rsidP="009E72BA" w14:paraId="5DA54739" w14:textId="3270A579">
      <w:pPr>
        <w:pStyle w:val="ParaNum"/>
        <w:widowControl/>
      </w:pPr>
      <w:r w:rsidRPr="00C5171A">
        <w:t xml:space="preserve">Accordingly, </w:t>
      </w:r>
      <w:r w:rsidRPr="00C5171A">
        <w:rPr>
          <w:b/>
        </w:rPr>
        <w:t xml:space="preserve">IT IS ORDERED </w:t>
      </w:r>
      <w:r w:rsidRPr="00C5171A">
        <w:t xml:space="preserve">that, pursuant to </w:t>
      </w:r>
      <w:r w:rsidRPr="00C5171A" w:rsidR="00BA41C1">
        <w:t>s</w:t>
      </w:r>
      <w:r w:rsidRPr="00C5171A">
        <w:t>ection</w:t>
      </w:r>
      <w:r w:rsidRPr="00C5171A" w:rsidR="00B75912">
        <w:t xml:space="preserve"> 4(i)</w:t>
      </w:r>
      <w:r w:rsidRPr="00C5171A" w:rsidR="00782791">
        <w:t xml:space="preserve"> </w:t>
      </w:r>
      <w:r w:rsidRPr="00C5171A" w:rsidR="009632A6">
        <w:t>of the Act</w:t>
      </w:r>
      <w:r>
        <w:rPr>
          <w:rStyle w:val="FootnoteReference"/>
          <w:sz w:val="22"/>
          <w:szCs w:val="22"/>
        </w:rPr>
        <w:footnoteReference w:id="6"/>
      </w:r>
      <w:r w:rsidRPr="00C5171A">
        <w:t xml:space="preserve"> and the authority delegated by </w:t>
      </w:r>
      <w:r w:rsidRPr="00C5171A" w:rsidR="00BA41C1">
        <w:t>s</w:t>
      </w:r>
      <w:r w:rsidRPr="00C5171A">
        <w:t>ections 0.1</w:t>
      </w:r>
      <w:r w:rsidRPr="00C5171A" w:rsidR="0051080A">
        <w:t xml:space="preserve">11 and 0.311 of the </w:t>
      </w:r>
      <w:r w:rsidR="00D51A2B">
        <w:t>Commission’s r</w:t>
      </w:r>
      <w:r w:rsidRPr="00C5171A" w:rsidR="009632A6">
        <w:t>ules,</w:t>
      </w:r>
      <w:r>
        <w:rPr>
          <w:rStyle w:val="FootnoteReference"/>
          <w:sz w:val="22"/>
          <w:szCs w:val="22"/>
        </w:rPr>
        <w:footnoteReference w:id="7"/>
      </w:r>
      <w:r w:rsidRPr="00C5171A">
        <w:t xml:space="preserve"> the attached Consent Decree </w:t>
      </w:r>
      <w:r w:rsidRPr="00C5171A">
        <w:rPr>
          <w:b/>
        </w:rPr>
        <w:t xml:space="preserve">IS </w:t>
      </w:r>
      <w:r w:rsidRPr="00C5171A" w:rsidR="00C92CF8">
        <w:rPr>
          <w:b/>
        </w:rPr>
        <w:t>ADOPTED</w:t>
      </w:r>
      <w:r w:rsidRPr="00C92CF8" w:rsidR="00C92CF8">
        <w:rPr>
          <w:bCs/>
        </w:rPr>
        <w:t>,</w:t>
      </w:r>
      <w:r w:rsidRPr="00C92CF8" w:rsidR="00B87679">
        <w:rPr>
          <w:bCs/>
        </w:rPr>
        <w:t xml:space="preserve"> </w:t>
      </w:r>
      <w:r w:rsidRPr="00C5171A" w:rsidR="00B87679">
        <w:t xml:space="preserve">and </w:t>
      </w:r>
      <w:r w:rsidRPr="00C5171A" w:rsidR="00433E5E">
        <w:t>its terms incorporated by</w:t>
      </w:r>
      <w:r w:rsidRPr="00C5171A" w:rsidR="00B87679">
        <w:t xml:space="preserve"> reference</w:t>
      </w:r>
      <w:r w:rsidRPr="00C5171A">
        <w:t>.</w:t>
      </w:r>
    </w:p>
    <w:p w:rsidR="00F84BCA" w:rsidP="00555E59" w14:paraId="28AA4BA5" w14:textId="34D44360">
      <w:pPr>
        <w:pStyle w:val="ParaNum"/>
      </w:pPr>
      <w:r w:rsidRPr="00555E59">
        <w:rPr>
          <w:b/>
          <w:bCs/>
        </w:rPr>
        <w:t>IT IS FURTHER ORDERED</w:t>
      </w:r>
      <w:r w:rsidRPr="00C5171A">
        <w:t xml:space="preserve"> that the above-captioned matter </w:t>
      </w:r>
      <w:r w:rsidRPr="00555E59">
        <w:rPr>
          <w:b/>
          <w:bCs/>
        </w:rPr>
        <w:t>IS TERMINATED</w:t>
      </w:r>
      <w:r w:rsidRPr="00C5171A" w:rsidR="00AA40F2">
        <w:t>.</w:t>
      </w:r>
    </w:p>
    <w:p w:rsidR="008D3A07" w:rsidRPr="00C5171A" w:rsidP="008D3A07" w14:paraId="4E2987A6" w14:textId="77777777">
      <w:pPr>
        <w:pStyle w:val="ParaNum"/>
        <w:numPr>
          <w:ilvl w:val="0"/>
          <w:numId w:val="0"/>
        </w:numPr>
      </w:pPr>
    </w:p>
    <w:p w:rsidR="001A1065" w:rsidRPr="00A55F1C" w:rsidP="00555E59" w14:paraId="2824CF09" w14:textId="11A6A55A">
      <w:pPr>
        <w:pStyle w:val="ParaNum"/>
        <w:rPr>
          <w:bCs/>
        </w:rPr>
      </w:pPr>
      <w:r w:rsidRPr="00C5171A">
        <w:rPr>
          <w:b/>
        </w:rPr>
        <w:t xml:space="preserve">IT IS FURTHER ORDERED </w:t>
      </w:r>
      <w:r w:rsidRPr="00C5171A">
        <w:t xml:space="preserve">that any third-party complaints and allegations against </w:t>
      </w:r>
      <w:r w:rsidRPr="003E7A05" w:rsidR="00443BD5">
        <w:t>Athenian</w:t>
      </w:r>
      <w:r w:rsidR="00443BD5">
        <w:t xml:space="preserve"> </w:t>
      </w:r>
      <w:r w:rsidRPr="00C5171A">
        <w:t xml:space="preserve">and/or its </w:t>
      </w:r>
      <w:r w:rsidR="00443BD5">
        <w:t>S</w:t>
      </w:r>
      <w:r w:rsidRPr="00C5171A">
        <w:t>tation</w:t>
      </w:r>
      <w:r w:rsidR="00443BD5">
        <w:t>,</w:t>
      </w:r>
      <w:r w:rsidRPr="00C5171A">
        <w:t xml:space="preserve"> related to the above-captioned investigation</w:t>
      </w:r>
      <w:r w:rsidR="00443BD5">
        <w:t>,</w:t>
      </w:r>
      <w:r w:rsidRPr="00C5171A">
        <w:t xml:space="preserve"> that are pending before the </w:t>
      </w:r>
      <w:r w:rsidR="003737CD">
        <w:t xml:space="preserve">Enforcement </w:t>
      </w:r>
      <w:r w:rsidRPr="00C5171A">
        <w:t>Bureau as of the date of this Consent Decree</w:t>
      </w:r>
      <w:r w:rsidR="00443BD5">
        <w:t>,</w:t>
      </w:r>
      <w:r w:rsidRPr="00C5171A">
        <w:t xml:space="preserve"> </w:t>
      </w:r>
      <w:r w:rsidRPr="00A55F1C" w:rsidR="00E03633">
        <w:rPr>
          <w:b/>
        </w:rPr>
        <w:t>ARE DISMISSED</w:t>
      </w:r>
      <w:r w:rsidRPr="00A55F1C" w:rsidR="00D84548">
        <w:rPr>
          <w:bCs/>
        </w:rPr>
        <w:t>.</w:t>
      </w:r>
    </w:p>
    <w:p w:rsidR="001D4CD2" w:rsidRPr="001D4CD2" w:rsidP="00780100" w14:paraId="365633B5" w14:textId="7E651991">
      <w:pPr>
        <w:pStyle w:val="ParaNum"/>
        <w:rPr>
          <w:b/>
        </w:rPr>
      </w:pPr>
      <w:r w:rsidRPr="00780100">
        <w:rPr>
          <w:b/>
        </w:rPr>
        <w:t>IT IS FURTHER ORDERED</w:t>
      </w:r>
      <w:r w:rsidRPr="00C5171A">
        <w:t xml:space="preserve"> </w:t>
      </w:r>
      <w:r w:rsidRPr="00C5171A">
        <w:t xml:space="preserve">that a copy of this Order and Consent Decree shall be </w:t>
      </w:r>
      <w:r>
        <w:t xml:space="preserve">sent via e-mail to </w:t>
      </w:r>
      <w:r w:rsidRPr="00567A40" w:rsidR="00567A40">
        <w:t>Paul Francis, President</w:t>
      </w:r>
      <w:r>
        <w:t xml:space="preserve">, </w:t>
      </w:r>
      <w:r w:rsidRPr="00567A40" w:rsidR="00567A40">
        <w:t>The Athenian Multicultural Study Club</w:t>
      </w:r>
      <w:r>
        <w:t xml:space="preserve">, at </w:t>
      </w:r>
      <w:hyperlink r:id="rId5" w:history="1">
        <w:r w:rsidRPr="00EB051D" w:rsidR="00567A40">
          <w:rPr>
            <w:rStyle w:val="Hyperlink"/>
          </w:rPr>
          <w:t>paulfrancis@bulldogathens.com</w:t>
        </w:r>
      </w:hyperlink>
      <w:r w:rsidR="00567A40">
        <w:t>.</w:t>
      </w:r>
    </w:p>
    <w:p w:rsidR="00637C17" w:rsidP="00F84BCA" w14:paraId="2BD30560" w14:textId="4772E76D">
      <w:pPr>
        <w:outlineLvl w:val="0"/>
        <w:rPr>
          <w:szCs w:val="22"/>
        </w:rPr>
      </w:pPr>
    </w:p>
    <w:p w:rsidR="005E155A" w:rsidRPr="00B2416A" w:rsidP="00F84BCA" w14:paraId="1E250D5D" w14:textId="77777777">
      <w:pPr>
        <w:outlineLvl w:val="0"/>
        <w:rPr>
          <w:szCs w:val="22"/>
        </w:rPr>
      </w:pPr>
    </w:p>
    <w:p w:rsidR="00F84BCA" w:rsidRPr="00B2416A" w:rsidP="00F84BCA" w14:paraId="5981EF5E" w14:textId="77777777">
      <w:pPr>
        <w:outlineLvl w:val="0"/>
        <w:rPr>
          <w:szCs w:val="22"/>
        </w:rPr>
      </w:pPr>
      <w:r w:rsidRPr="00B2416A">
        <w:rPr>
          <w:szCs w:val="22"/>
        </w:rPr>
        <w:tab/>
      </w:r>
      <w:r w:rsidRPr="00B2416A">
        <w:rPr>
          <w:szCs w:val="22"/>
        </w:rPr>
        <w:tab/>
      </w:r>
      <w:r w:rsidRPr="00B2416A">
        <w:rPr>
          <w:szCs w:val="22"/>
        </w:rPr>
        <w:tab/>
      </w:r>
      <w:r w:rsidRPr="00B2416A">
        <w:rPr>
          <w:szCs w:val="22"/>
        </w:rPr>
        <w:tab/>
      </w:r>
      <w:r w:rsidRPr="00B2416A">
        <w:rPr>
          <w:szCs w:val="22"/>
        </w:rPr>
        <w:tab/>
        <w:t>FEDERAL COMMUNICATIONS COMMISSION</w:t>
      </w:r>
    </w:p>
    <w:p w:rsidR="00F84BCA" w:rsidRPr="00B2416A" w:rsidP="00F84BCA" w14:paraId="68C8CB87" w14:textId="77777777">
      <w:pPr>
        <w:rPr>
          <w:szCs w:val="22"/>
        </w:rPr>
      </w:pPr>
    </w:p>
    <w:p w:rsidR="00F84BCA" w:rsidRPr="00B2416A" w:rsidP="00F84BCA" w14:paraId="7A34E6D6" w14:textId="77777777">
      <w:pPr>
        <w:rPr>
          <w:szCs w:val="22"/>
        </w:rPr>
      </w:pPr>
    </w:p>
    <w:p w:rsidR="001F6275" w:rsidP="00F84BCA" w14:paraId="5A88960D" w14:textId="77777777">
      <w:pPr>
        <w:rPr>
          <w:szCs w:val="22"/>
        </w:rPr>
      </w:pPr>
    </w:p>
    <w:p w:rsidR="0073625E" w:rsidRPr="00B2416A" w:rsidP="00F84BCA" w14:paraId="44F169BB" w14:textId="77777777">
      <w:pPr>
        <w:rPr>
          <w:szCs w:val="22"/>
        </w:rPr>
      </w:pPr>
    </w:p>
    <w:p w:rsidR="00B231E2" w:rsidP="00F84BCA" w14:paraId="7C72122E" w14:textId="77777777">
      <w:pPr>
        <w:outlineLvl w:val="0"/>
        <w:rPr>
          <w:szCs w:val="22"/>
        </w:rPr>
      </w:pPr>
      <w:r w:rsidRPr="00B2416A">
        <w:rPr>
          <w:szCs w:val="22"/>
        </w:rPr>
        <w:tab/>
      </w:r>
      <w:r w:rsidRPr="00B2416A">
        <w:rPr>
          <w:szCs w:val="22"/>
        </w:rPr>
        <w:tab/>
      </w:r>
      <w:r w:rsidRPr="00B2416A">
        <w:rPr>
          <w:szCs w:val="22"/>
        </w:rPr>
        <w:tab/>
      </w:r>
      <w:r w:rsidRPr="00B2416A">
        <w:rPr>
          <w:szCs w:val="22"/>
        </w:rPr>
        <w:tab/>
      </w:r>
      <w:r w:rsidRPr="00B2416A">
        <w:rPr>
          <w:szCs w:val="22"/>
        </w:rPr>
        <w:tab/>
      </w:r>
    </w:p>
    <w:p w:rsidR="00F84BCA" w:rsidRPr="00B2416A" w:rsidP="00E21EC7" w14:paraId="3F307A74" w14:textId="77777777">
      <w:pPr>
        <w:ind w:left="2880" w:firstLine="720"/>
        <w:outlineLvl w:val="0"/>
        <w:rPr>
          <w:szCs w:val="22"/>
        </w:rPr>
      </w:pPr>
      <w:r w:rsidRPr="00B2416A">
        <w:rPr>
          <w:szCs w:val="22"/>
        </w:rPr>
        <w:t>Rosemary C. Harold</w:t>
      </w:r>
      <w:r w:rsidRPr="00B2416A" w:rsidR="00D84548">
        <w:rPr>
          <w:szCs w:val="22"/>
        </w:rPr>
        <w:t xml:space="preserve"> </w:t>
      </w:r>
    </w:p>
    <w:p w:rsidR="00D84548" w:rsidRPr="00C5171A" w:rsidP="00F84BCA" w14:paraId="41D684D7" w14:textId="77777777">
      <w:pPr>
        <w:outlineLvl w:val="0"/>
        <w:rPr>
          <w:szCs w:val="22"/>
        </w:rPr>
      </w:pPr>
      <w:r w:rsidRPr="00B2416A">
        <w:rPr>
          <w:szCs w:val="22"/>
        </w:rPr>
        <w:tab/>
      </w:r>
      <w:r w:rsidRPr="00B2416A">
        <w:rPr>
          <w:szCs w:val="22"/>
        </w:rPr>
        <w:tab/>
      </w:r>
      <w:r w:rsidRPr="00B2416A">
        <w:rPr>
          <w:szCs w:val="22"/>
        </w:rPr>
        <w:tab/>
      </w:r>
      <w:r w:rsidRPr="00B2416A">
        <w:rPr>
          <w:szCs w:val="22"/>
        </w:rPr>
        <w:tab/>
      </w:r>
      <w:r w:rsidRPr="00B2416A">
        <w:rPr>
          <w:szCs w:val="22"/>
        </w:rPr>
        <w:tab/>
      </w:r>
      <w:r w:rsidRPr="00C5171A" w:rsidR="00F84BCA">
        <w:rPr>
          <w:szCs w:val="22"/>
        </w:rPr>
        <w:t>Chief</w:t>
      </w:r>
      <w:r w:rsidRPr="00C5171A" w:rsidR="00EF1C44">
        <w:rPr>
          <w:szCs w:val="22"/>
        </w:rPr>
        <w:t xml:space="preserve"> </w:t>
      </w:r>
    </w:p>
    <w:p w:rsidR="00412FC5" w:rsidP="0097696A" w14:paraId="5DB2F7A2" w14:textId="1DA213E7">
      <w:pPr>
        <w:ind w:left="2880" w:firstLine="720"/>
        <w:outlineLvl w:val="0"/>
        <w:rPr>
          <w:szCs w:val="22"/>
        </w:rPr>
      </w:pPr>
      <w:r w:rsidRPr="00C5171A">
        <w:rPr>
          <w:szCs w:val="22"/>
        </w:rPr>
        <w:t>Enforcement Bureau</w:t>
      </w:r>
    </w:p>
    <w:p w:rsidR="000D15C9" w:rsidP="000D15C9" w14:paraId="6DE25709" w14:textId="1F31F779">
      <w:pPr>
        <w:outlineLvl w:val="0"/>
        <w:rPr>
          <w:szCs w:val="22"/>
        </w:rPr>
      </w:pPr>
    </w:p>
    <w:p w:rsidR="000D15C9" w:rsidP="000D15C9" w14:paraId="2BBC0E8B" w14:textId="77777777">
      <w:pPr>
        <w:outlineLvl w:val="0"/>
        <w:rPr>
          <w:szCs w:val="22"/>
        </w:rPr>
        <w:sectPr w:rsidSect="009E72BA">
          <w:headerReference w:type="default" r:id="rId6"/>
          <w:footerReference w:type="even" r:id="rId7"/>
          <w:footerReference w:type="default" r:id="rId8"/>
          <w:headerReference w:type="first" r:id="rId9"/>
          <w:footerReference w:type="first" r:id="rId10"/>
          <w:endnotePr>
            <w:numFmt w:val="decimal"/>
          </w:endnotePr>
          <w:pgSz w:w="12240" w:h="15840"/>
          <w:pgMar w:top="1095" w:right="1440" w:bottom="720" w:left="1440" w:header="720" w:footer="720" w:gutter="0"/>
          <w:pgNumType w:start="1"/>
          <w:cols w:space="720"/>
          <w:noEndnote/>
          <w:titlePg/>
          <w:docGrid w:linePitch="299"/>
        </w:sectPr>
      </w:pPr>
    </w:p>
    <w:p w:rsidR="000D15C9" w:rsidP="000D15C9" w14:paraId="05858811" w14:textId="77777777">
      <w:pPr>
        <w:jc w:val="center"/>
        <w:rPr>
          <w:b/>
        </w:rPr>
      </w:pPr>
      <w:r w:rsidRPr="0070224F">
        <w:rPr>
          <w:rFonts w:ascii="Times New Roman Bold" w:hAnsi="Times New Roman Bold"/>
          <w:b/>
          <w:kern w:val="0"/>
          <w:szCs w:val="22"/>
        </w:rPr>
        <w:t>Before</w:t>
      </w:r>
      <w:r>
        <w:rPr>
          <w:b/>
        </w:rPr>
        <w:t xml:space="preserve"> the</w:t>
      </w:r>
    </w:p>
    <w:p w:rsidR="000D15C9" w:rsidP="000D15C9" w14:paraId="6EC195F7" w14:textId="77777777">
      <w:pPr>
        <w:pStyle w:val="StyleBoldCentered"/>
      </w:pPr>
      <w:r>
        <w:t>F</w:t>
      </w:r>
      <w:r>
        <w:rPr>
          <w:caps w:val="0"/>
        </w:rPr>
        <w:t>ederal Communications Commission</w:t>
      </w:r>
    </w:p>
    <w:p w:rsidR="000D15C9" w:rsidP="000D15C9" w14:paraId="13A321DD" w14:textId="77777777">
      <w:pPr>
        <w:pStyle w:val="StyleBoldCentered"/>
      </w:pPr>
      <w:r>
        <w:rPr>
          <w:caps w:val="0"/>
        </w:rPr>
        <w:t>Washington, D.C. 20554</w:t>
      </w:r>
    </w:p>
    <w:p w:rsidR="000D15C9" w:rsidP="000D15C9" w14:paraId="7456DBF2" w14:textId="77777777"/>
    <w:tbl>
      <w:tblPr>
        <w:tblW w:w="0" w:type="auto"/>
        <w:tblLayout w:type="fixed"/>
        <w:tblLook w:val="0000"/>
      </w:tblPr>
      <w:tblGrid>
        <w:gridCol w:w="4698"/>
        <w:gridCol w:w="630"/>
        <w:gridCol w:w="4248"/>
      </w:tblGrid>
      <w:tr w14:paraId="3531990A" w14:textId="77777777" w:rsidTr="00D43565">
        <w:tblPrEx>
          <w:tblW w:w="0" w:type="auto"/>
          <w:tblLayout w:type="fixed"/>
          <w:tblLook w:val="0000"/>
        </w:tblPrEx>
        <w:tc>
          <w:tcPr>
            <w:tcW w:w="4698" w:type="dxa"/>
          </w:tcPr>
          <w:p w:rsidR="000D15C9" w:rsidP="00D43565" w14:paraId="4340C9C0" w14:textId="77777777">
            <w:pPr>
              <w:tabs>
                <w:tab w:val="center" w:pos="4680"/>
              </w:tabs>
              <w:suppressAutoHyphens/>
              <w:rPr>
                <w:spacing w:val="-2"/>
              </w:rPr>
            </w:pPr>
            <w:r>
              <w:rPr>
                <w:spacing w:val="-2"/>
              </w:rPr>
              <w:t>In the Matter of</w:t>
            </w:r>
          </w:p>
          <w:p w:rsidR="000D15C9" w:rsidP="00D43565" w14:paraId="2788A7E3" w14:textId="77777777">
            <w:pPr>
              <w:tabs>
                <w:tab w:val="center" w:pos="4680"/>
              </w:tabs>
              <w:suppressAutoHyphens/>
              <w:rPr>
                <w:spacing w:val="-2"/>
              </w:rPr>
            </w:pPr>
          </w:p>
          <w:p w:rsidR="000D15C9" w:rsidRPr="00EA2377" w:rsidP="00D43565" w14:paraId="409D80D6" w14:textId="77777777">
            <w:pPr>
              <w:tabs>
                <w:tab w:val="center" w:pos="4680"/>
              </w:tabs>
              <w:suppressAutoHyphens/>
              <w:rPr>
                <w:bCs/>
                <w:spacing w:val="-2"/>
              </w:rPr>
            </w:pPr>
            <w:r w:rsidRPr="006421DF">
              <w:rPr>
                <w:bCs/>
                <w:spacing w:val="-2"/>
              </w:rPr>
              <w:t>The Athenian Multicultural Study Club</w:t>
            </w:r>
          </w:p>
          <w:p w:rsidR="000D15C9" w:rsidP="00D43565" w14:paraId="7564759E" w14:textId="77777777">
            <w:pPr>
              <w:tabs>
                <w:tab w:val="center" w:pos="4680"/>
              </w:tabs>
              <w:suppressAutoHyphens/>
              <w:rPr>
                <w:b/>
                <w:spacing w:val="-2"/>
              </w:rPr>
            </w:pPr>
          </w:p>
          <w:p w:rsidR="000D15C9" w:rsidP="00D43565" w14:paraId="2A013379" w14:textId="77777777">
            <w:pPr>
              <w:tabs>
                <w:tab w:val="center" w:pos="4680"/>
              </w:tabs>
              <w:suppressAutoHyphens/>
              <w:rPr>
                <w:spacing w:val="-2"/>
              </w:rPr>
            </w:pPr>
          </w:p>
          <w:p w:rsidR="000D15C9" w:rsidP="00D43565" w14:paraId="0B207337" w14:textId="77777777">
            <w:pPr>
              <w:tabs>
                <w:tab w:val="center" w:pos="4680"/>
              </w:tabs>
              <w:suppressAutoHyphens/>
              <w:rPr>
                <w:spacing w:val="-2"/>
              </w:rPr>
            </w:pPr>
            <w:r>
              <w:rPr>
                <w:spacing w:val="-2"/>
              </w:rPr>
              <w:t xml:space="preserve">Licensee of Low Power FM Station </w:t>
            </w:r>
          </w:p>
          <w:p w:rsidR="000D15C9" w:rsidP="00D43565" w14:paraId="76F0B8AE" w14:textId="77777777">
            <w:pPr>
              <w:tabs>
                <w:tab w:val="center" w:pos="4680"/>
              </w:tabs>
              <w:suppressAutoHyphens/>
              <w:rPr>
                <w:spacing w:val="-2"/>
              </w:rPr>
            </w:pPr>
            <w:r w:rsidRPr="006421DF">
              <w:rPr>
                <w:spacing w:val="-2"/>
              </w:rPr>
              <w:t>WPLP-LP, Athens, Georgia</w:t>
            </w:r>
            <w:r>
              <w:rPr>
                <w:spacing w:val="-2"/>
              </w:rPr>
              <w:t xml:space="preserve"> </w:t>
            </w:r>
          </w:p>
          <w:p w:rsidR="000D15C9" w:rsidRPr="001F7175" w:rsidP="00D43565" w14:paraId="0BE9D1CB" w14:textId="77777777">
            <w:pPr>
              <w:tabs>
                <w:tab w:val="center" w:pos="4680"/>
              </w:tabs>
              <w:suppressAutoHyphens/>
              <w:rPr>
                <w:spacing w:val="-2"/>
              </w:rPr>
            </w:pPr>
          </w:p>
        </w:tc>
        <w:tc>
          <w:tcPr>
            <w:tcW w:w="630" w:type="dxa"/>
          </w:tcPr>
          <w:p w:rsidR="000D15C9" w:rsidP="00D43565" w14:paraId="2421FF7C" w14:textId="77777777">
            <w:pPr>
              <w:tabs>
                <w:tab w:val="center" w:pos="4680"/>
              </w:tabs>
              <w:suppressAutoHyphens/>
              <w:rPr>
                <w:b/>
                <w:spacing w:val="-2"/>
              </w:rPr>
            </w:pPr>
            <w:r>
              <w:rPr>
                <w:b/>
                <w:spacing w:val="-2"/>
              </w:rPr>
              <w:t>)</w:t>
            </w:r>
          </w:p>
          <w:p w:rsidR="000D15C9" w:rsidP="00D43565" w14:paraId="47530E5D" w14:textId="77777777">
            <w:pPr>
              <w:tabs>
                <w:tab w:val="center" w:pos="4680"/>
              </w:tabs>
              <w:suppressAutoHyphens/>
              <w:rPr>
                <w:b/>
                <w:spacing w:val="-2"/>
              </w:rPr>
            </w:pPr>
            <w:r>
              <w:rPr>
                <w:b/>
                <w:spacing w:val="-2"/>
              </w:rPr>
              <w:t>)</w:t>
            </w:r>
          </w:p>
          <w:p w:rsidR="000D15C9" w:rsidP="00D43565" w14:paraId="585AE937" w14:textId="77777777">
            <w:pPr>
              <w:tabs>
                <w:tab w:val="center" w:pos="4680"/>
              </w:tabs>
              <w:suppressAutoHyphens/>
              <w:rPr>
                <w:b/>
                <w:spacing w:val="-2"/>
              </w:rPr>
            </w:pPr>
            <w:r>
              <w:rPr>
                <w:b/>
                <w:spacing w:val="-2"/>
              </w:rPr>
              <w:t>)</w:t>
            </w:r>
          </w:p>
          <w:p w:rsidR="000D15C9" w:rsidP="00D43565" w14:paraId="32B1BE3F" w14:textId="77777777">
            <w:pPr>
              <w:tabs>
                <w:tab w:val="center" w:pos="4680"/>
              </w:tabs>
              <w:suppressAutoHyphens/>
              <w:rPr>
                <w:b/>
                <w:spacing w:val="-2"/>
              </w:rPr>
            </w:pPr>
            <w:r>
              <w:rPr>
                <w:b/>
                <w:spacing w:val="-2"/>
              </w:rPr>
              <w:t>)</w:t>
            </w:r>
          </w:p>
          <w:p w:rsidR="000D15C9" w:rsidP="00D43565" w14:paraId="67DC3380" w14:textId="77777777">
            <w:pPr>
              <w:tabs>
                <w:tab w:val="center" w:pos="4680"/>
              </w:tabs>
              <w:suppressAutoHyphens/>
              <w:rPr>
                <w:b/>
                <w:spacing w:val="-2"/>
              </w:rPr>
            </w:pPr>
            <w:r>
              <w:rPr>
                <w:b/>
                <w:spacing w:val="-2"/>
              </w:rPr>
              <w:t>)</w:t>
            </w:r>
          </w:p>
          <w:p w:rsidR="000D15C9" w:rsidP="00D43565" w14:paraId="05B0B3AF" w14:textId="77777777">
            <w:pPr>
              <w:tabs>
                <w:tab w:val="center" w:pos="4680"/>
              </w:tabs>
              <w:suppressAutoHyphens/>
              <w:rPr>
                <w:b/>
                <w:spacing w:val="-2"/>
              </w:rPr>
            </w:pPr>
            <w:r>
              <w:rPr>
                <w:b/>
                <w:spacing w:val="-2"/>
              </w:rPr>
              <w:t>)</w:t>
            </w:r>
          </w:p>
          <w:p w:rsidR="000D15C9" w:rsidP="00D43565" w14:paraId="66E9EF8D" w14:textId="77777777">
            <w:pPr>
              <w:tabs>
                <w:tab w:val="center" w:pos="4680"/>
              </w:tabs>
              <w:suppressAutoHyphens/>
              <w:rPr>
                <w:b/>
                <w:spacing w:val="-2"/>
              </w:rPr>
            </w:pPr>
            <w:r>
              <w:rPr>
                <w:b/>
                <w:spacing w:val="-2"/>
              </w:rPr>
              <w:t>)</w:t>
            </w:r>
          </w:p>
          <w:p w:rsidR="000D15C9" w:rsidRPr="00C90844" w:rsidP="00D43565" w14:paraId="3797F028" w14:textId="77777777">
            <w:pPr>
              <w:tabs>
                <w:tab w:val="center" w:pos="4680"/>
              </w:tabs>
              <w:suppressAutoHyphens/>
              <w:rPr>
                <w:b/>
                <w:spacing w:val="-2"/>
              </w:rPr>
            </w:pPr>
          </w:p>
        </w:tc>
        <w:tc>
          <w:tcPr>
            <w:tcW w:w="4248" w:type="dxa"/>
          </w:tcPr>
          <w:p w:rsidR="000D15C9" w:rsidP="00D43565" w14:paraId="5AE4F2A4" w14:textId="77777777">
            <w:pPr>
              <w:tabs>
                <w:tab w:val="center" w:pos="4680"/>
              </w:tabs>
              <w:suppressAutoHyphens/>
              <w:rPr>
                <w:spacing w:val="-2"/>
              </w:rPr>
            </w:pPr>
          </w:p>
          <w:p w:rsidR="000D15C9" w:rsidP="00D43565" w14:paraId="1C3D5BB1" w14:textId="77777777">
            <w:pPr>
              <w:pStyle w:val="TOAHeading"/>
              <w:tabs>
                <w:tab w:val="center" w:pos="4680"/>
                <w:tab w:val="clear" w:pos="9360"/>
              </w:tabs>
              <w:rPr>
                <w:spacing w:val="-2"/>
              </w:rPr>
            </w:pPr>
          </w:p>
          <w:p w:rsidR="000D15C9" w:rsidRPr="001F7175" w:rsidP="00D43565" w14:paraId="78F34E2B" w14:textId="77777777">
            <w:pPr>
              <w:pStyle w:val="TOAHeading"/>
              <w:tabs>
                <w:tab w:val="center" w:pos="4680"/>
              </w:tabs>
              <w:rPr>
                <w:spacing w:val="-2"/>
              </w:rPr>
            </w:pPr>
            <w:r w:rsidRPr="001F7175">
              <w:rPr>
                <w:spacing w:val="-2"/>
              </w:rPr>
              <w:t xml:space="preserve">File No.:  </w:t>
            </w:r>
            <w:r w:rsidRPr="00DB6F01">
              <w:rPr>
                <w:spacing w:val="-2"/>
              </w:rPr>
              <w:t>EB-IHD-20-00030893</w:t>
            </w:r>
          </w:p>
          <w:p w:rsidR="000D15C9" w:rsidRPr="001F7175" w:rsidP="00D43565" w14:paraId="290AC2A8" w14:textId="77777777">
            <w:pPr>
              <w:pStyle w:val="TOAHeading"/>
              <w:tabs>
                <w:tab w:val="center" w:pos="4680"/>
              </w:tabs>
              <w:rPr>
                <w:spacing w:val="-2"/>
              </w:rPr>
            </w:pPr>
            <w:r>
              <w:rPr>
                <w:spacing w:val="-2"/>
              </w:rPr>
              <w:t xml:space="preserve">CD </w:t>
            </w:r>
            <w:r w:rsidRPr="002D07D2">
              <w:rPr>
                <w:spacing w:val="-2"/>
              </w:rPr>
              <w:t xml:space="preserve">Acct. No.:  </w:t>
            </w:r>
            <w:r w:rsidRPr="00E47C42">
              <w:rPr>
                <w:spacing w:val="-2"/>
              </w:rPr>
              <w:t>202132080012</w:t>
            </w:r>
          </w:p>
          <w:p w:rsidR="000D15C9" w:rsidRPr="001F7175" w:rsidP="00D43565" w14:paraId="1CDA6466" w14:textId="77777777">
            <w:pPr>
              <w:pStyle w:val="TOAHeading"/>
              <w:tabs>
                <w:tab w:val="center" w:pos="4680"/>
              </w:tabs>
              <w:rPr>
                <w:spacing w:val="-2"/>
              </w:rPr>
            </w:pPr>
            <w:r w:rsidRPr="001F7175">
              <w:rPr>
                <w:spacing w:val="-2"/>
              </w:rPr>
              <w:t xml:space="preserve">FRN:  </w:t>
            </w:r>
            <w:r w:rsidRPr="00D45A76">
              <w:rPr>
                <w:spacing w:val="-2"/>
              </w:rPr>
              <w:t>0023023534</w:t>
            </w:r>
          </w:p>
          <w:p w:rsidR="000D15C9" w:rsidRPr="001F7175" w:rsidP="00D43565" w14:paraId="014A6DD5" w14:textId="77777777">
            <w:pPr>
              <w:pStyle w:val="TOAHeading"/>
              <w:tabs>
                <w:tab w:val="center" w:pos="4680"/>
              </w:tabs>
              <w:rPr>
                <w:spacing w:val="-2"/>
              </w:rPr>
            </w:pPr>
          </w:p>
          <w:p w:rsidR="000D15C9" w:rsidRPr="001F7175" w:rsidP="00D43565" w14:paraId="1F643084" w14:textId="77777777">
            <w:pPr>
              <w:pStyle w:val="TOAHeading"/>
              <w:tabs>
                <w:tab w:val="center" w:pos="4680"/>
              </w:tabs>
              <w:rPr>
                <w:spacing w:val="-2"/>
              </w:rPr>
            </w:pPr>
            <w:r w:rsidRPr="001F7175">
              <w:rPr>
                <w:spacing w:val="-2"/>
              </w:rPr>
              <w:t xml:space="preserve">Facility ID No. </w:t>
            </w:r>
            <w:r w:rsidRPr="006421DF">
              <w:rPr>
                <w:spacing w:val="-2"/>
              </w:rPr>
              <w:t>193254</w:t>
            </w:r>
          </w:p>
          <w:p w:rsidR="000D15C9" w:rsidP="00D43565" w14:paraId="61A5EAE7" w14:textId="77777777">
            <w:pPr>
              <w:tabs>
                <w:tab w:val="center" w:pos="4680"/>
              </w:tabs>
              <w:suppressAutoHyphens/>
              <w:rPr>
                <w:spacing w:val="-2"/>
              </w:rPr>
            </w:pPr>
          </w:p>
        </w:tc>
      </w:tr>
    </w:tbl>
    <w:p w:rsidR="000D15C9" w:rsidP="000D15C9" w14:paraId="4AC8F331" w14:textId="77777777">
      <w:pPr>
        <w:pStyle w:val="StyleBoldCentered"/>
      </w:pPr>
      <w:r>
        <w:t>CONSENT DECREE</w:t>
      </w:r>
    </w:p>
    <w:p w:rsidR="000D15C9" w:rsidP="000D15C9" w14:paraId="1A26817C" w14:textId="77777777">
      <w:pPr>
        <w:rPr>
          <w:spacing w:val="-2"/>
        </w:rPr>
      </w:pPr>
    </w:p>
    <w:p w:rsidR="000D15C9" w:rsidP="00DC0572" w14:paraId="52422DFD" w14:textId="77777777">
      <w:pPr>
        <w:pStyle w:val="ParaNum"/>
        <w:numPr>
          <w:ilvl w:val="0"/>
          <w:numId w:val="11"/>
        </w:numPr>
      </w:pPr>
      <w:r w:rsidRPr="0078054A">
        <w:t>Noncommercial</w:t>
      </w:r>
      <w:r>
        <w:t xml:space="preserve"> educational (NCE) broadcast stations, including low power FM (LPFM) stations, provide a unique service to the public.  LPFM stations allow the public to enjoy a radio service that is both commercial free and distinctly oriented to the local communities of the stations’ listeners.  Because of their unique and non-profit nature, the Federal Communications Commission has given special regulatory consideration to NCE and LPFM stations, reserving spectrum for NCE stations, imposing fewer regulatory requirements, and exempting them from annual regulatory fees.  That flexibility, however, is not unlimited.  Accordingly, the FCC has long prohibited</w:t>
      </w:r>
      <w:r w:rsidRPr="00B21366">
        <w:t xml:space="preserve"> </w:t>
      </w:r>
      <w:r>
        <w:t xml:space="preserve">NCE stations </w:t>
      </w:r>
      <w:r w:rsidRPr="00B21366">
        <w:t>from airing commercial advertisements.</w:t>
      </w:r>
      <w:r>
        <w:t xml:space="preserve">  </w:t>
      </w:r>
    </w:p>
    <w:p w:rsidR="000D15C9" w:rsidP="000D15C9" w14:paraId="4FEB28BD" w14:textId="77777777">
      <w:pPr>
        <w:pStyle w:val="ParaNum"/>
        <w:widowControl/>
      </w:pPr>
      <w:r>
        <w:t>As part of the Commission’s obligation to prevent such violations, the</w:t>
      </w:r>
      <w:r w:rsidRPr="009714C8">
        <w:t xml:space="preserve"> Enforcement Bureau</w:t>
      </w:r>
      <w:r>
        <w:t xml:space="preserve"> </w:t>
      </w:r>
      <w:r w:rsidRPr="009714C8">
        <w:t>and</w:t>
      </w:r>
      <w:r>
        <w:t xml:space="preserve"> </w:t>
      </w:r>
      <w:r w:rsidRPr="00D7445B">
        <w:t xml:space="preserve">The Athenian Multicultural Study Club </w:t>
      </w:r>
      <w:r w:rsidRPr="009714C8">
        <w:t>(</w:t>
      </w:r>
      <w:r w:rsidRPr="00D7445B">
        <w:t xml:space="preserve">Athenian </w:t>
      </w:r>
      <w:r>
        <w:t>or Licensee</w:t>
      </w:r>
      <w:r w:rsidRPr="009714C8">
        <w:t xml:space="preserve">), licensee of </w:t>
      </w:r>
      <w:r>
        <w:t>LPFM s</w:t>
      </w:r>
      <w:r w:rsidRPr="009714C8">
        <w:t xml:space="preserve">tation </w:t>
      </w:r>
      <w:r w:rsidRPr="002E70E0">
        <w:t xml:space="preserve">WPLP-LP, Athens, Georgia </w:t>
      </w:r>
      <w:r>
        <w:t xml:space="preserve">(Station or </w:t>
      </w:r>
      <w:r w:rsidRPr="002E70E0">
        <w:t>WPLP</w:t>
      </w:r>
      <w:r>
        <w:t xml:space="preserve">-LP), </w:t>
      </w:r>
      <w:r w:rsidRPr="009714C8">
        <w:t>by their authorized</w:t>
      </w:r>
      <w:r>
        <w:t xml:space="preserve"> </w:t>
      </w:r>
      <w:r w:rsidRPr="009714C8">
        <w:t xml:space="preserve">representatives, hereby enter into this Consent Decree for the purpose of terminating the </w:t>
      </w:r>
      <w:r>
        <w:t xml:space="preserve">Enforcement </w:t>
      </w:r>
      <w:r w:rsidRPr="009714C8">
        <w:t xml:space="preserve">Bureau’s investigation into whether </w:t>
      </w:r>
      <w:r>
        <w:t>Athenian</w:t>
      </w:r>
      <w:r w:rsidRPr="009714C8">
        <w:t xml:space="preserve"> violated </w:t>
      </w:r>
      <w:r>
        <w:t>section 399B of the Communications Act of 1934, as amended (Act), and section 73.503(d) of the Commission’s rules (collectively, the Underwriting Laws),</w:t>
      </w:r>
      <w:r>
        <w:rPr>
          <w:rStyle w:val="FootnoteReference"/>
        </w:rPr>
        <w:footnoteReference w:id="8"/>
      </w:r>
      <w:r>
        <w:t xml:space="preserve"> by airing commercial advertisements.  As set forth herein, Athenian agrees to implement a compliance plan and pay a $10,000 civil penalty.  This action will spare Commission resources and help ensure Licensee’s compliance with the Underwriting Laws. </w:t>
      </w:r>
    </w:p>
    <w:p w:rsidR="000D15C9" w:rsidP="000D15C9" w14:paraId="0B86AEBC" w14:textId="77777777">
      <w:pPr>
        <w:pStyle w:val="ParaNum"/>
        <w:widowControl/>
        <w:numPr>
          <w:ilvl w:val="0"/>
          <w:numId w:val="0"/>
        </w:numPr>
        <w:ind w:left="720"/>
      </w:pPr>
    </w:p>
    <w:p w:rsidR="000D15C9" w:rsidP="000D15C9" w14:paraId="48EA0E21" w14:textId="77777777">
      <w:pPr>
        <w:pStyle w:val="Heading1"/>
      </w:pPr>
      <w:r>
        <w:t>DEFINITIONS</w:t>
      </w:r>
    </w:p>
    <w:p w:rsidR="000D15C9" w:rsidRPr="0058223B" w:rsidP="000D15C9" w14:paraId="562CEBCB" w14:textId="77777777">
      <w:pPr>
        <w:pStyle w:val="ParaNum"/>
      </w:pPr>
      <w:r w:rsidRPr="0058223B">
        <w:t>For the purposes of this Consent Decree, the following definitions shall apply:</w:t>
      </w:r>
    </w:p>
    <w:p w:rsidR="000D15C9" w:rsidRPr="0058223B" w:rsidP="00DC0572" w14:paraId="145EA27D" w14:textId="77777777">
      <w:pPr>
        <w:numPr>
          <w:ilvl w:val="0"/>
          <w:numId w:val="4"/>
        </w:numPr>
        <w:tabs>
          <w:tab w:val="clear" w:pos="3960"/>
        </w:tabs>
        <w:spacing w:after="120"/>
        <w:ind w:left="1890"/>
        <w:rPr>
          <w:szCs w:val="22"/>
        </w:rPr>
      </w:pPr>
      <w:r w:rsidRPr="0058223B">
        <w:rPr>
          <w:szCs w:val="22"/>
        </w:rPr>
        <w:t>“Act” means the Communications Act of 1934, as amended</w:t>
      </w:r>
      <w:r>
        <w:rPr>
          <w:szCs w:val="22"/>
        </w:rPr>
        <w:t>.</w:t>
      </w:r>
      <w:r>
        <w:rPr>
          <w:rStyle w:val="FootnoteReference"/>
          <w:szCs w:val="22"/>
        </w:rPr>
        <w:footnoteReference w:id="9"/>
      </w:r>
    </w:p>
    <w:p w:rsidR="000D15C9" w:rsidP="00DC0572" w14:paraId="0D8C63CA" w14:textId="77777777">
      <w:pPr>
        <w:numPr>
          <w:ilvl w:val="0"/>
          <w:numId w:val="4"/>
        </w:numPr>
        <w:tabs>
          <w:tab w:val="clear" w:pos="3960"/>
        </w:tabs>
        <w:spacing w:after="120"/>
        <w:ind w:left="1890"/>
        <w:rPr>
          <w:szCs w:val="22"/>
        </w:rPr>
      </w:pPr>
      <w:r w:rsidRPr="0058223B">
        <w:rPr>
          <w:szCs w:val="22"/>
        </w:rPr>
        <w:t>“Adopting Order”</w:t>
      </w:r>
      <w:r w:rsidRPr="004E0640">
        <w:rPr>
          <w:szCs w:val="22"/>
        </w:rPr>
        <w:t xml:space="preserve"> means an order of the </w:t>
      </w:r>
      <w:r>
        <w:rPr>
          <w:szCs w:val="22"/>
        </w:rPr>
        <w:t>Enforcement Bureau</w:t>
      </w:r>
      <w:r w:rsidRPr="004E0640">
        <w:rPr>
          <w:szCs w:val="22"/>
        </w:rPr>
        <w:t xml:space="preserve"> adopting the terms of this Consent Decree without change, addition, deletion, or modification.</w:t>
      </w:r>
    </w:p>
    <w:p w:rsidR="000D15C9" w:rsidRPr="006C40CA" w:rsidP="00DC0572" w14:paraId="5DDCEFB5" w14:textId="77777777">
      <w:pPr>
        <w:widowControl/>
        <w:numPr>
          <w:ilvl w:val="0"/>
          <w:numId w:val="4"/>
        </w:numPr>
        <w:tabs>
          <w:tab w:val="clear" w:pos="3960"/>
        </w:tabs>
        <w:spacing w:after="120"/>
        <w:ind w:left="1886"/>
        <w:rPr>
          <w:szCs w:val="22"/>
        </w:rPr>
      </w:pPr>
      <w:r>
        <w:rPr>
          <w:szCs w:val="22"/>
        </w:rPr>
        <w:t xml:space="preserve">“Athenian” or “Licensee” means </w:t>
      </w:r>
      <w:r w:rsidRPr="007C2C8E">
        <w:rPr>
          <w:szCs w:val="22"/>
        </w:rPr>
        <w:t xml:space="preserve">The Athenian Multicultural Study Club </w:t>
      </w:r>
      <w:r w:rsidRPr="00E7736D">
        <w:rPr>
          <w:szCs w:val="22"/>
        </w:rPr>
        <w:t>and its affiliates, subsidiaries, predecessors-in-interest, and successors-in-interest.</w:t>
      </w:r>
    </w:p>
    <w:p w:rsidR="000D15C9" w:rsidP="00DC0572" w14:paraId="7FE4DCD9" w14:textId="77777777">
      <w:pPr>
        <w:numPr>
          <w:ilvl w:val="0"/>
          <w:numId w:val="4"/>
        </w:numPr>
        <w:tabs>
          <w:tab w:val="clear" w:pos="3960"/>
        </w:tabs>
        <w:spacing w:after="120"/>
        <w:ind w:left="1890"/>
        <w:rPr>
          <w:szCs w:val="22"/>
        </w:rPr>
      </w:pPr>
      <w:r w:rsidRPr="004C4352">
        <w:rPr>
          <w:szCs w:val="22"/>
        </w:rPr>
        <w:t>“CD Acct</w:t>
      </w:r>
      <w:r>
        <w:rPr>
          <w:szCs w:val="22"/>
        </w:rPr>
        <w:t>.</w:t>
      </w:r>
      <w:r w:rsidRPr="004C4352">
        <w:rPr>
          <w:szCs w:val="22"/>
        </w:rPr>
        <w:t xml:space="preserve"> No.” means account number </w:t>
      </w:r>
      <w:r w:rsidRPr="00086CAF">
        <w:rPr>
          <w:spacing w:val="-2"/>
        </w:rPr>
        <w:t>202132080012</w:t>
      </w:r>
      <w:r w:rsidRPr="004C4352">
        <w:rPr>
          <w:szCs w:val="22"/>
        </w:rPr>
        <w:t xml:space="preserve">, associated with payment obligations described in </w:t>
      </w:r>
      <w:r>
        <w:rPr>
          <w:szCs w:val="22"/>
        </w:rPr>
        <w:t>P</w:t>
      </w:r>
      <w:r w:rsidRPr="004C4352">
        <w:rPr>
          <w:szCs w:val="22"/>
        </w:rPr>
        <w:t xml:space="preserve">aragraph </w:t>
      </w:r>
      <w:r w:rsidRPr="00391B04">
        <w:rPr>
          <w:szCs w:val="22"/>
        </w:rPr>
        <w:t>18</w:t>
      </w:r>
      <w:r w:rsidRPr="004C4352">
        <w:rPr>
          <w:szCs w:val="22"/>
        </w:rPr>
        <w:t xml:space="preserve"> of this Consent Decree.</w:t>
      </w:r>
    </w:p>
    <w:p w:rsidR="000D15C9" w:rsidRPr="0058223B" w:rsidP="00DC0572" w14:paraId="09F978D5" w14:textId="77777777">
      <w:pPr>
        <w:numPr>
          <w:ilvl w:val="0"/>
          <w:numId w:val="4"/>
        </w:numPr>
        <w:tabs>
          <w:tab w:val="clear" w:pos="3960"/>
        </w:tabs>
        <w:spacing w:after="120"/>
        <w:ind w:left="1890"/>
        <w:rPr>
          <w:szCs w:val="22"/>
        </w:rPr>
      </w:pPr>
      <w:r w:rsidRPr="0058223B">
        <w:rPr>
          <w:szCs w:val="22"/>
        </w:rPr>
        <w:t xml:space="preserve">“Commission” and “FCC” mean the Federal Communications Commission and </w:t>
      </w:r>
      <w:r>
        <w:rPr>
          <w:szCs w:val="22"/>
        </w:rPr>
        <w:t>al</w:t>
      </w:r>
      <w:r w:rsidRPr="0058223B">
        <w:rPr>
          <w:szCs w:val="22"/>
        </w:rPr>
        <w:t>l its bureaus and offices.</w:t>
      </w:r>
    </w:p>
    <w:p w:rsidR="000D15C9" w:rsidRPr="0058223B" w:rsidP="00DC0572" w14:paraId="429D2A91" w14:textId="77777777">
      <w:pPr>
        <w:numPr>
          <w:ilvl w:val="0"/>
          <w:numId w:val="4"/>
        </w:numPr>
        <w:tabs>
          <w:tab w:val="clear" w:pos="3960"/>
        </w:tabs>
        <w:spacing w:after="120"/>
        <w:ind w:left="1890"/>
        <w:rPr>
          <w:szCs w:val="22"/>
        </w:rPr>
      </w:pPr>
      <w:r w:rsidRPr="0058223B">
        <w:rPr>
          <w:szCs w:val="22"/>
        </w:rPr>
        <w:t xml:space="preserve">“Communications Laws” means collectively, the Act, the Rules, and the published </w:t>
      </w:r>
      <w:r w:rsidRPr="0058223B">
        <w:rPr>
          <w:szCs w:val="22"/>
        </w:rPr>
        <w:t xml:space="preserve">and promulgated orders and decisions of the Commission to </w:t>
      </w:r>
      <w:r>
        <w:rPr>
          <w:szCs w:val="22"/>
        </w:rPr>
        <w:t xml:space="preserve">which Athenian is </w:t>
      </w:r>
      <w:r w:rsidRPr="0058223B">
        <w:rPr>
          <w:szCs w:val="22"/>
        </w:rPr>
        <w:t>subject by virtue of its being a Commission licensee, including but not limited to</w:t>
      </w:r>
      <w:r>
        <w:rPr>
          <w:szCs w:val="22"/>
        </w:rPr>
        <w:t xml:space="preserve"> the Underwriting Laws.</w:t>
      </w:r>
    </w:p>
    <w:p w:rsidR="000D15C9" w:rsidP="00DC0572" w14:paraId="2276D671" w14:textId="77777777">
      <w:pPr>
        <w:numPr>
          <w:ilvl w:val="0"/>
          <w:numId w:val="4"/>
        </w:numPr>
        <w:tabs>
          <w:tab w:val="clear" w:pos="3960"/>
        </w:tabs>
        <w:spacing w:after="120"/>
        <w:ind w:left="1890"/>
        <w:rPr>
          <w:szCs w:val="22"/>
        </w:rPr>
      </w:pPr>
      <w:r w:rsidRPr="00341BFB">
        <w:rPr>
          <w:szCs w:val="22"/>
        </w:rPr>
        <w:t>“Complaint”</w:t>
      </w:r>
      <w:r w:rsidRPr="0058223B">
        <w:rPr>
          <w:szCs w:val="22"/>
        </w:rPr>
        <w:t xml:space="preserve"> means the third-party </w:t>
      </w:r>
      <w:r>
        <w:rPr>
          <w:szCs w:val="22"/>
        </w:rPr>
        <w:t>submissions</w:t>
      </w:r>
      <w:r w:rsidRPr="0058223B">
        <w:rPr>
          <w:szCs w:val="22"/>
        </w:rPr>
        <w:t xml:space="preserve"> received by the </w:t>
      </w:r>
      <w:r>
        <w:rPr>
          <w:szCs w:val="22"/>
        </w:rPr>
        <w:t xml:space="preserve">Enforcement Bureau, dated </w:t>
      </w:r>
      <w:r w:rsidRPr="00481F46">
        <w:rPr>
          <w:szCs w:val="22"/>
        </w:rPr>
        <w:t>Oct. 22, 2019</w:t>
      </w:r>
      <w:r>
        <w:rPr>
          <w:szCs w:val="22"/>
        </w:rPr>
        <w:t xml:space="preserve">, on file in </w:t>
      </w:r>
      <w:r w:rsidRPr="00481F46">
        <w:rPr>
          <w:spacing w:val="-2"/>
        </w:rPr>
        <w:t>EB-IHD-20-00030893</w:t>
      </w:r>
      <w:r>
        <w:rPr>
          <w:spacing w:val="-2"/>
        </w:rPr>
        <w:t>,</w:t>
      </w:r>
      <w:r w:rsidRPr="0058223B">
        <w:rPr>
          <w:szCs w:val="22"/>
        </w:rPr>
        <w:t xml:space="preserve"> alleging violation</w:t>
      </w:r>
      <w:r>
        <w:rPr>
          <w:szCs w:val="22"/>
        </w:rPr>
        <w:t>s</w:t>
      </w:r>
      <w:r w:rsidRPr="0058223B">
        <w:rPr>
          <w:szCs w:val="22"/>
        </w:rPr>
        <w:t xml:space="preserve"> of </w:t>
      </w:r>
      <w:r>
        <w:rPr>
          <w:szCs w:val="22"/>
        </w:rPr>
        <w:t>the Underwriting</w:t>
      </w:r>
      <w:r w:rsidRPr="0058223B">
        <w:rPr>
          <w:szCs w:val="22"/>
        </w:rPr>
        <w:t xml:space="preserve"> Laws</w:t>
      </w:r>
      <w:r w:rsidRPr="00B2001B">
        <w:rPr>
          <w:szCs w:val="22"/>
        </w:rPr>
        <w:t>.</w:t>
      </w:r>
      <w:r>
        <w:rPr>
          <w:szCs w:val="22"/>
        </w:rPr>
        <w:t xml:space="preserve"> </w:t>
      </w:r>
    </w:p>
    <w:p w:rsidR="000D15C9" w:rsidRPr="005F290A" w:rsidP="00DC0572" w14:paraId="440D77C1" w14:textId="77777777">
      <w:pPr>
        <w:numPr>
          <w:ilvl w:val="0"/>
          <w:numId w:val="4"/>
        </w:numPr>
        <w:tabs>
          <w:tab w:val="clear" w:pos="3960"/>
        </w:tabs>
        <w:spacing w:after="120"/>
        <w:ind w:left="1890"/>
        <w:rPr>
          <w:szCs w:val="22"/>
        </w:rPr>
      </w:pPr>
      <w:r w:rsidRPr="00D76D3D">
        <w:rPr>
          <w:szCs w:val="22"/>
        </w:rPr>
        <w:t>“</w:t>
      </w:r>
      <w:r w:rsidRPr="009C0B38">
        <w:rPr>
          <w:szCs w:val="22"/>
        </w:rPr>
        <w:t>Compliance Officer</w:t>
      </w:r>
      <w:r w:rsidRPr="00D76D3D">
        <w:rPr>
          <w:szCs w:val="22"/>
        </w:rPr>
        <w:t xml:space="preserve">” means the individual designated in </w:t>
      </w:r>
      <w:r w:rsidRPr="00280809">
        <w:rPr>
          <w:szCs w:val="22"/>
        </w:rPr>
        <w:t xml:space="preserve">Paragraph </w:t>
      </w:r>
      <w:r w:rsidRPr="00A2799B">
        <w:rPr>
          <w:szCs w:val="22"/>
        </w:rPr>
        <w:t>13</w:t>
      </w:r>
      <w:r>
        <w:rPr>
          <w:szCs w:val="22"/>
        </w:rPr>
        <w:t xml:space="preserve"> </w:t>
      </w:r>
      <w:r w:rsidRPr="00D76D3D">
        <w:rPr>
          <w:szCs w:val="22"/>
        </w:rPr>
        <w:t>of this Consent Decree as the person responsible for administration of the Compliance Plan.</w:t>
      </w:r>
    </w:p>
    <w:p w:rsidR="000D15C9" w:rsidRPr="00280809" w:rsidP="00DC0572" w14:paraId="53B8049F" w14:textId="77777777">
      <w:pPr>
        <w:numPr>
          <w:ilvl w:val="0"/>
          <w:numId w:val="4"/>
        </w:numPr>
        <w:tabs>
          <w:tab w:val="clear" w:pos="3960"/>
        </w:tabs>
        <w:spacing w:after="120"/>
        <w:ind w:left="1890"/>
        <w:rPr>
          <w:szCs w:val="22"/>
        </w:rPr>
      </w:pPr>
      <w:r>
        <w:rPr>
          <w:szCs w:val="22"/>
        </w:rPr>
        <w:t>“</w:t>
      </w:r>
      <w:r w:rsidRPr="009C0B38">
        <w:rPr>
          <w:szCs w:val="22"/>
        </w:rPr>
        <w:t>Compliance Plan”</w:t>
      </w:r>
      <w:r>
        <w:rPr>
          <w:szCs w:val="22"/>
        </w:rPr>
        <w:t xml:space="preserve"> means the compliance obligations, programs, and procedures described in this Consent Decree at </w:t>
      </w:r>
      <w:r w:rsidRPr="00280809">
        <w:rPr>
          <w:szCs w:val="22"/>
        </w:rPr>
        <w:t xml:space="preserve">Paragraph </w:t>
      </w:r>
      <w:r w:rsidRPr="00A2799B">
        <w:rPr>
          <w:szCs w:val="22"/>
        </w:rPr>
        <w:t>14</w:t>
      </w:r>
      <w:r w:rsidRPr="00280809">
        <w:rPr>
          <w:szCs w:val="22"/>
        </w:rPr>
        <w:t>.</w:t>
      </w:r>
    </w:p>
    <w:p w:rsidR="000D15C9" w:rsidP="00DC0572" w14:paraId="55963BF9" w14:textId="77777777">
      <w:pPr>
        <w:numPr>
          <w:ilvl w:val="0"/>
          <w:numId w:val="4"/>
        </w:numPr>
        <w:tabs>
          <w:tab w:val="clear" w:pos="3960"/>
        </w:tabs>
        <w:spacing w:after="120"/>
        <w:ind w:left="1890"/>
        <w:rPr>
          <w:szCs w:val="22"/>
        </w:rPr>
      </w:pPr>
      <w:r>
        <w:rPr>
          <w:szCs w:val="22"/>
        </w:rPr>
        <w:t xml:space="preserve">“Covered Employee” means all Licensee employees and agents, including but not limited to volunteers, who perform, or supervise, oversee, or manage the performance of duties related to Licensee’s responsibilities under the Communications Laws. </w:t>
      </w:r>
    </w:p>
    <w:p w:rsidR="000D15C9" w:rsidP="00DC0572" w14:paraId="7F87B517" w14:textId="77777777">
      <w:pPr>
        <w:numPr>
          <w:ilvl w:val="0"/>
          <w:numId w:val="4"/>
        </w:numPr>
        <w:tabs>
          <w:tab w:val="clear" w:pos="3960"/>
        </w:tabs>
        <w:spacing w:after="120"/>
        <w:ind w:left="1890"/>
        <w:rPr>
          <w:szCs w:val="22"/>
        </w:rPr>
      </w:pPr>
      <w:r w:rsidRPr="00186C72">
        <w:rPr>
          <w:szCs w:val="22"/>
        </w:rPr>
        <w:t xml:space="preserve">“Effective Date” means the date by which both the </w:t>
      </w:r>
      <w:r>
        <w:rPr>
          <w:szCs w:val="22"/>
        </w:rPr>
        <w:t>Enforcement Bureau</w:t>
      </w:r>
      <w:r w:rsidRPr="00186C72">
        <w:rPr>
          <w:szCs w:val="22"/>
        </w:rPr>
        <w:t xml:space="preserve"> and </w:t>
      </w:r>
      <w:r>
        <w:rPr>
          <w:szCs w:val="22"/>
        </w:rPr>
        <w:t>Athenian</w:t>
      </w:r>
      <w:r w:rsidRPr="00186C72">
        <w:rPr>
          <w:szCs w:val="22"/>
        </w:rPr>
        <w:t xml:space="preserve"> have signed the Consent Decree.</w:t>
      </w:r>
    </w:p>
    <w:p w:rsidR="000D15C9" w:rsidP="00DC0572" w14:paraId="143B3A4E" w14:textId="77777777">
      <w:pPr>
        <w:numPr>
          <w:ilvl w:val="0"/>
          <w:numId w:val="4"/>
        </w:numPr>
        <w:tabs>
          <w:tab w:val="clear" w:pos="3960"/>
        </w:tabs>
        <w:spacing w:after="120"/>
        <w:ind w:left="1890"/>
        <w:rPr>
          <w:szCs w:val="22"/>
        </w:rPr>
      </w:pPr>
      <w:r w:rsidRPr="0058223B">
        <w:rPr>
          <w:szCs w:val="22"/>
        </w:rPr>
        <w:t xml:space="preserve">“Investigation” means the investigation commenced by the </w:t>
      </w:r>
      <w:r>
        <w:rPr>
          <w:szCs w:val="22"/>
        </w:rPr>
        <w:t xml:space="preserve">Enforcement Bureau in </w:t>
      </w:r>
      <w:r w:rsidRPr="007C2C8E">
        <w:rPr>
          <w:szCs w:val="22"/>
        </w:rPr>
        <w:t>EB-IHD-20-00030893</w:t>
      </w:r>
      <w:r>
        <w:rPr>
          <w:szCs w:val="22"/>
        </w:rPr>
        <w:t>, regarding Athenian’s compliance with the Communications Laws, including the</w:t>
      </w:r>
      <w:r w:rsidRPr="0058223B">
        <w:rPr>
          <w:szCs w:val="22"/>
        </w:rPr>
        <w:t xml:space="preserve"> </w:t>
      </w:r>
      <w:r>
        <w:rPr>
          <w:szCs w:val="22"/>
        </w:rPr>
        <w:t>Underwriting</w:t>
      </w:r>
      <w:r w:rsidRPr="0058223B">
        <w:rPr>
          <w:szCs w:val="22"/>
        </w:rPr>
        <w:t xml:space="preserve"> Laws</w:t>
      </w:r>
      <w:r>
        <w:rPr>
          <w:szCs w:val="22"/>
        </w:rPr>
        <w:t>.</w:t>
      </w:r>
    </w:p>
    <w:p w:rsidR="000D15C9" w:rsidRPr="0058223B" w:rsidP="00DC0572" w14:paraId="3F387B0F" w14:textId="77777777">
      <w:pPr>
        <w:numPr>
          <w:ilvl w:val="0"/>
          <w:numId w:val="4"/>
        </w:numPr>
        <w:tabs>
          <w:tab w:val="clear" w:pos="3960"/>
        </w:tabs>
        <w:spacing w:after="120"/>
        <w:ind w:left="1890"/>
        <w:rPr>
          <w:szCs w:val="22"/>
        </w:rPr>
      </w:pPr>
      <w:r w:rsidRPr="0058223B">
        <w:rPr>
          <w:szCs w:val="22"/>
        </w:rPr>
        <w:t xml:space="preserve">“Parties” means </w:t>
      </w:r>
      <w:r>
        <w:rPr>
          <w:szCs w:val="22"/>
        </w:rPr>
        <w:t>Athenian</w:t>
      </w:r>
      <w:r w:rsidRPr="0058223B">
        <w:rPr>
          <w:szCs w:val="22"/>
        </w:rPr>
        <w:t xml:space="preserve"> and the </w:t>
      </w:r>
      <w:r>
        <w:rPr>
          <w:szCs w:val="22"/>
        </w:rPr>
        <w:t>Enforcement Bureau</w:t>
      </w:r>
      <w:r w:rsidRPr="0058223B">
        <w:rPr>
          <w:szCs w:val="22"/>
        </w:rPr>
        <w:t>, each of which is a “Party.”</w:t>
      </w:r>
    </w:p>
    <w:p w:rsidR="000D15C9" w:rsidP="00DC0572" w14:paraId="74D5B52E" w14:textId="77777777">
      <w:pPr>
        <w:widowControl/>
        <w:numPr>
          <w:ilvl w:val="0"/>
          <w:numId w:val="4"/>
        </w:numPr>
        <w:tabs>
          <w:tab w:val="clear" w:pos="3960"/>
        </w:tabs>
        <w:spacing w:after="120"/>
        <w:ind w:left="1886"/>
        <w:rPr>
          <w:szCs w:val="22"/>
        </w:rPr>
      </w:pPr>
      <w:r w:rsidRPr="0058223B">
        <w:rPr>
          <w:szCs w:val="22"/>
        </w:rPr>
        <w:t>“Rules” means the Commission’s regulations found in Title 47 of the Code of Federal Regulations.</w:t>
      </w:r>
    </w:p>
    <w:p w:rsidR="000D15C9" w:rsidP="00DC0572" w14:paraId="45949188" w14:textId="77777777">
      <w:pPr>
        <w:numPr>
          <w:ilvl w:val="0"/>
          <w:numId w:val="4"/>
        </w:numPr>
        <w:tabs>
          <w:tab w:val="clear" w:pos="3960"/>
        </w:tabs>
        <w:spacing w:after="120"/>
        <w:ind w:left="1890"/>
        <w:rPr>
          <w:szCs w:val="22"/>
        </w:rPr>
      </w:pPr>
      <w:r w:rsidRPr="0058223B">
        <w:rPr>
          <w:szCs w:val="22"/>
        </w:rPr>
        <w:t>“Station” means</w:t>
      </w:r>
      <w:r>
        <w:rPr>
          <w:szCs w:val="22"/>
        </w:rPr>
        <w:t xml:space="preserve"> </w:t>
      </w:r>
      <w:r w:rsidRPr="000D1EEF">
        <w:rPr>
          <w:szCs w:val="22"/>
        </w:rPr>
        <w:t>WPLP</w:t>
      </w:r>
      <w:r>
        <w:rPr>
          <w:szCs w:val="22"/>
        </w:rPr>
        <w:t>-LP.</w:t>
      </w:r>
    </w:p>
    <w:p w:rsidR="000D15C9" w:rsidP="00DC0572" w14:paraId="6F9FF6EE" w14:textId="77777777">
      <w:pPr>
        <w:numPr>
          <w:ilvl w:val="0"/>
          <w:numId w:val="4"/>
        </w:numPr>
        <w:tabs>
          <w:tab w:val="clear" w:pos="3960"/>
        </w:tabs>
        <w:spacing w:after="120"/>
        <w:ind w:left="1890"/>
        <w:rPr>
          <w:szCs w:val="22"/>
        </w:rPr>
      </w:pPr>
      <w:r>
        <w:rPr>
          <w:szCs w:val="22"/>
        </w:rPr>
        <w:t xml:space="preserve">“Underwriting Announcement” means any announcement, message, or other program material, broadcast over the Station licensed to Athenian, or by any of its successors, assigns, or transferees, made in exchange for consideration, on behalf of any for-profit entity. </w:t>
      </w:r>
    </w:p>
    <w:p w:rsidR="000D15C9" w:rsidP="00DC0572" w14:paraId="66D0F135" w14:textId="77777777">
      <w:pPr>
        <w:widowControl/>
        <w:numPr>
          <w:ilvl w:val="0"/>
          <w:numId w:val="4"/>
        </w:numPr>
        <w:tabs>
          <w:tab w:val="clear" w:pos="3960"/>
        </w:tabs>
        <w:spacing w:after="120"/>
        <w:ind w:left="1886"/>
        <w:rPr>
          <w:szCs w:val="22"/>
        </w:rPr>
      </w:pPr>
      <w:r>
        <w:rPr>
          <w:szCs w:val="22"/>
        </w:rPr>
        <w:t xml:space="preserve">“Underwriting Compliance Checklist” means the obligation under </w:t>
      </w:r>
      <w:r w:rsidRPr="00280809">
        <w:rPr>
          <w:szCs w:val="22"/>
        </w:rPr>
        <w:t xml:space="preserve">Paragraph </w:t>
      </w:r>
      <w:r w:rsidRPr="00477D55">
        <w:rPr>
          <w:szCs w:val="22"/>
        </w:rPr>
        <w:t>14(c)</w:t>
      </w:r>
      <w:r w:rsidRPr="00B2001B">
        <w:rPr>
          <w:szCs w:val="22"/>
        </w:rPr>
        <w:t xml:space="preserve"> </w:t>
      </w:r>
      <w:r w:rsidRPr="00B2001B">
        <w:rPr>
          <w:color w:val="000000"/>
          <w:szCs w:val="22"/>
        </w:rPr>
        <w:t>that describes the steps that a Covered Employee must follow to en</w:t>
      </w:r>
      <w:r w:rsidRPr="00501243">
        <w:rPr>
          <w:color w:val="000000"/>
          <w:szCs w:val="22"/>
        </w:rPr>
        <w:t>sure that all material approved for broadcast is consistent with relevant past Commission precedent regarding the Underwriting Laws</w:t>
      </w:r>
      <w:r>
        <w:rPr>
          <w:color w:val="000000"/>
          <w:szCs w:val="22"/>
        </w:rPr>
        <w:t>.</w:t>
      </w:r>
    </w:p>
    <w:p w:rsidR="000D15C9" w:rsidP="00DC0572" w14:paraId="78C27C0E" w14:textId="77777777">
      <w:pPr>
        <w:widowControl/>
        <w:numPr>
          <w:ilvl w:val="0"/>
          <w:numId w:val="4"/>
        </w:numPr>
        <w:tabs>
          <w:tab w:val="clear" w:pos="3960"/>
        </w:tabs>
        <w:spacing w:after="120"/>
        <w:ind w:left="1886"/>
        <w:rPr>
          <w:szCs w:val="22"/>
        </w:rPr>
      </w:pPr>
      <w:r w:rsidRPr="00B2001B">
        <w:rPr>
          <w:szCs w:val="22"/>
        </w:rPr>
        <w:t>“Underwriting Laws” means, individually or</w:t>
      </w:r>
      <w:r>
        <w:rPr>
          <w:szCs w:val="22"/>
        </w:rPr>
        <w:t xml:space="preserve"> collectively, section 399B</w:t>
      </w:r>
      <w:r w:rsidRPr="0058223B">
        <w:rPr>
          <w:szCs w:val="22"/>
        </w:rPr>
        <w:t xml:space="preserve"> of the Act</w:t>
      </w:r>
      <w:r>
        <w:rPr>
          <w:szCs w:val="22"/>
        </w:rPr>
        <w:t>, and section 73.503(d)</w:t>
      </w:r>
      <w:r w:rsidRPr="0058223B">
        <w:rPr>
          <w:szCs w:val="22"/>
        </w:rPr>
        <w:t xml:space="preserve"> of the </w:t>
      </w:r>
      <w:r>
        <w:rPr>
          <w:szCs w:val="22"/>
        </w:rPr>
        <w:t>Commission’s r</w:t>
      </w:r>
      <w:r w:rsidRPr="0058223B">
        <w:rPr>
          <w:szCs w:val="22"/>
        </w:rPr>
        <w:t>ules,</w:t>
      </w:r>
      <w:r>
        <w:rPr>
          <w:rStyle w:val="FootnoteReference"/>
        </w:rPr>
        <w:footnoteReference w:id="10"/>
      </w:r>
      <w:r w:rsidRPr="0058223B">
        <w:rPr>
          <w:szCs w:val="22"/>
        </w:rPr>
        <w:t xml:space="preserve"> and the decisions and orders of the Commission interpreting these provisions.</w:t>
      </w:r>
    </w:p>
    <w:p w:rsidR="000D15C9" w:rsidRPr="00ED6B1E" w:rsidP="00DC0572" w14:paraId="581E2450" w14:textId="77777777">
      <w:pPr>
        <w:widowControl/>
        <w:numPr>
          <w:ilvl w:val="0"/>
          <w:numId w:val="4"/>
        </w:numPr>
        <w:tabs>
          <w:tab w:val="clear" w:pos="3960"/>
        </w:tabs>
        <w:spacing w:after="120"/>
        <w:ind w:left="1886"/>
        <w:rPr>
          <w:szCs w:val="22"/>
        </w:rPr>
      </w:pPr>
      <w:r w:rsidRPr="00ED6B1E">
        <w:rPr>
          <w:szCs w:val="22"/>
        </w:rPr>
        <w:t>“</w:t>
      </w:r>
      <w:r>
        <w:rPr>
          <w:szCs w:val="22"/>
        </w:rPr>
        <w:t xml:space="preserve">Underwriting </w:t>
      </w:r>
      <w:r w:rsidRPr="006A3824">
        <w:rPr>
          <w:szCs w:val="22"/>
        </w:rPr>
        <w:t>Operating Procedures</w:t>
      </w:r>
      <w:r w:rsidRPr="00ED6B1E">
        <w:rPr>
          <w:szCs w:val="22"/>
        </w:rPr>
        <w:t>” means the standard, internal operating procedures and compliance policies established by</w:t>
      </w:r>
      <w:r>
        <w:rPr>
          <w:szCs w:val="22"/>
        </w:rPr>
        <w:t xml:space="preserve"> Athenian</w:t>
      </w:r>
      <w:r w:rsidRPr="00ED6B1E">
        <w:rPr>
          <w:szCs w:val="22"/>
        </w:rPr>
        <w:t xml:space="preserve"> to implement the Compliance Plan.</w:t>
      </w:r>
    </w:p>
    <w:p w:rsidR="000D15C9" w:rsidRPr="00E26811" w:rsidP="00DC0572" w14:paraId="1763FB63" w14:textId="77777777">
      <w:pPr>
        <w:widowControl/>
        <w:numPr>
          <w:ilvl w:val="0"/>
          <w:numId w:val="4"/>
        </w:numPr>
        <w:tabs>
          <w:tab w:val="clear" w:pos="3960"/>
        </w:tabs>
        <w:spacing w:after="120"/>
        <w:ind w:left="1886"/>
        <w:rPr>
          <w:szCs w:val="22"/>
        </w:rPr>
      </w:pPr>
      <w:r w:rsidRPr="00ED6B1E">
        <w:rPr>
          <w:szCs w:val="22"/>
        </w:rPr>
        <w:t>“</w:t>
      </w:r>
      <w:r w:rsidRPr="00032DD4">
        <w:rPr>
          <w:szCs w:val="22"/>
        </w:rPr>
        <w:t>WPLP</w:t>
      </w:r>
      <w:r>
        <w:rPr>
          <w:szCs w:val="22"/>
        </w:rPr>
        <w:t>-LP</w:t>
      </w:r>
      <w:r w:rsidRPr="00ED6B1E">
        <w:rPr>
          <w:szCs w:val="22"/>
        </w:rPr>
        <w:t xml:space="preserve">” means </w:t>
      </w:r>
      <w:r>
        <w:rPr>
          <w:szCs w:val="22"/>
        </w:rPr>
        <w:t>low power FM</w:t>
      </w:r>
      <w:r w:rsidRPr="00ED6B1E">
        <w:rPr>
          <w:szCs w:val="22"/>
        </w:rPr>
        <w:t xml:space="preserve"> station </w:t>
      </w:r>
      <w:r w:rsidRPr="00032DD4">
        <w:rPr>
          <w:szCs w:val="22"/>
        </w:rPr>
        <w:t>WPLP</w:t>
      </w:r>
      <w:r>
        <w:rPr>
          <w:szCs w:val="22"/>
        </w:rPr>
        <w:t>-LP</w:t>
      </w:r>
      <w:r w:rsidRPr="00ED6B1E">
        <w:rPr>
          <w:szCs w:val="22"/>
        </w:rPr>
        <w:t xml:space="preserve">, </w:t>
      </w:r>
      <w:r w:rsidRPr="00032DD4">
        <w:rPr>
          <w:szCs w:val="22"/>
        </w:rPr>
        <w:t xml:space="preserve">Athens, Georgia </w:t>
      </w:r>
      <w:r w:rsidRPr="00ED6B1E">
        <w:rPr>
          <w:szCs w:val="22"/>
        </w:rPr>
        <w:t xml:space="preserve">(Facility Identification Number </w:t>
      </w:r>
      <w:r w:rsidRPr="00032DD4">
        <w:rPr>
          <w:szCs w:val="22"/>
        </w:rPr>
        <w:t>193254</w:t>
      </w:r>
      <w:r w:rsidRPr="00ED6B1E">
        <w:rPr>
          <w:szCs w:val="22"/>
        </w:rPr>
        <w:t>)</w:t>
      </w:r>
      <w:r>
        <w:rPr>
          <w:szCs w:val="22"/>
        </w:rPr>
        <w:t xml:space="preserve">, licensed to The </w:t>
      </w:r>
      <w:r w:rsidRPr="0030361C">
        <w:rPr>
          <w:szCs w:val="22"/>
        </w:rPr>
        <w:t>Athenian Multicultural Study Club</w:t>
      </w:r>
      <w:r w:rsidRPr="00ED6B1E">
        <w:rPr>
          <w:szCs w:val="22"/>
        </w:rPr>
        <w:t>.</w:t>
      </w:r>
    </w:p>
    <w:p w:rsidR="000D15C9" w:rsidP="000D15C9" w14:paraId="71AFD523" w14:textId="77777777">
      <w:pPr>
        <w:pStyle w:val="Heading1"/>
      </w:pPr>
      <w:r>
        <w:t>BACKGROUND</w:t>
      </w:r>
    </w:p>
    <w:p w:rsidR="000D15C9" w:rsidP="000D15C9" w14:paraId="01908732" w14:textId="77777777">
      <w:pPr>
        <w:pStyle w:val="ParaNum"/>
        <w:widowControl/>
      </w:pPr>
      <w:r>
        <w:rPr>
          <w:i/>
          <w:iCs/>
        </w:rPr>
        <w:t xml:space="preserve">Legal Framework.  </w:t>
      </w:r>
      <w:r w:rsidRPr="00D06B6F">
        <w:t>The Underwriting Laws</w:t>
      </w:r>
      <w:r w:rsidRPr="00507488">
        <w:t xml:space="preserve"> define an </w:t>
      </w:r>
      <w:r>
        <w:t>“</w:t>
      </w:r>
      <w:r w:rsidRPr="00507488">
        <w:t>advertisement</w:t>
      </w:r>
      <w:r>
        <w:t>”</w:t>
      </w:r>
      <w:r w:rsidRPr="00507488">
        <w:t xml:space="preserve"> as programming material broadcast “in exchange for any remuneration” and intended to “promote any service, facility, or </w:t>
      </w:r>
      <w:r w:rsidRPr="00507488">
        <w:t>product” of for-profit entities.</w:t>
      </w:r>
      <w:r>
        <w:rPr>
          <w:rStyle w:val="FootnoteReference"/>
          <w:sz w:val="22"/>
          <w:szCs w:val="22"/>
        </w:rPr>
        <w:footnoteReference w:id="11"/>
      </w:r>
      <w:r w:rsidRPr="00507488">
        <w:t xml:space="preserve">  Section 399</w:t>
      </w:r>
      <w:r>
        <w:t>B</w:t>
      </w:r>
      <w:r w:rsidRPr="00507488">
        <w:t>(b)(2) of the Act</w:t>
      </w:r>
      <w:r w:rsidRPr="00E7736D">
        <w:t xml:space="preserve"> specifically provides that noncommercial educational stations may not broadcast advertisements.</w:t>
      </w:r>
      <w:r>
        <w:rPr>
          <w:rStyle w:val="FootnoteReference"/>
        </w:rPr>
        <w:footnoteReference w:id="12"/>
      </w:r>
      <w:r w:rsidRPr="00E7736D">
        <w:t xml:space="preserve">  Although contributors of funds to such stations may receive on-air acknowledgements of their support, the Commission has held that such acknowledgements </w:t>
      </w:r>
      <w:r>
        <w:t>may be</w:t>
      </w:r>
      <w:r w:rsidRPr="00E7736D">
        <w:t xml:space="preserve"> for identification purposes only</w:t>
      </w:r>
      <w:r>
        <w:t>,</w:t>
      </w:r>
      <w:r w:rsidRPr="00E7736D">
        <w:t xml:space="preserve"> and must not promote the contributors’ products, services, or businesses.</w:t>
      </w:r>
      <w:r>
        <w:rPr>
          <w:rStyle w:val="FootnoteReference"/>
        </w:rPr>
        <w:footnoteReference w:id="13"/>
      </w:r>
      <w:r w:rsidRPr="00E7736D">
        <w:t xml:space="preserve">  Specifically, such announcements must not contain comparative or qualitative descriptions, price information, calls to action, or inducements to buy, sell, rent, or lease.</w:t>
      </w:r>
      <w:r>
        <w:rPr>
          <w:rStyle w:val="FootnoteReference"/>
        </w:rPr>
        <w:footnoteReference w:id="14"/>
      </w:r>
      <w:r w:rsidRPr="00E7736D">
        <w:t xml:space="preserve">  </w:t>
      </w:r>
    </w:p>
    <w:p w:rsidR="000D15C9" w:rsidRPr="00C473B4" w:rsidP="000D15C9" w14:paraId="209F36CC" w14:textId="77777777">
      <w:pPr>
        <w:pStyle w:val="ParaNum"/>
        <w:widowControl/>
      </w:pPr>
      <w:bookmarkStart w:id="3" w:name="_Ref51257257"/>
      <w:r w:rsidRPr="00093E5A">
        <w:rPr>
          <w:i/>
          <w:iCs/>
        </w:rPr>
        <w:t>Factual Background</w:t>
      </w:r>
      <w:r>
        <w:rPr>
          <w:i/>
          <w:iCs/>
        </w:rPr>
        <w:t>.</w:t>
      </w:r>
      <w:r>
        <w:t xml:space="preserve">  </w:t>
      </w:r>
      <w:r w:rsidRPr="00704539">
        <w:t xml:space="preserve">The </w:t>
      </w:r>
      <w:r w:rsidRPr="00704539">
        <w:rPr>
          <w:bCs/>
        </w:rPr>
        <w:t>Commission</w:t>
      </w:r>
      <w:r w:rsidRPr="00704539">
        <w:t xml:space="preserve"> received </w:t>
      </w:r>
      <w:r>
        <w:t>a c</w:t>
      </w:r>
      <w:r w:rsidRPr="00704539">
        <w:t>o</w:t>
      </w:r>
      <w:r w:rsidRPr="00E2291D">
        <w:t>mplaint</w:t>
      </w:r>
      <w:r>
        <w:t xml:space="preserve"> </w:t>
      </w:r>
      <w:r w:rsidRPr="00704539">
        <w:t>alleging that</w:t>
      </w:r>
      <w:r>
        <w:t xml:space="preserve"> </w:t>
      </w:r>
      <w:r w:rsidRPr="004164F1">
        <w:t>on May 13, 2019</w:t>
      </w:r>
      <w:r>
        <w:t>,</w:t>
      </w:r>
      <w:r w:rsidRPr="00704539">
        <w:t xml:space="preserve"> </w:t>
      </w:r>
      <w:r>
        <w:t>Athenian</w:t>
      </w:r>
      <w:r w:rsidRPr="00704539">
        <w:t xml:space="preserve"> broadcast prohibi</w:t>
      </w:r>
      <w:r w:rsidRPr="00E2291D">
        <w:t xml:space="preserve">ted advertisements on </w:t>
      </w:r>
      <w:r>
        <w:t>WPLP</w:t>
      </w:r>
      <w:r w:rsidRPr="00E2291D">
        <w:t>-LP, i</w:t>
      </w:r>
      <w:r w:rsidRPr="00314600">
        <w:t>n violation of the Underwriting Laws</w:t>
      </w:r>
      <w:r w:rsidRPr="00412C27">
        <w:t>.</w:t>
      </w:r>
      <w:r>
        <w:rPr>
          <w:rStyle w:val="FootnoteReference"/>
        </w:rPr>
        <w:footnoteReference w:id="15"/>
      </w:r>
      <w:r>
        <w:t xml:space="preserve">  </w:t>
      </w:r>
      <w:r w:rsidRPr="00F75066">
        <w:rPr>
          <w:snapToGrid/>
          <w:kern w:val="0"/>
          <w:szCs w:val="22"/>
        </w:rPr>
        <w:t xml:space="preserve">The </w:t>
      </w:r>
      <w:r>
        <w:rPr>
          <w:snapToGrid/>
          <w:kern w:val="0"/>
          <w:szCs w:val="22"/>
        </w:rPr>
        <w:t>C</w:t>
      </w:r>
      <w:r w:rsidRPr="00F75066">
        <w:rPr>
          <w:snapToGrid/>
          <w:kern w:val="0"/>
          <w:szCs w:val="22"/>
        </w:rPr>
        <w:t>omplaint provided audio samples</w:t>
      </w:r>
      <w:r>
        <w:rPr>
          <w:snapToGrid/>
          <w:kern w:val="0"/>
          <w:szCs w:val="22"/>
        </w:rPr>
        <w:t xml:space="preserve"> of advertisements</w:t>
      </w:r>
      <w:r w:rsidRPr="00F75066">
        <w:rPr>
          <w:snapToGrid/>
          <w:kern w:val="0"/>
          <w:szCs w:val="22"/>
        </w:rPr>
        <w:t xml:space="preserve"> allegedly broadcast and recorded that day.</w:t>
      </w:r>
      <w:r>
        <w:rPr>
          <w:snapToGrid/>
          <w:kern w:val="0"/>
          <w:szCs w:val="22"/>
          <w:vertAlign w:val="superscript"/>
        </w:rPr>
        <w:footnoteReference w:id="16"/>
      </w:r>
      <w:r w:rsidRPr="00F75066">
        <w:rPr>
          <w:snapToGrid/>
          <w:kern w:val="0"/>
          <w:szCs w:val="22"/>
        </w:rPr>
        <w:t xml:space="preserve">  On April 27, 2020, </w:t>
      </w:r>
      <w:r>
        <w:rPr>
          <w:snapToGrid/>
          <w:kern w:val="0"/>
          <w:szCs w:val="22"/>
        </w:rPr>
        <w:t xml:space="preserve">the </w:t>
      </w:r>
      <w:r w:rsidRPr="00704539">
        <w:t xml:space="preserve">Enforcement Bureau </w:t>
      </w:r>
      <w:r w:rsidRPr="00F75066">
        <w:rPr>
          <w:snapToGrid/>
          <w:kern w:val="0"/>
          <w:szCs w:val="22"/>
        </w:rPr>
        <w:t>issued a letter of inquiry to Athenian</w:t>
      </w:r>
      <w:r>
        <w:rPr>
          <w:snapToGrid/>
          <w:kern w:val="0"/>
          <w:szCs w:val="22"/>
        </w:rPr>
        <w:t>,</w:t>
      </w:r>
      <w:r>
        <w:rPr>
          <w:snapToGrid/>
          <w:kern w:val="0"/>
          <w:szCs w:val="22"/>
          <w:vertAlign w:val="superscript"/>
        </w:rPr>
        <w:footnoteReference w:id="17"/>
      </w:r>
      <w:r>
        <w:rPr>
          <w:snapToGrid/>
          <w:kern w:val="0"/>
          <w:szCs w:val="22"/>
        </w:rPr>
        <w:t xml:space="preserve"> to which Atheni</w:t>
      </w:r>
      <w:r w:rsidRPr="00F75066">
        <w:rPr>
          <w:snapToGrid/>
          <w:kern w:val="0"/>
          <w:szCs w:val="22"/>
        </w:rPr>
        <w:t xml:space="preserve">an </w:t>
      </w:r>
      <w:r>
        <w:rPr>
          <w:snapToGrid/>
          <w:kern w:val="0"/>
          <w:szCs w:val="22"/>
        </w:rPr>
        <w:t>responded on M</w:t>
      </w:r>
      <w:r w:rsidRPr="00F75066">
        <w:rPr>
          <w:snapToGrid/>
          <w:kern w:val="0"/>
          <w:szCs w:val="22"/>
        </w:rPr>
        <w:t>ay 26, 2020.</w:t>
      </w:r>
      <w:r>
        <w:rPr>
          <w:snapToGrid/>
          <w:kern w:val="0"/>
          <w:szCs w:val="22"/>
          <w:vertAlign w:val="superscript"/>
        </w:rPr>
        <w:footnoteReference w:id="18"/>
      </w:r>
    </w:p>
    <w:p w:rsidR="000D15C9" w:rsidRPr="00093E5A" w:rsidP="000D15C9" w14:paraId="1705FB57" w14:textId="77777777">
      <w:pPr>
        <w:pStyle w:val="ParaNum"/>
        <w:widowControl/>
      </w:pPr>
      <w:r w:rsidRPr="00C473B4">
        <w:rPr>
          <w:snapToGrid/>
          <w:kern w:val="0"/>
          <w:szCs w:val="22"/>
        </w:rPr>
        <w:t xml:space="preserve">In its LOI Response, Athenian’s counsel acknowledged that the Licensee broadcast underwriting announcements </w:t>
      </w:r>
      <w:r w:rsidRPr="00C473B4">
        <w:rPr>
          <w:rFonts w:eastAsia="Calibri"/>
          <w:snapToGrid/>
          <w:color w:val="000000"/>
          <w:kern w:val="0"/>
          <w:szCs w:val="22"/>
        </w:rPr>
        <w:t>on behalf of for-profit entities</w:t>
      </w:r>
      <w:r>
        <w:rPr>
          <w:rFonts w:eastAsia="Calibri"/>
          <w:snapToGrid/>
          <w:color w:val="000000"/>
          <w:kern w:val="0"/>
          <w:szCs w:val="22"/>
        </w:rPr>
        <w:t xml:space="preserve"> </w:t>
      </w:r>
      <w:r w:rsidRPr="00C473B4">
        <w:rPr>
          <w:rFonts w:eastAsia="Calibri"/>
          <w:snapToGrid/>
          <w:color w:val="000000"/>
          <w:kern w:val="0"/>
          <w:szCs w:val="22"/>
        </w:rPr>
        <w:t>in exchange for remuneration</w:t>
      </w:r>
      <w:r>
        <w:rPr>
          <w:rFonts w:eastAsia="Calibri"/>
          <w:snapToGrid/>
          <w:color w:val="000000"/>
          <w:kern w:val="0"/>
          <w:szCs w:val="22"/>
        </w:rPr>
        <w:t>,</w:t>
      </w:r>
      <w:r w:rsidRPr="00C473B4">
        <w:rPr>
          <w:rFonts w:eastAsia="Calibri"/>
          <w:snapToGrid/>
          <w:color w:val="000000"/>
          <w:kern w:val="0"/>
          <w:szCs w:val="22"/>
        </w:rPr>
        <w:t xml:space="preserve"> </w:t>
      </w:r>
      <w:r w:rsidRPr="00C473B4">
        <w:rPr>
          <w:snapToGrid/>
          <w:kern w:val="0"/>
          <w:szCs w:val="22"/>
        </w:rPr>
        <w:t>during the relevant period of May 1, 2019 to April 27, 2020.</w:t>
      </w:r>
      <w:r>
        <w:rPr>
          <w:rFonts w:eastAsia="Calibri"/>
          <w:snapToGrid/>
          <w:kern w:val="0"/>
          <w:szCs w:val="22"/>
          <w:vertAlign w:val="superscript"/>
        </w:rPr>
        <w:footnoteReference w:id="19"/>
      </w:r>
      <w:r w:rsidRPr="00C473B4">
        <w:rPr>
          <w:snapToGrid/>
          <w:kern w:val="0"/>
          <w:szCs w:val="22"/>
        </w:rPr>
        <w:t xml:space="preserve">  </w:t>
      </w:r>
      <w:r>
        <w:t>The information submitted b</w:t>
      </w:r>
      <w:r w:rsidRPr="00704539">
        <w:t xml:space="preserve">y </w:t>
      </w:r>
      <w:r>
        <w:t>Athenian</w:t>
      </w:r>
      <w:r w:rsidRPr="00704539">
        <w:t xml:space="preserve"> </w:t>
      </w:r>
      <w:r>
        <w:t>revealed</w:t>
      </w:r>
      <w:r w:rsidRPr="00E2291D">
        <w:t xml:space="preserve"> that</w:t>
      </w:r>
      <w:r>
        <w:t xml:space="preserve"> </w:t>
      </w:r>
      <w:r w:rsidRPr="00252DAF">
        <w:t xml:space="preserve">in the 12 months before receiving the LOI, </w:t>
      </w:r>
      <w:r>
        <w:t>Athenian</w:t>
      </w:r>
      <w:r w:rsidRPr="00252DAF">
        <w:t xml:space="preserve"> aired 9 announcements with prohibited promotional references which employed comparative and/or qualitative language to describe products or services, calls to action and/or the solicitation of future contact, used pricing language and/or offered inducements to do business, and employed “menu listings” (e.g., excessive arrayal) of products or services.</w:t>
      </w:r>
      <w:r>
        <w:rPr>
          <w:rStyle w:val="FootnoteReference"/>
        </w:rPr>
        <w:footnoteReference w:id="20"/>
      </w:r>
    </w:p>
    <w:bookmarkEnd w:id="3"/>
    <w:p w:rsidR="000D15C9" w:rsidP="000D15C9" w14:paraId="5B8805AB" w14:textId="153F996B">
      <w:pPr>
        <w:pStyle w:val="ParaNum"/>
      </w:pPr>
      <w:r>
        <w:t>To resolve the Enforcement Bureau’s Investigation, t</w:t>
      </w:r>
      <w:r w:rsidRPr="009F514B">
        <w:t xml:space="preserve">he Parties agreed to enter into this Consent Decree. </w:t>
      </w:r>
      <w:r>
        <w:t xml:space="preserve"> On October 31</w:t>
      </w:r>
      <w:r w:rsidRPr="003430D1">
        <w:t>, 2020</w:t>
      </w:r>
      <w:r>
        <w:t xml:space="preserve">, Athenian submitted financial documentation to the Enforcement Bureau, including federal tax returns </w:t>
      </w:r>
      <w:r w:rsidRPr="003430D1">
        <w:t>for the years 2017-2019</w:t>
      </w:r>
      <w:r>
        <w:t>, to support a reduction of the Consent Decree’s civil penalty based upon Athenian’s limited ability to pay.</w:t>
      </w:r>
      <w:r>
        <w:rPr>
          <w:rStyle w:val="FootnoteReference"/>
        </w:rPr>
        <w:footnoteReference w:id="21"/>
      </w:r>
      <w:r>
        <w:t xml:space="preserve">  The civil penalty set forth in this Consent Decree reflects consideration of Athenian’s documented inability to pay.</w:t>
      </w:r>
    </w:p>
    <w:p w:rsidR="000D15C9" w:rsidP="000D15C9" w14:paraId="43ED5DC9" w14:textId="77777777">
      <w:pPr>
        <w:pStyle w:val="ParaNum"/>
        <w:numPr>
          <w:ilvl w:val="0"/>
          <w:numId w:val="0"/>
        </w:numPr>
      </w:pPr>
    </w:p>
    <w:p w:rsidR="000D15C9" w:rsidP="000D15C9" w14:paraId="0C4E5724" w14:textId="77777777">
      <w:pPr>
        <w:pStyle w:val="Heading1"/>
      </w:pPr>
      <w:r>
        <w:t>TERMS OF AGREEMENT</w:t>
      </w:r>
    </w:p>
    <w:p w:rsidR="000D15C9" w:rsidRPr="00397A5B" w:rsidP="000D15C9" w14:paraId="3471ABFD" w14:textId="77777777">
      <w:pPr>
        <w:pStyle w:val="ParaNum"/>
      </w:pPr>
      <w:r w:rsidRPr="0058223B">
        <w:rPr>
          <w:b/>
          <w:u w:val="single"/>
        </w:rPr>
        <w:t>Adopting Order</w:t>
      </w:r>
      <w:r w:rsidRPr="0058223B">
        <w:t>.</w:t>
      </w:r>
      <w:r w:rsidRPr="006D7F5F">
        <w:t xml:space="preserve">  </w:t>
      </w:r>
      <w:r w:rsidRPr="0058223B">
        <w:t xml:space="preserve">The </w:t>
      </w:r>
      <w:r>
        <w:t>provisions of this Consent Decree shall be incorporated by the Enforcement Bureau in an Adopting Order without change, addition, deletion, or modification.</w:t>
      </w:r>
      <w:r w:rsidRPr="0058223B">
        <w:rPr>
          <w:b/>
          <w:u w:val="single"/>
        </w:rPr>
        <w:t xml:space="preserve"> </w:t>
      </w:r>
    </w:p>
    <w:p w:rsidR="000D15C9" w:rsidRPr="0058223B" w:rsidP="000D15C9" w14:paraId="07DFCD53" w14:textId="77777777">
      <w:pPr>
        <w:pStyle w:val="ParaNum"/>
        <w:widowControl/>
      </w:pPr>
      <w:r w:rsidRPr="0058223B">
        <w:rPr>
          <w:b/>
          <w:u w:val="single"/>
        </w:rPr>
        <w:t>Jurisdiction</w:t>
      </w:r>
      <w:r w:rsidRPr="0058223B">
        <w:t xml:space="preserve">.  </w:t>
      </w:r>
      <w:r>
        <w:t>Athenian</w:t>
      </w:r>
      <w:r w:rsidRPr="0058223B">
        <w:t xml:space="preserve"> agrees that the </w:t>
      </w:r>
      <w:r>
        <w:rPr>
          <w:bCs/>
        </w:rPr>
        <w:t>Enforcement Bureau</w:t>
      </w:r>
      <w:r w:rsidRPr="0058223B">
        <w:t xml:space="preserve"> has jurisdiction over it and the matters contained in this Consent Decree and that the </w:t>
      </w:r>
      <w:r>
        <w:t>Enforcement Bureau</w:t>
      </w:r>
      <w:r w:rsidRPr="0058223B">
        <w:t xml:space="preserve"> has the authority to enter into and adopt this Consent Decree.</w:t>
      </w:r>
    </w:p>
    <w:p w:rsidR="000D15C9" w:rsidRPr="0058223B" w:rsidP="000D15C9" w14:paraId="2FD49669" w14:textId="77777777">
      <w:pPr>
        <w:pStyle w:val="ParaNum"/>
      </w:pPr>
      <w:r w:rsidRPr="0058223B">
        <w:rPr>
          <w:b/>
          <w:u w:val="single"/>
        </w:rPr>
        <w:t>Effective Date; Violations</w:t>
      </w:r>
      <w:r w:rsidRPr="0058223B">
        <w:t>.</w:t>
      </w:r>
      <w:r w:rsidRPr="006D7F5F">
        <w:t xml:space="preserve">  </w:t>
      </w:r>
      <w:r w:rsidRPr="0058223B">
        <w:t xml:space="preserve">The Parties agree that this Consent Decree shall become effective on the Effective Date as defined herein.  As of the Effective Date, the </w:t>
      </w:r>
      <w:r>
        <w:t>Parties agree that this Consent Decree shall have the same force and effect as any other order of the Commission.</w:t>
      </w:r>
    </w:p>
    <w:p w:rsidR="000D15C9" w:rsidRPr="00E014BC" w:rsidP="000D15C9" w14:paraId="099B08E6" w14:textId="77777777">
      <w:pPr>
        <w:pStyle w:val="ParaNum"/>
      </w:pPr>
      <w:r w:rsidRPr="0058223B">
        <w:rPr>
          <w:b/>
          <w:u w:val="single"/>
        </w:rPr>
        <w:t>Termination of Investigation</w:t>
      </w:r>
      <w:r w:rsidRPr="0058223B">
        <w:t>.</w:t>
      </w:r>
      <w:r w:rsidRPr="006D7F5F">
        <w:t xml:space="preserve">  </w:t>
      </w:r>
      <w:r w:rsidRPr="0058223B">
        <w:t xml:space="preserve">In express reliance on the covenants and representations in this Consent Decree and to avoid further expenditure of public resources, the </w:t>
      </w:r>
      <w:r>
        <w:t>Enforcement Bureau</w:t>
      </w:r>
      <w:r w:rsidRPr="0058223B">
        <w:t xml:space="preserve"> agrees to terminate the Investigation</w:t>
      </w:r>
      <w:r>
        <w:t xml:space="preserve"> and dismiss </w:t>
      </w:r>
      <w:r w:rsidRPr="00FF023D">
        <w:t>the Complaints</w:t>
      </w:r>
      <w:r>
        <w:t xml:space="preserve">.  </w:t>
      </w:r>
      <w:r w:rsidRPr="0058223B">
        <w:t>In consideration for the termination of the Investigation</w:t>
      </w:r>
      <w:r>
        <w:t xml:space="preserve"> and dismissal of </w:t>
      </w:r>
      <w:r w:rsidRPr="00FF023D">
        <w:t>the Complaints</w:t>
      </w:r>
      <w:r w:rsidRPr="0058223B">
        <w:t xml:space="preserve">, </w:t>
      </w:r>
      <w:r>
        <w:t>Athenian</w:t>
      </w:r>
      <w:r w:rsidRPr="0058223B">
        <w:t xml:space="preserve"> agrees to the terms, conditions, and procedures contained herein.  The </w:t>
      </w:r>
      <w:r>
        <w:t>Enforcement Bureau</w:t>
      </w:r>
      <w:r w:rsidRPr="0058223B">
        <w:t xml:space="preserve"> further agrees that</w:t>
      </w:r>
      <w:r>
        <w:t>,</w:t>
      </w:r>
      <w:r w:rsidRPr="0058223B">
        <w:t xml:space="preserve"> in the absence of new material evidence, </w:t>
      </w:r>
      <w:r>
        <w:t>it</w:t>
      </w:r>
      <w:r w:rsidRPr="0058223B">
        <w:t xml:space="preserve"> will not </w:t>
      </w:r>
      <w:r w:rsidRPr="00FF023D">
        <w:t>use the facts developed in the Investigation through the Effective Date</w:t>
      </w:r>
      <w:r w:rsidRPr="0058223B">
        <w:t>, or the existence of this Consent Decree, to institute on its own motion</w:t>
      </w:r>
      <w:r>
        <w:t>,</w:t>
      </w:r>
      <w:r w:rsidRPr="0058223B">
        <w:t xml:space="preserve"> any new proceeding, formal or informal, or take any action on its own motion against </w:t>
      </w:r>
      <w:r>
        <w:t>Athenian</w:t>
      </w:r>
      <w:r w:rsidRPr="0058223B">
        <w:t xml:space="preserve"> concerning the matters that were the subject of the Investigation.  The </w:t>
      </w:r>
      <w:r>
        <w:t>Enforcement Bureau</w:t>
      </w:r>
      <w:r w:rsidRPr="0058223B">
        <w:t xml:space="preserve"> also agrees that</w:t>
      </w:r>
      <w:r>
        <w:t>,</w:t>
      </w:r>
      <w:r w:rsidRPr="0058223B">
        <w:t xml:space="preserve"> in the absence of new material evidence, it will not use the facts developed in the Investigation through the Effective Date, or the existence of this Consent Decree, to institute on its own motion any proceeding, formal or informal, or take any action on its own motion against </w:t>
      </w:r>
      <w:r>
        <w:t xml:space="preserve">Athenian </w:t>
      </w:r>
      <w:r w:rsidRPr="0058223B">
        <w:t xml:space="preserve">with respect to </w:t>
      </w:r>
      <w:r>
        <w:t xml:space="preserve">its </w:t>
      </w:r>
      <w:r w:rsidRPr="0058223B">
        <w:t xml:space="preserve">basic qualifications, including </w:t>
      </w:r>
      <w:r>
        <w:t>its</w:t>
      </w:r>
      <w:r w:rsidRPr="0058223B">
        <w:t xml:space="preserve"> character qualifications, to be a Commission licensee or hold Commission licenses or authorizations</w:t>
      </w:r>
      <w:r>
        <w:t xml:space="preserve"> concerning those matters</w:t>
      </w:r>
      <w:r w:rsidRPr="0058223B">
        <w:t>.</w:t>
      </w:r>
    </w:p>
    <w:p w:rsidR="000D15C9" w:rsidRPr="00E07D6B" w:rsidP="000D15C9" w14:paraId="1BB10F5D" w14:textId="77777777">
      <w:pPr>
        <w:pStyle w:val="ParaNum"/>
        <w:widowControl/>
      </w:pPr>
      <w:r w:rsidRPr="0058223B">
        <w:rPr>
          <w:b/>
          <w:u w:val="single"/>
        </w:rPr>
        <w:t>Admission</w:t>
      </w:r>
      <w:r>
        <w:rPr>
          <w:b/>
          <w:u w:val="single"/>
        </w:rPr>
        <w:t xml:space="preserve"> </w:t>
      </w:r>
      <w:r w:rsidRPr="0058223B">
        <w:rPr>
          <w:b/>
          <w:u w:val="single"/>
        </w:rPr>
        <w:t>of Liability</w:t>
      </w:r>
      <w:r w:rsidRPr="0058223B">
        <w:t>.</w:t>
      </w:r>
      <w:r w:rsidRPr="006D7F5F">
        <w:t xml:space="preserve">  </w:t>
      </w:r>
      <w:r>
        <w:rPr>
          <w:rFonts w:eastAsia="MS Mincho"/>
        </w:rPr>
        <w:t>Athenian</w:t>
      </w:r>
      <w:r w:rsidRPr="0058223B">
        <w:rPr>
          <w:rFonts w:eastAsia="MS Mincho"/>
        </w:rPr>
        <w:t xml:space="preserve"> admits</w:t>
      </w:r>
      <w:r>
        <w:rPr>
          <w:rFonts w:eastAsia="MS Mincho"/>
        </w:rPr>
        <w:t xml:space="preserve">, </w:t>
      </w:r>
      <w:r w:rsidRPr="0058223B">
        <w:rPr>
          <w:rFonts w:eastAsia="MS Mincho"/>
        </w:rPr>
        <w:t xml:space="preserve">in express reliance on the provisions of </w:t>
      </w:r>
      <w:r w:rsidRPr="00280809">
        <w:rPr>
          <w:rFonts w:eastAsia="MS Mincho"/>
        </w:rPr>
        <w:t xml:space="preserve">Paragraph </w:t>
      </w:r>
      <w:r w:rsidRPr="0022070A">
        <w:rPr>
          <w:rFonts w:eastAsia="MS Mincho"/>
        </w:rPr>
        <w:t>11</w:t>
      </w:r>
      <w:r w:rsidRPr="00280809">
        <w:rPr>
          <w:rFonts w:eastAsia="MS Mincho"/>
        </w:rPr>
        <w:t xml:space="preserve"> herein, that its actions referenced </w:t>
      </w:r>
      <w:r w:rsidRPr="00FF023D">
        <w:rPr>
          <w:rFonts w:eastAsia="MS Mincho"/>
        </w:rPr>
        <w:t>in the Complaint</w:t>
      </w:r>
      <w:r w:rsidRPr="00280809">
        <w:rPr>
          <w:rFonts w:eastAsia="MS Mincho"/>
        </w:rPr>
        <w:t xml:space="preserve"> and described in Paragraphs </w:t>
      </w:r>
      <w:r w:rsidRPr="00FF50AF">
        <w:rPr>
          <w:rFonts w:eastAsia="MS Mincho"/>
        </w:rPr>
        <w:t>5-6</w:t>
      </w:r>
      <w:r w:rsidRPr="00280809">
        <w:rPr>
          <w:rFonts w:eastAsia="MS Mincho"/>
        </w:rPr>
        <w:t xml:space="preserve"> herein</w:t>
      </w:r>
      <w:r w:rsidRPr="004D4F3D">
        <w:rPr>
          <w:rFonts w:eastAsia="MS Mincho"/>
        </w:rPr>
        <w:t xml:space="preserve"> violated the Commission’s </w:t>
      </w:r>
      <w:r w:rsidRPr="00501243">
        <w:rPr>
          <w:color w:val="000000"/>
        </w:rPr>
        <w:t>Underwriting Laws</w:t>
      </w:r>
      <w:r w:rsidRPr="004D4F3D">
        <w:rPr>
          <w:rStyle w:val="CommentReference"/>
        </w:rPr>
        <w:t>.</w:t>
      </w:r>
    </w:p>
    <w:p w:rsidR="000D15C9" w:rsidRPr="00EB6A7F" w:rsidP="000D15C9" w14:paraId="72A711EA" w14:textId="77777777">
      <w:pPr>
        <w:pStyle w:val="ParaNum"/>
      </w:pPr>
      <w:r w:rsidRPr="001C1547">
        <w:rPr>
          <w:b/>
          <w:u w:val="single"/>
        </w:rPr>
        <w:t>Compliance Officer</w:t>
      </w:r>
      <w:r w:rsidRPr="00EB6A7F">
        <w:t xml:space="preserve">.  </w:t>
      </w:r>
      <w:r w:rsidRPr="00280809">
        <w:t xml:space="preserve">Within fourteen (14) calendar days after the Effective Date, </w:t>
      </w:r>
      <w:r>
        <w:t>Athenian</w:t>
      </w:r>
      <w:r w:rsidRPr="00FF023D">
        <w:t xml:space="preserve"> shall designate an </w:t>
      </w:r>
      <w:r w:rsidRPr="00C942BD">
        <w:t xml:space="preserve">FCC regulatory counsel or other </w:t>
      </w:r>
      <w:r>
        <w:t xml:space="preserve">suitably trained </w:t>
      </w:r>
      <w:r w:rsidRPr="00C942BD">
        <w:t>party</w:t>
      </w:r>
      <w:r w:rsidRPr="00FF023D">
        <w:t xml:space="preserve"> with the requisite corporate and organizational authority and </w:t>
      </w:r>
      <w:r>
        <w:t xml:space="preserve">substantive </w:t>
      </w:r>
      <w:r w:rsidRPr="00FF023D">
        <w:t>knowledge to serve as a Compliance Officer and to discharge the duties set forth below.</w:t>
      </w:r>
      <w:r>
        <w:t xml:space="preserve">  The person designated as Compliance Officer</w:t>
      </w:r>
      <w:r w:rsidRPr="00EB6A7F">
        <w:t xml:space="preserve"> shall be responsible for developing, implementing, and administering </w:t>
      </w:r>
      <w:r>
        <w:t>the</w:t>
      </w:r>
      <w:r w:rsidRPr="00EB6A7F">
        <w:t xml:space="preserve"> Compliance Plan </w:t>
      </w:r>
      <w:r w:rsidRPr="00501243">
        <w:rPr>
          <w:rFonts w:eastAsia="MS Mincho"/>
        </w:rPr>
        <w:t>and</w:t>
      </w:r>
      <w:r w:rsidRPr="00EB6A7F">
        <w:t xml:space="preserve"> ensuring that </w:t>
      </w:r>
      <w:r>
        <w:t>Athenian</w:t>
      </w:r>
      <w:r w:rsidRPr="00EB6A7F">
        <w:t xml:space="preserve"> complies with the terms and conditions of the Compliance Plan and this Consent Decree.  </w:t>
      </w:r>
      <w:r w:rsidRPr="00FF023D">
        <w:t xml:space="preserve">In addition to the general knowledge of the Communications Laws necessary to discharge his or her duties under this Consent Decree, the Compliance Officer shall have specific knowledge of the </w:t>
      </w:r>
      <w:r w:rsidRPr="00FF023D">
        <w:rPr>
          <w:color w:val="000000"/>
        </w:rPr>
        <w:t xml:space="preserve">Underwriting Laws </w:t>
      </w:r>
      <w:r w:rsidRPr="00FF023D">
        <w:t>before assuming his/her duties.</w:t>
      </w:r>
      <w:r>
        <w:t xml:space="preserve">  </w:t>
      </w:r>
    </w:p>
    <w:p w:rsidR="000D15C9" w:rsidP="000D15C9" w14:paraId="0E672184" w14:textId="77777777">
      <w:pPr>
        <w:pStyle w:val="ParaNum"/>
      </w:pPr>
      <w:bookmarkStart w:id="4" w:name="_Ref51257131"/>
      <w:r w:rsidRPr="001C1547">
        <w:rPr>
          <w:b/>
          <w:szCs w:val="22"/>
          <w:u w:val="single"/>
        </w:rPr>
        <w:t>Compliance Plan</w:t>
      </w:r>
      <w:r w:rsidRPr="00A629D4">
        <w:t>.</w:t>
      </w:r>
      <w:r>
        <w:t xml:space="preserve">  Athenian</w:t>
      </w:r>
      <w:r w:rsidRPr="000D411F">
        <w:t xml:space="preserve"> shall, within </w:t>
      </w:r>
      <w:r>
        <w:t>six</w:t>
      </w:r>
      <w:r w:rsidRPr="000D411F">
        <w:t>ty (</w:t>
      </w:r>
      <w:r>
        <w:t>6</w:t>
      </w:r>
      <w:r w:rsidRPr="000D411F">
        <w:t>0) calendar days after the Effective Date, develop and implement a Compliance Plan designed to ensure its immediate compliance with the Communications Laws and with the terms and cond</w:t>
      </w:r>
      <w:r>
        <w:t>itions of this Consent Decree.</w:t>
      </w:r>
      <w:bookmarkEnd w:id="4"/>
    </w:p>
    <w:p w:rsidR="000D15C9" w:rsidP="000D15C9" w14:paraId="257D80D3" w14:textId="77777777">
      <w:pPr>
        <w:pStyle w:val="ParaNum"/>
        <w:numPr>
          <w:ilvl w:val="0"/>
          <w:numId w:val="0"/>
        </w:numPr>
        <w:ind w:left="1890" w:hanging="450"/>
      </w:pPr>
      <w:r>
        <w:t xml:space="preserve">(a) </w:t>
      </w:r>
      <w:r>
        <w:tab/>
      </w:r>
      <w:r w:rsidRPr="00B124E9">
        <w:rPr>
          <w:b/>
          <w:u w:val="single"/>
        </w:rPr>
        <w:t>Consultation with Counsel</w:t>
      </w:r>
      <w:r w:rsidRPr="00B124E9">
        <w:t xml:space="preserve">.  </w:t>
      </w:r>
      <w:r w:rsidRPr="00AA3708">
        <w:t xml:space="preserve">If the Compliance Officer is not an FCC regulatory counsel, </w:t>
      </w:r>
      <w:r>
        <w:t>Athenian</w:t>
      </w:r>
      <w:r w:rsidRPr="00AA3708">
        <w:t xml:space="preserve"> shall consult with outside counsel regarding </w:t>
      </w:r>
      <w:r>
        <w:t>Athenian</w:t>
      </w:r>
      <w:r w:rsidRPr="00AA3708">
        <w:t>’s overall compliance with the Underwriting Laws</w:t>
      </w:r>
      <w:r>
        <w:t xml:space="preserve">, including a review by such counsel of a representative sample of underwriting announcements broadcast by the Station over the prior six month period, and a review of the Compliance Plan.  Athenian shall in consultation with, and under the direction of, counsel create and implement the Compliance Plan, Underwriting Compliance Notification, Operating Procedures, Compliance Manual, Training Program, and Education Program, as </w:t>
      </w:r>
      <w:r>
        <w:rPr>
          <w:szCs w:val="22"/>
        </w:rPr>
        <w:t>required by</w:t>
      </w:r>
      <w:r w:rsidRPr="006D6F8E">
        <w:rPr>
          <w:szCs w:val="22"/>
        </w:rPr>
        <w:t xml:space="preserve"> this Paragraph </w:t>
      </w:r>
      <w:r w:rsidRPr="008149C8">
        <w:rPr>
          <w:szCs w:val="22"/>
        </w:rPr>
        <w:t>14</w:t>
      </w:r>
      <w:r>
        <w:t xml:space="preserve">.  Counsel shall prepare and submit the initial Compliance Report, due </w:t>
      </w:r>
      <w:r w:rsidRPr="008F2329">
        <w:t xml:space="preserve">ninety (90) </w:t>
      </w:r>
      <w:r>
        <w:t xml:space="preserve">calendar </w:t>
      </w:r>
      <w:r w:rsidRPr="008F2329">
        <w:t>days after the Effective Date</w:t>
      </w:r>
      <w:r>
        <w:t xml:space="preserve">.  Thereafter, additional </w:t>
      </w:r>
      <w:r w:rsidRPr="00646C84">
        <w:t xml:space="preserve">consultations </w:t>
      </w:r>
      <w:r>
        <w:t xml:space="preserve">with counsel </w:t>
      </w:r>
      <w:r w:rsidRPr="00646C84">
        <w:t xml:space="preserve">shall occur on </w:t>
      </w:r>
      <w:r w:rsidRPr="00280809">
        <w:t xml:space="preserve">a </w:t>
      </w:r>
      <w:r>
        <w:t>semi-</w:t>
      </w:r>
      <w:r w:rsidRPr="00280809">
        <w:t>annual basis, or</w:t>
      </w:r>
      <w:r w:rsidRPr="00B124E9">
        <w:t xml:space="preserve"> more frequently</w:t>
      </w:r>
      <w:r>
        <w:t xml:space="preserve"> as </w:t>
      </w:r>
      <w:r>
        <w:t>needed,</w:t>
      </w:r>
      <w:r w:rsidRPr="00B124E9">
        <w:t xml:space="preserve"> to ensure </w:t>
      </w:r>
      <w:r>
        <w:t>Athenian’s</w:t>
      </w:r>
      <w:r w:rsidRPr="00B124E9">
        <w:t xml:space="preserve"> compliance with the terms of this Consent Decree.  </w:t>
      </w:r>
    </w:p>
    <w:p w:rsidR="000D15C9" w:rsidRPr="00E56745" w:rsidP="000D15C9" w14:paraId="5AC3D726" w14:textId="77777777">
      <w:pPr>
        <w:pStyle w:val="ParaNum"/>
        <w:numPr>
          <w:ilvl w:val="0"/>
          <w:numId w:val="0"/>
        </w:numPr>
        <w:ind w:left="1890" w:hanging="450"/>
      </w:pPr>
      <w:r>
        <w:rPr>
          <w:bCs/>
          <w:szCs w:val="22"/>
        </w:rPr>
        <w:t>(b)</w:t>
      </w:r>
      <w:r>
        <w:rPr>
          <w:bCs/>
          <w:szCs w:val="22"/>
        </w:rPr>
        <w:tab/>
      </w:r>
      <w:r w:rsidRPr="00280809">
        <w:rPr>
          <w:b/>
          <w:bCs/>
          <w:color w:val="000000"/>
          <w:szCs w:val="22"/>
          <w:u w:val="single"/>
        </w:rPr>
        <w:t>Underwriting Compliance Notification</w:t>
      </w:r>
      <w:r w:rsidRPr="00280809">
        <w:t xml:space="preserve">.  </w:t>
      </w:r>
      <w:r w:rsidRPr="00280809">
        <w:rPr>
          <w:bCs/>
          <w:color w:val="000000"/>
          <w:szCs w:val="22"/>
        </w:rPr>
        <w:t>Within</w:t>
      </w:r>
      <w:r w:rsidRPr="00280809">
        <w:t xml:space="preserve"> five (5) </w:t>
      </w:r>
      <w:r>
        <w:t>business</w:t>
      </w:r>
      <w:r w:rsidRPr="00280809">
        <w:t xml:space="preserve"> days of the Effective Date, </w:t>
      </w:r>
      <w:r>
        <w:t>Athenian</w:t>
      </w:r>
      <w:r w:rsidRPr="00280809">
        <w:t xml:space="preserve"> shall immediately notify and distribute to Covered Employees at the Station, notice of the requirements of this Paragraph </w:t>
      </w:r>
      <w:r w:rsidRPr="00EB06F7">
        <w:fldChar w:fldCharType="begin"/>
      </w:r>
      <w:r w:rsidRPr="00EB06F7">
        <w:instrText xml:space="preserve"> REF _Ref51257131 \r \h  \* MERGEFORMAT </w:instrText>
      </w:r>
      <w:r w:rsidRPr="00EB06F7">
        <w:fldChar w:fldCharType="separate"/>
      </w:r>
      <w:r w:rsidRPr="00EB06F7">
        <w:t>14</w:t>
      </w:r>
      <w:r w:rsidRPr="00EB06F7">
        <w:fldChar w:fldCharType="end"/>
      </w:r>
      <w:r w:rsidRPr="00280809">
        <w:t>.</w:t>
      </w:r>
      <w:r w:rsidRPr="00E56745">
        <w:t xml:space="preserve">  The Notification shall explain the </w:t>
      </w:r>
      <w:r w:rsidRPr="00501243">
        <w:rPr>
          <w:color w:val="000000"/>
          <w:szCs w:val="22"/>
        </w:rPr>
        <w:t>Underwriting Laws</w:t>
      </w:r>
      <w:r w:rsidRPr="00E56745">
        <w:t xml:space="preserve"> that the Covered Employees shall follow.  </w:t>
      </w:r>
    </w:p>
    <w:p w:rsidR="000D15C9" w:rsidP="00DC0572" w14:paraId="2621A4FF" w14:textId="77777777">
      <w:pPr>
        <w:pStyle w:val="ParaNum"/>
        <w:widowControl/>
        <w:numPr>
          <w:ilvl w:val="0"/>
          <w:numId w:val="10"/>
        </w:numPr>
      </w:pPr>
      <w:r>
        <w:t>Athenian</w:t>
      </w:r>
      <w:r w:rsidRPr="00E56745">
        <w:t xml:space="preserve"> shall provide a copy of such Compliance Notification to the</w:t>
      </w:r>
      <w:r>
        <w:t xml:space="preserve"> </w:t>
      </w:r>
      <w:r w:rsidRPr="00E56745">
        <w:t xml:space="preserve">Enforcement Bureau </w:t>
      </w:r>
      <w:r w:rsidRPr="006A3824">
        <w:t xml:space="preserve">within seven (7) </w:t>
      </w:r>
      <w:r>
        <w:t xml:space="preserve">business </w:t>
      </w:r>
      <w:r w:rsidRPr="00E56745">
        <w:t xml:space="preserve">days from the </w:t>
      </w:r>
      <w:r w:rsidRPr="00B124E9">
        <w:t>Effective Date.</w:t>
      </w:r>
    </w:p>
    <w:p w:rsidR="000D15C9" w:rsidRPr="00B124E9" w:rsidP="00DC0572" w14:paraId="73C39C75" w14:textId="77777777">
      <w:pPr>
        <w:pStyle w:val="ParaNum"/>
        <w:widowControl/>
        <w:numPr>
          <w:ilvl w:val="0"/>
          <w:numId w:val="10"/>
        </w:numPr>
        <w:rPr>
          <w:rStyle w:val="ParaNumChar0"/>
        </w:rPr>
      </w:pPr>
      <w:r w:rsidRPr="00E56745">
        <w:t xml:space="preserve">Every thirty (30) days from the Effective Date, </w:t>
      </w:r>
      <w:r>
        <w:t>Athenian</w:t>
      </w:r>
      <w:r w:rsidRPr="00E56745">
        <w:t xml:space="preserve"> shall review its Compliance Notification, and provide any updates or amendments thereto, to all Covered Employees.  </w:t>
      </w:r>
    </w:p>
    <w:p w:rsidR="000D15C9" w:rsidP="000D15C9" w14:paraId="32561BD5" w14:textId="77777777">
      <w:pPr>
        <w:widowControl/>
        <w:spacing w:after="120"/>
        <w:ind w:left="1886" w:hanging="446"/>
        <w:rPr>
          <w:color w:val="000000"/>
          <w:szCs w:val="22"/>
        </w:rPr>
      </w:pPr>
      <w:r w:rsidRPr="006A3824">
        <w:rPr>
          <w:color w:val="000000"/>
          <w:szCs w:val="22"/>
        </w:rPr>
        <w:t>(</w:t>
      </w:r>
      <w:r>
        <w:rPr>
          <w:color w:val="000000"/>
          <w:szCs w:val="22"/>
        </w:rPr>
        <w:t>c</w:t>
      </w:r>
      <w:r w:rsidRPr="006A3824">
        <w:rPr>
          <w:color w:val="000000"/>
          <w:szCs w:val="22"/>
        </w:rPr>
        <w:t>)</w:t>
      </w:r>
      <w:r w:rsidRPr="006A3824">
        <w:rPr>
          <w:b/>
          <w:bCs/>
          <w:color w:val="000000"/>
          <w:szCs w:val="22"/>
        </w:rPr>
        <w:tab/>
      </w:r>
      <w:r>
        <w:rPr>
          <w:b/>
          <w:bCs/>
          <w:color w:val="000000"/>
          <w:szCs w:val="22"/>
          <w:u w:val="single"/>
        </w:rPr>
        <w:t xml:space="preserve">Underwriting </w:t>
      </w:r>
      <w:r w:rsidRPr="00501243">
        <w:rPr>
          <w:b/>
          <w:bCs/>
          <w:color w:val="000000"/>
          <w:szCs w:val="22"/>
          <w:u w:val="single"/>
        </w:rPr>
        <w:t>Operating Procedures</w:t>
      </w:r>
      <w:r w:rsidRPr="00501243">
        <w:rPr>
          <w:color w:val="000000"/>
          <w:szCs w:val="22"/>
        </w:rPr>
        <w:t xml:space="preserve">.  Within </w:t>
      </w:r>
      <w:r>
        <w:rPr>
          <w:bCs/>
          <w:color w:val="000000"/>
          <w:szCs w:val="22"/>
        </w:rPr>
        <w:t>six</w:t>
      </w:r>
      <w:r w:rsidRPr="001C1547">
        <w:rPr>
          <w:bCs/>
          <w:color w:val="000000"/>
          <w:szCs w:val="22"/>
        </w:rPr>
        <w:t>ty</w:t>
      </w:r>
      <w:r>
        <w:rPr>
          <w:color w:val="000000"/>
          <w:szCs w:val="22"/>
        </w:rPr>
        <w:t xml:space="preserve"> (60) calendar days of</w:t>
      </w:r>
      <w:r w:rsidRPr="00501243">
        <w:rPr>
          <w:color w:val="000000"/>
          <w:szCs w:val="22"/>
        </w:rPr>
        <w:t xml:space="preserve"> the Effective Date, </w:t>
      </w:r>
      <w:r>
        <w:rPr>
          <w:color w:val="000000"/>
          <w:szCs w:val="22"/>
        </w:rPr>
        <w:t>Athenian</w:t>
      </w:r>
      <w:r w:rsidRPr="00501243">
        <w:rPr>
          <w:color w:val="000000"/>
          <w:szCs w:val="22"/>
        </w:rPr>
        <w:t xml:space="preserve"> shall establish Operating Procedures that all Covered Employees must follow to help ensure </w:t>
      </w:r>
      <w:r>
        <w:rPr>
          <w:color w:val="000000"/>
          <w:szCs w:val="22"/>
        </w:rPr>
        <w:t>Athenian’s</w:t>
      </w:r>
      <w:r w:rsidRPr="00501243">
        <w:rPr>
          <w:color w:val="000000"/>
          <w:szCs w:val="22"/>
        </w:rPr>
        <w:t xml:space="preserve"> compliance with the Communications Laws, including the Underwriting Laws</w:t>
      </w:r>
      <w:r>
        <w:rPr>
          <w:color w:val="000000"/>
          <w:szCs w:val="22"/>
        </w:rPr>
        <w:t>.  Athenian</w:t>
      </w:r>
      <w:r w:rsidRPr="00333729">
        <w:rPr>
          <w:color w:val="000000"/>
          <w:szCs w:val="22"/>
        </w:rPr>
        <w:t xml:space="preserve">’s </w:t>
      </w:r>
      <w:r>
        <w:rPr>
          <w:color w:val="000000"/>
          <w:szCs w:val="22"/>
        </w:rPr>
        <w:t xml:space="preserve">Underwriting </w:t>
      </w:r>
      <w:r w:rsidRPr="00333729">
        <w:rPr>
          <w:color w:val="000000"/>
          <w:szCs w:val="22"/>
        </w:rPr>
        <w:t xml:space="preserve">Operating Procedures shall include internal procedures and policies specifically designed to ensure that </w:t>
      </w:r>
      <w:r>
        <w:rPr>
          <w:color w:val="000000"/>
          <w:szCs w:val="22"/>
        </w:rPr>
        <w:t>Athenian</w:t>
      </w:r>
      <w:r w:rsidRPr="00333729">
        <w:rPr>
          <w:color w:val="000000"/>
          <w:szCs w:val="22"/>
        </w:rPr>
        <w:t xml:space="preserve"> complies with the Underwriting Laws</w:t>
      </w:r>
      <w:r>
        <w:rPr>
          <w:color w:val="000000"/>
          <w:szCs w:val="22"/>
        </w:rPr>
        <w:t>.</w:t>
      </w:r>
      <w:r w:rsidRPr="00333729">
        <w:rPr>
          <w:color w:val="000000"/>
          <w:szCs w:val="22"/>
        </w:rPr>
        <w:t xml:space="preserve"> </w:t>
      </w:r>
    </w:p>
    <w:p w:rsidR="000D15C9" w:rsidP="00DC0572" w14:paraId="2C768070" w14:textId="77777777">
      <w:pPr>
        <w:widowControl/>
        <w:numPr>
          <w:ilvl w:val="0"/>
          <w:numId w:val="8"/>
        </w:numPr>
        <w:spacing w:after="120"/>
        <w:ind w:left="2880"/>
        <w:rPr>
          <w:color w:val="000000"/>
          <w:szCs w:val="22"/>
        </w:rPr>
      </w:pPr>
      <w:r>
        <w:rPr>
          <w:color w:val="000000"/>
          <w:szCs w:val="22"/>
        </w:rPr>
        <w:t>Athenian</w:t>
      </w:r>
      <w:r w:rsidRPr="00333729">
        <w:rPr>
          <w:color w:val="000000"/>
          <w:szCs w:val="22"/>
        </w:rPr>
        <w:t xml:space="preserve"> shall use a multi-level review procedure for </w:t>
      </w:r>
      <w:r w:rsidRPr="006A3824">
        <w:rPr>
          <w:color w:val="000000"/>
          <w:szCs w:val="22"/>
        </w:rPr>
        <w:t>underwriting content</w:t>
      </w:r>
      <w:r w:rsidRPr="00333729">
        <w:rPr>
          <w:color w:val="000000"/>
          <w:szCs w:val="22"/>
        </w:rPr>
        <w:t xml:space="preserve"> to be aired on the Station.  The Compliance Officer, or a management-level employee of </w:t>
      </w:r>
      <w:r>
        <w:rPr>
          <w:color w:val="000000"/>
          <w:szCs w:val="22"/>
        </w:rPr>
        <w:t>Athenian</w:t>
      </w:r>
      <w:r w:rsidRPr="00333729">
        <w:rPr>
          <w:color w:val="000000"/>
          <w:szCs w:val="22"/>
        </w:rPr>
        <w:t xml:space="preserve"> directly supervised by the Compliance Officer, shall review all scripts of Underwriting Announcements prior to broadcast.  </w:t>
      </w:r>
    </w:p>
    <w:p w:rsidR="000D15C9" w:rsidP="00DC0572" w14:paraId="592A1C28" w14:textId="77777777">
      <w:pPr>
        <w:numPr>
          <w:ilvl w:val="0"/>
          <w:numId w:val="8"/>
        </w:numPr>
        <w:spacing w:after="120"/>
        <w:ind w:left="2880"/>
        <w:rPr>
          <w:color w:val="000000"/>
          <w:szCs w:val="22"/>
        </w:rPr>
      </w:pPr>
      <w:r>
        <w:rPr>
          <w:color w:val="000000"/>
          <w:szCs w:val="22"/>
        </w:rPr>
        <w:t>Athenian</w:t>
      </w:r>
      <w:r w:rsidRPr="00333729">
        <w:rPr>
          <w:color w:val="000000"/>
          <w:szCs w:val="22"/>
        </w:rPr>
        <w:t xml:space="preserve"> shall develop an Underwriting Compliance Checklist that describes the steps that a Covered Employee must follow to ensure that all material approved for broadcast is consistent with relevant past Commission precedent regarding the Underwriting Laws.  </w:t>
      </w:r>
    </w:p>
    <w:p w:rsidR="000D15C9" w:rsidRPr="00C85BF5" w:rsidP="000D15C9" w14:paraId="3F8711B5" w14:textId="77777777">
      <w:pPr>
        <w:spacing w:after="120"/>
        <w:ind w:left="1890" w:hanging="450"/>
        <w:rPr>
          <w:szCs w:val="22"/>
        </w:rPr>
      </w:pPr>
      <w:r>
        <w:rPr>
          <w:color w:val="000000"/>
          <w:szCs w:val="22"/>
        </w:rPr>
        <w:t>(d)</w:t>
      </w:r>
      <w:r>
        <w:rPr>
          <w:color w:val="000000"/>
          <w:szCs w:val="22"/>
        </w:rPr>
        <w:tab/>
      </w:r>
      <w:r>
        <w:rPr>
          <w:b/>
          <w:color w:val="000000"/>
          <w:szCs w:val="22"/>
          <w:u w:val="single"/>
        </w:rPr>
        <w:t xml:space="preserve">Underwriting </w:t>
      </w:r>
      <w:r w:rsidRPr="0031266E">
        <w:rPr>
          <w:b/>
          <w:color w:val="000000"/>
          <w:szCs w:val="22"/>
          <w:u w:val="single"/>
        </w:rPr>
        <w:t>Compliance Manual</w:t>
      </w:r>
      <w:r w:rsidRPr="0031266E">
        <w:rPr>
          <w:color w:val="000000"/>
          <w:szCs w:val="22"/>
        </w:rPr>
        <w:t xml:space="preserve">.  Within </w:t>
      </w:r>
      <w:r>
        <w:rPr>
          <w:color w:val="000000"/>
          <w:szCs w:val="22"/>
        </w:rPr>
        <w:t xml:space="preserve">sixty </w:t>
      </w:r>
      <w:r w:rsidRPr="0031266E">
        <w:rPr>
          <w:color w:val="000000"/>
          <w:szCs w:val="22"/>
        </w:rPr>
        <w:t>(</w:t>
      </w:r>
      <w:r>
        <w:rPr>
          <w:color w:val="000000"/>
          <w:szCs w:val="22"/>
        </w:rPr>
        <w:t>60</w:t>
      </w:r>
      <w:r w:rsidRPr="0031266E">
        <w:rPr>
          <w:color w:val="000000"/>
          <w:szCs w:val="22"/>
        </w:rPr>
        <w:t xml:space="preserve">) </w:t>
      </w:r>
      <w:r>
        <w:rPr>
          <w:color w:val="000000"/>
          <w:szCs w:val="22"/>
        </w:rPr>
        <w:t>calendar days</w:t>
      </w:r>
      <w:r w:rsidRPr="0031266E">
        <w:rPr>
          <w:color w:val="000000"/>
          <w:szCs w:val="22"/>
        </w:rPr>
        <w:t xml:space="preserve"> of the Effective Date, </w:t>
      </w:r>
      <w:r>
        <w:rPr>
          <w:color w:val="000000"/>
          <w:szCs w:val="22"/>
        </w:rPr>
        <w:t>Athenian</w:t>
      </w:r>
      <w:r w:rsidRPr="0031266E">
        <w:rPr>
          <w:color w:val="000000"/>
          <w:szCs w:val="22"/>
        </w:rPr>
        <w:t xml:space="preserve"> shall develop and distribute a Compliance Manual to all Covered Employees.  </w:t>
      </w:r>
    </w:p>
    <w:p w:rsidR="000D15C9" w:rsidP="00DC0572" w14:paraId="3BBF2B2A" w14:textId="77777777">
      <w:pPr>
        <w:widowControl/>
        <w:numPr>
          <w:ilvl w:val="1"/>
          <w:numId w:val="5"/>
        </w:numPr>
        <w:tabs>
          <w:tab w:val="clear" w:pos="2088"/>
        </w:tabs>
        <w:spacing w:after="120"/>
        <w:ind w:left="2880"/>
        <w:rPr>
          <w:szCs w:val="22"/>
        </w:rPr>
      </w:pPr>
      <w:r w:rsidRPr="0031266E">
        <w:rPr>
          <w:color w:val="000000"/>
          <w:szCs w:val="22"/>
        </w:rPr>
        <w:t xml:space="preserve">The </w:t>
      </w:r>
      <w:r>
        <w:rPr>
          <w:color w:val="000000"/>
          <w:szCs w:val="22"/>
        </w:rPr>
        <w:t xml:space="preserve">Underwriting </w:t>
      </w:r>
      <w:r w:rsidRPr="0031266E">
        <w:rPr>
          <w:color w:val="000000"/>
          <w:szCs w:val="22"/>
        </w:rPr>
        <w:t xml:space="preserve">Compliance Manual shall explain the </w:t>
      </w:r>
      <w:r w:rsidRPr="00501243">
        <w:rPr>
          <w:color w:val="000000"/>
          <w:szCs w:val="22"/>
        </w:rPr>
        <w:t>Underwriting Laws</w:t>
      </w:r>
      <w:r>
        <w:rPr>
          <w:color w:val="000000"/>
          <w:szCs w:val="22"/>
        </w:rPr>
        <w:t xml:space="preserve">, and </w:t>
      </w:r>
      <w:r w:rsidRPr="0031266E">
        <w:rPr>
          <w:color w:val="000000"/>
          <w:szCs w:val="22"/>
        </w:rPr>
        <w:t xml:space="preserve">set forth the </w:t>
      </w:r>
      <w:r>
        <w:rPr>
          <w:color w:val="000000"/>
          <w:szCs w:val="22"/>
        </w:rPr>
        <w:t xml:space="preserve">Underwriting </w:t>
      </w:r>
      <w:r w:rsidRPr="0031266E">
        <w:rPr>
          <w:color w:val="000000"/>
          <w:szCs w:val="22"/>
        </w:rPr>
        <w:t xml:space="preserve">Operating Procedures that the Covered Employees shall follow to help ensure </w:t>
      </w:r>
      <w:r>
        <w:rPr>
          <w:szCs w:val="22"/>
        </w:rPr>
        <w:t>Athenian’s</w:t>
      </w:r>
      <w:r w:rsidRPr="00DF3207">
        <w:rPr>
          <w:szCs w:val="22"/>
        </w:rPr>
        <w:t xml:space="preserve"> compliance with the Communications Laws.  </w:t>
      </w:r>
    </w:p>
    <w:p w:rsidR="000D15C9" w:rsidP="00DC0572" w14:paraId="2FE7BF01" w14:textId="77777777">
      <w:pPr>
        <w:widowControl/>
        <w:numPr>
          <w:ilvl w:val="1"/>
          <w:numId w:val="5"/>
        </w:numPr>
        <w:tabs>
          <w:tab w:val="clear" w:pos="2088"/>
        </w:tabs>
        <w:spacing w:after="120"/>
        <w:ind w:left="2880"/>
        <w:rPr>
          <w:szCs w:val="22"/>
        </w:rPr>
      </w:pPr>
      <w:r>
        <w:rPr>
          <w:szCs w:val="22"/>
        </w:rPr>
        <w:t>Athenian</w:t>
      </w:r>
      <w:r w:rsidRPr="00DF3207">
        <w:rPr>
          <w:szCs w:val="22"/>
        </w:rPr>
        <w:t xml:space="preserve"> shall periodically review and revise the </w:t>
      </w:r>
      <w:r>
        <w:rPr>
          <w:szCs w:val="22"/>
        </w:rPr>
        <w:t xml:space="preserve">Underwriting </w:t>
      </w:r>
      <w:r w:rsidRPr="00DF3207">
        <w:rPr>
          <w:szCs w:val="22"/>
        </w:rPr>
        <w:t xml:space="preserve">Compliance Manual as necessary to ensure the information set forth therein remains current and accurate.  </w:t>
      </w:r>
    </w:p>
    <w:p w:rsidR="000D15C9" w:rsidRPr="00DF3207" w:rsidP="00DC0572" w14:paraId="68974D8C" w14:textId="77777777">
      <w:pPr>
        <w:numPr>
          <w:ilvl w:val="1"/>
          <w:numId w:val="5"/>
        </w:numPr>
        <w:tabs>
          <w:tab w:val="clear" w:pos="2088"/>
        </w:tabs>
        <w:spacing w:after="120"/>
        <w:ind w:left="2880"/>
        <w:rPr>
          <w:szCs w:val="22"/>
        </w:rPr>
      </w:pPr>
      <w:r>
        <w:rPr>
          <w:szCs w:val="22"/>
        </w:rPr>
        <w:t>Athenian</w:t>
      </w:r>
      <w:r w:rsidRPr="00DF3207">
        <w:rPr>
          <w:szCs w:val="22"/>
        </w:rPr>
        <w:t xml:space="preserve"> shall distribute any revisions to the </w:t>
      </w:r>
      <w:r>
        <w:rPr>
          <w:szCs w:val="22"/>
        </w:rPr>
        <w:t xml:space="preserve">Underwriting </w:t>
      </w:r>
      <w:r w:rsidRPr="00DF3207">
        <w:rPr>
          <w:szCs w:val="22"/>
        </w:rPr>
        <w:t xml:space="preserve">Compliance Manual to all Covered Employees within three (3) </w:t>
      </w:r>
      <w:r>
        <w:rPr>
          <w:szCs w:val="22"/>
        </w:rPr>
        <w:t xml:space="preserve">business </w:t>
      </w:r>
      <w:r w:rsidRPr="00DF3207">
        <w:rPr>
          <w:szCs w:val="22"/>
        </w:rPr>
        <w:t xml:space="preserve">days of any updated revisions.  </w:t>
      </w:r>
    </w:p>
    <w:p w:rsidR="000D15C9" w:rsidRPr="006D6F8E" w:rsidP="00DC0572" w14:paraId="0F86D8F1" w14:textId="77777777">
      <w:pPr>
        <w:pStyle w:val="ListParagraph"/>
        <w:widowControl/>
        <w:numPr>
          <w:ilvl w:val="0"/>
          <w:numId w:val="9"/>
        </w:numPr>
        <w:tabs>
          <w:tab w:val="clear" w:pos="3600"/>
        </w:tabs>
        <w:spacing w:after="120"/>
        <w:ind w:left="1890"/>
        <w:contextualSpacing/>
        <w:rPr>
          <w:szCs w:val="22"/>
        </w:rPr>
      </w:pPr>
      <w:r w:rsidRPr="006D6F8E">
        <w:rPr>
          <w:b/>
          <w:color w:val="000000"/>
          <w:szCs w:val="22"/>
          <w:u w:val="single"/>
        </w:rPr>
        <w:t>Underwriting Compliance Training Program</w:t>
      </w:r>
      <w:r w:rsidRPr="006D6F8E">
        <w:rPr>
          <w:szCs w:val="22"/>
        </w:rPr>
        <w:t xml:space="preserve">.  Within sixty (60) calendar days of the Effective Date, </w:t>
      </w:r>
      <w:r>
        <w:rPr>
          <w:szCs w:val="22"/>
        </w:rPr>
        <w:t>Athenian</w:t>
      </w:r>
      <w:r w:rsidRPr="006D6F8E">
        <w:rPr>
          <w:szCs w:val="22"/>
        </w:rPr>
        <w:t xml:space="preserve"> shall establish an Underwriting Compliance Training Program in compliance with the </w:t>
      </w:r>
      <w:r w:rsidRPr="006D6F8E">
        <w:rPr>
          <w:color w:val="000000"/>
          <w:szCs w:val="22"/>
        </w:rPr>
        <w:t>Underwriting Laws</w:t>
      </w:r>
      <w:r w:rsidRPr="006D6F8E">
        <w:rPr>
          <w:szCs w:val="22"/>
        </w:rPr>
        <w:t xml:space="preserve"> and the Underwriting Operating Procedures </w:t>
      </w:r>
      <w:r w:rsidRPr="0015342D">
        <w:rPr>
          <w:szCs w:val="22"/>
        </w:rPr>
        <w:t>that Athenian will follow immediately following the Compliance Plan</w:t>
      </w:r>
      <w:r w:rsidRPr="006D6F8E">
        <w:rPr>
          <w:szCs w:val="22"/>
        </w:rPr>
        <w:t xml:space="preserve"> as stated in this Paragraph </w:t>
      </w:r>
      <w:r w:rsidRPr="002D4D48">
        <w:rPr>
          <w:szCs w:val="22"/>
        </w:rPr>
        <w:t>14</w:t>
      </w:r>
      <w:r w:rsidRPr="006D6F8E">
        <w:rPr>
          <w:szCs w:val="22"/>
        </w:rPr>
        <w:t xml:space="preserve">. </w:t>
      </w:r>
    </w:p>
    <w:p w:rsidR="000D15C9" w:rsidP="00DC0572" w14:paraId="433D4A4D" w14:textId="77777777">
      <w:pPr>
        <w:widowControl/>
        <w:numPr>
          <w:ilvl w:val="1"/>
          <w:numId w:val="9"/>
        </w:numPr>
        <w:spacing w:after="120"/>
        <w:ind w:left="2880"/>
        <w:rPr>
          <w:szCs w:val="22"/>
        </w:rPr>
      </w:pPr>
      <w:r w:rsidRPr="00280809">
        <w:rPr>
          <w:szCs w:val="22"/>
        </w:rPr>
        <w:t xml:space="preserve">Covered Employees shall be advised of </w:t>
      </w:r>
      <w:r>
        <w:rPr>
          <w:szCs w:val="22"/>
        </w:rPr>
        <w:t>Athenian</w:t>
      </w:r>
      <w:r w:rsidRPr="00280809">
        <w:rPr>
          <w:szCs w:val="22"/>
        </w:rPr>
        <w:t xml:space="preserve">’s obligation to report any noncompliance with the </w:t>
      </w:r>
      <w:r w:rsidRPr="00280809">
        <w:rPr>
          <w:color w:val="000000"/>
          <w:szCs w:val="22"/>
        </w:rPr>
        <w:t xml:space="preserve">Underwriting Laws, </w:t>
      </w:r>
      <w:r w:rsidRPr="00280809">
        <w:rPr>
          <w:szCs w:val="22"/>
        </w:rPr>
        <w:t xml:space="preserve">under Paragraph </w:t>
      </w:r>
      <w:r w:rsidRPr="00904C94">
        <w:t>15</w:t>
      </w:r>
      <w:r w:rsidRPr="006A3824">
        <w:t xml:space="preserve"> </w:t>
      </w:r>
      <w:r>
        <w:rPr>
          <w:szCs w:val="22"/>
        </w:rPr>
        <w:t xml:space="preserve">of </w:t>
      </w:r>
      <w:r>
        <w:rPr>
          <w:szCs w:val="22"/>
        </w:rPr>
        <w:t xml:space="preserve">this Consent Decree, and shall be instructed on how to disclose noncompliance to the Compliance Officer.  </w:t>
      </w:r>
    </w:p>
    <w:p w:rsidR="000D15C9" w:rsidP="00DC0572" w14:paraId="21584105" w14:textId="77777777">
      <w:pPr>
        <w:widowControl/>
        <w:numPr>
          <w:ilvl w:val="1"/>
          <w:numId w:val="9"/>
        </w:numPr>
        <w:spacing w:after="120"/>
        <w:ind w:left="2880"/>
        <w:rPr>
          <w:szCs w:val="22"/>
        </w:rPr>
      </w:pPr>
      <w:r>
        <w:rPr>
          <w:szCs w:val="22"/>
        </w:rPr>
        <w:t xml:space="preserve">All Covered Employees shall be trained pursuant to the Underwriting Compliance Training Program within ninety (90) calendar days after the Effective Date, except that any person who becomes a Covered Employee at any time after the initial Underwriting Compliance Training Program shall be trained within thirty (30) calendar days after the date such person becomes a Covered Employee.  </w:t>
      </w:r>
    </w:p>
    <w:p w:rsidR="000D15C9" w:rsidP="00DC0572" w14:paraId="51C31683" w14:textId="77777777">
      <w:pPr>
        <w:widowControl/>
        <w:numPr>
          <w:ilvl w:val="1"/>
          <w:numId w:val="9"/>
        </w:numPr>
        <w:spacing w:after="120"/>
        <w:ind w:left="2880"/>
        <w:rPr>
          <w:szCs w:val="22"/>
        </w:rPr>
      </w:pPr>
      <w:r>
        <w:rPr>
          <w:szCs w:val="22"/>
        </w:rPr>
        <w:t xml:space="preserve">Athenian shall repeat compliance training on </w:t>
      </w:r>
      <w:r w:rsidRPr="00F053C4">
        <w:rPr>
          <w:szCs w:val="22"/>
        </w:rPr>
        <w:t xml:space="preserve">an </w:t>
      </w:r>
      <w:r w:rsidRPr="00412C27">
        <w:rPr>
          <w:szCs w:val="22"/>
        </w:rPr>
        <w:t>annual basis</w:t>
      </w:r>
      <w:r>
        <w:rPr>
          <w:szCs w:val="22"/>
        </w:rPr>
        <w:t xml:space="preserve"> and shall periodically review and revise the Underwriting Compliance Training Program as necessary to ensure that it remains current and complete and to enhance its effectiveness.</w:t>
      </w:r>
    </w:p>
    <w:p w:rsidR="000D15C9" w:rsidP="00DC0572" w14:paraId="4443742F" w14:textId="77777777">
      <w:pPr>
        <w:widowControl/>
        <w:numPr>
          <w:ilvl w:val="0"/>
          <w:numId w:val="9"/>
        </w:numPr>
        <w:tabs>
          <w:tab w:val="clear" w:pos="3600"/>
        </w:tabs>
        <w:spacing w:after="120"/>
        <w:ind w:left="1886" w:hanging="446"/>
        <w:rPr>
          <w:szCs w:val="22"/>
        </w:rPr>
      </w:pPr>
      <w:r>
        <w:rPr>
          <w:b/>
          <w:color w:val="000000"/>
          <w:szCs w:val="22"/>
          <w:u w:val="single"/>
        </w:rPr>
        <w:t xml:space="preserve">Underwriting </w:t>
      </w:r>
      <w:r w:rsidRPr="00A629D4">
        <w:rPr>
          <w:b/>
          <w:color w:val="000000"/>
          <w:szCs w:val="22"/>
          <w:u w:val="single"/>
        </w:rPr>
        <w:t>Compliance Education Program</w:t>
      </w:r>
      <w:r w:rsidRPr="006E2A54">
        <w:rPr>
          <w:szCs w:val="22"/>
        </w:rPr>
        <w:t xml:space="preserve">.  </w:t>
      </w:r>
      <w:r>
        <w:rPr>
          <w:szCs w:val="22"/>
        </w:rPr>
        <w:t>Within sixty (60) calendar days of the Effective Date, Athenian</w:t>
      </w:r>
      <w:r w:rsidRPr="006E2A54">
        <w:rPr>
          <w:szCs w:val="22"/>
        </w:rPr>
        <w:t xml:space="preserve"> shall implement and maintain a plan to educate prospective </w:t>
      </w:r>
      <w:r>
        <w:rPr>
          <w:szCs w:val="22"/>
        </w:rPr>
        <w:t xml:space="preserve">for-profit </w:t>
      </w:r>
      <w:r w:rsidRPr="006E2A54">
        <w:rPr>
          <w:szCs w:val="22"/>
        </w:rPr>
        <w:t xml:space="preserve">underwriters about appropriate underwriting content and about how </w:t>
      </w:r>
      <w:r>
        <w:rPr>
          <w:szCs w:val="22"/>
        </w:rPr>
        <w:t>Athenian</w:t>
      </w:r>
      <w:r w:rsidRPr="006E2A54">
        <w:rPr>
          <w:szCs w:val="22"/>
        </w:rPr>
        <w:t xml:space="preserve"> incorporates such underwriting content in the announcements that it prepares for underwriter approval and eventual broadcast over the Station.  To that end, </w:t>
      </w:r>
      <w:r>
        <w:rPr>
          <w:szCs w:val="22"/>
        </w:rPr>
        <w:t>Athenian</w:t>
      </w:r>
      <w:r w:rsidRPr="006E2A54">
        <w:rPr>
          <w:szCs w:val="22"/>
        </w:rPr>
        <w:t xml:space="preserve"> shall summarize the Underwriting Laws for each prospective </w:t>
      </w:r>
      <w:r>
        <w:rPr>
          <w:szCs w:val="22"/>
        </w:rPr>
        <w:t>for-profit</w:t>
      </w:r>
      <w:r w:rsidRPr="006E2A54">
        <w:rPr>
          <w:szCs w:val="22"/>
        </w:rPr>
        <w:t xml:space="preserve"> client before accepting any contract with a prospective </w:t>
      </w:r>
      <w:r>
        <w:rPr>
          <w:szCs w:val="22"/>
        </w:rPr>
        <w:t>for-profit</w:t>
      </w:r>
      <w:r w:rsidRPr="006E2A54">
        <w:rPr>
          <w:szCs w:val="22"/>
        </w:rPr>
        <w:t xml:space="preserve"> client to air </w:t>
      </w:r>
      <w:r>
        <w:rPr>
          <w:szCs w:val="22"/>
        </w:rPr>
        <w:t>U</w:t>
      </w:r>
      <w:r w:rsidRPr="006E2A54">
        <w:rPr>
          <w:szCs w:val="22"/>
        </w:rPr>
        <w:t xml:space="preserve">nderwriting </w:t>
      </w:r>
      <w:r>
        <w:rPr>
          <w:szCs w:val="22"/>
        </w:rPr>
        <w:t>A</w:t>
      </w:r>
      <w:r w:rsidRPr="006E2A54">
        <w:rPr>
          <w:szCs w:val="22"/>
        </w:rPr>
        <w:t>nnouncements over the Station</w:t>
      </w:r>
      <w:r>
        <w:rPr>
          <w:szCs w:val="22"/>
        </w:rPr>
        <w:t xml:space="preserve"> </w:t>
      </w:r>
      <w:r w:rsidRPr="006E2A54">
        <w:rPr>
          <w:szCs w:val="22"/>
        </w:rPr>
        <w:t xml:space="preserve">and shall prepare the </w:t>
      </w:r>
      <w:r>
        <w:rPr>
          <w:szCs w:val="22"/>
        </w:rPr>
        <w:t>U</w:t>
      </w:r>
      <w:r w:rsidRPr="006E2A54">
        <w:rPr>
          <w:szCs w:val="22"/>
        </w:rPr>
        <w:t xml:space="preserve">nderwriting </w:t>
      </w:r>
      <w:r>
        <w:rPr>
          <w:szCs w:val="22"/>
        </w:rPr>
        <w:t>A</w:t>
      </w:r>
      <w:r w:rsidRPr="006E2A54">
        <w:rPr>
          <w:szCs w:val="22"/>
        </w:rPr>
        <w:t xml:space="preserve">nnouncement for the underwriter’s review.  </w:t>
      </w:r>
      <w:r>
        <w:rPr>
          <w:szCs w:val="22"/>
        </w:rPr>
        <w:t>Athenian</w:t>
      </w:r>
      <w:r w:rsidRPr="006E2A54">
        <w:rPr>
          <w:szCs w:val="22"/>
        </w:rPr>
        <w:t xml:space="preserve"> shall not broadcast over </w:t>
      </w:r>
      <w:r>
        <w:rPr>
          <w:szCs w:val="22"/>
        </w:rPr>
        <w:t xml:space="preserve">the </w:t>
      </w:r>
      <w:r w:rsidRPr="006E2A54">
        <w:rPr>
          <w:szCs w:val="22"/>
        </w:rPr>
        <w:t xml:space="preserve">Station any announcement that does not comply with the Underwriting </w:t>
      </w:r>
      <w:r>
        <w:rPr>
          <w:szCs w:val="22"/>
        </w:rPr>
        <w:t>Laws</w:t>
      </w:r>
      <w:r w:rsidRPr="006E2A54">
        <w:rPr>
          <w:szCs w:val="22"/>
        </w:rPr>
        <w:t>.</w:t>
      </w:r>
    </w:p>
    <w:p w:rsidR="000D15C9" w:rsidP="000D15C9" w14:paraId="6ACD0BAF" w14:textId="3311BF61">
      <w:pPr>
        <w:pStyle w:val="ParaNum"/>
        <w:widowControl/>
      </w:pPr>
      <w:r>
        <w:rPr>
          <w:b/>
          <w:u w:val="single"/>
        </w:rPr>
        <w:t>Reporting Noncompliance</w:t>
      </w:r>
      <w:r>
        <w:t xml:space="preserve">.  Commencing as of the Effective Date, Athenian </w:t>
      </w:r>
      <w:r w:rsidRPr="00AA3708">
        <w:t>shall report</w:t>
      </w:r>
      <w:r>
        <w:t xml:space="preserve"> any noncompliance with the </w:t>
      </w:r>
      <w:r w:rsidRPr="00501243">
        <w:rPr>
          <w:color w:val="000000"/>
        </w:rPr>
        <w:t>Underwriting Laws</w:t>
      </w:r>
      <w:r>
        <w:rPr>
          <w:color w:val="000000"/>
        </w:rPr>
        <w:t>,</w:t>
      </w:r>
      <w:r>
        <w:t xml:space="preserve"> and with the terms and conditions of this Consent Decree within fifteen (15) calendar days after discovery of such noncompliance.  Such reports shall include a detailed explanation of:  (i) each instance of noncompliance; (ii) the steps that Athenian has </w:t>
      </w:r>
      <w:r w:rsidRPr="00501243">
        <w:rPr>
          <w:rFonts w:eastAsia="MS Mincho"/>
        </w:rPr>
        <w:t>taken</w:t>
      </w:r>
      <w:r>
        <w:t xml:space="preserve"> or will take to address such noncompliance; (iii) the schedule on which such actions will be taken; and (iv) the steps that Athenian has taken or will take to prevent the recurrence of any such noncompliance.  All reports of noncompliance </w:t>
      </w:r>
      <w:r w:rsidRPr="00AA3708">
        <w:t>shall be submitted to the Chief, Investigations and Hearings Division,</w:t>
      </w:r>
      <w:r>
        <w:t xml:space="preserve"> Enforcement Bureau, Federal Communications Commission, </w:t>
      </w:r>
      <w:r w:rsidRPr="00BB30ED">
        <w:t>45 L Street, NE, Washington, DC 20554</w:t>
      </w:r>
      <w:r>
        <w:t xml:space="preserve">, with a copy submitted electronically to </w:t>
      </w:r>
      <w:bookmarkStart w:id="5" w:name="_Hlk10200176"/>
      <w:r>
        <w:t xml:space="preserve">Jeffrey J. Gee at </w:t>
      </w:r>
      <w:hyperlink r:id="rId11" w:history="1">
        <w:r w:rsidRPr="00C85024">
          <w:rPr>
            <w:rStyle w:val="Hyperlink"/>
            <w:szCs w:val="22"/>
          </w:rPr>
          <w:t>Jeffrey.Gee@fcc.gov</w:t>
        </w:r>
      </w:hyperlink>
      <w:r>
        <w:t xml:space="preserve">, Christopher J. Sova at </w:t>
      </w:r>
      <w:hyperlink r:id="rId12" w:history="1">
        <w:r w:rsidRPr="00C85024">
          <w:rPr>
            <w:rStyle w:val="Hyperlink"/>
            <w:szCs w:val="22"/>
          </w:rPr>
          <w:t>Christopher.Sova@fcc.gov</w:t>
        </w:r>
      </w:hyperlink>
      <w:r>
        <w:t xml:space="preserve">, </w:t>
      </w:r>
      <w:r w:rsidRPr="00AC3AA2">
        <w:t xml:space="preserve">Kenneth M. Scheibel, Jr. </w:t>
      </w:r>
      <w:r>
        <w:t xml:space="preserve">at </w:t>
      </w:r>
      <w:hyperlink r:id="rId13" w:history="1">
        <w:r w:rsidRPr="00EB051D">
          <w:rPr>
            <w:rStyle w:val="Hyperlink"/>
          </w:rPr>
          <w:t>Kenneth.Scheibel@fcc.gov</w:t>
        </w:r>
      </w:hyperlink>
      <w:r>
        <w:t xml:space="preserve">, and Anya Baez at </w:t>
      </w:r>
      <w:hyperlink r:id="rId14" w:history="1">
        <w:r w:rsidRPr="00EB051D">
          <w:rPr>
            <w:rStyle w:val="Hyperlink"/>
          </w:rPr>
          <w:t>Anya.Baez@fcc.gov</w:t>
        </w:r>
      </w:hyperlink>
      <w:r>
        <w:t>.</w:t>
      </w:r>
    </w:p>
    <w:p w:rsidR="000D15C9" w:rsidP="000D15C9" w14:paraId="574625E5" w14:textId="77777777">
      <w:pPr>
        <w:pStyle w:val="ParaNum"/>
        <w:rPr>
          <w:szCs w:val="22"/>
        </w:rPr>
      </w:pPr>
      <w:bookmarkStart w:id="6" w:name="_Ref51257150"/>
      <w:bookmarkEnd w:id="5"/>
      <w:r w:rsidRPr="00397A5B">
        <w:rPr>
          <w:b/>
          <w:szCs w:val="22"/>
          <w:u w:val="single"/>
        </w:rPr>
        <w:t>Compliance Reports</w:t>
      </w:r>
      <w:r>
        <w:rPr>
          <w:szCs w:val="22"/>
        </w:rPr>
        <w:t xml:space="preserve">.  </w:t>
      </w:r>
      <w:r>
        <w:t>Athenian</w:t>
      </w:r>
      <w:r w:rsidRPr="008F2329">
        <w:t xml:space="preserve"> shall file </w:t>
      </w:r>
      <w:r w:rsidRPr="00AA3708">
        <w:t>Compliance Reports</w:t>
      </w:r>
      <w:r w:rsidRPr="008F2329">
        <w:t xml:space="preserve"> with the Commission ninety (90) </w:t>
      </w:r>
      <w:r>
        <w:t xml:space="preserve">calendar </w:t>
      </w:r>
      <w:r w:rsidRPr="008F2329">
        <w:t>days after the Effective Date, twelve (12) months after the Effective Date, twenty-four (24) months after the Effective Date, thirty-six (36) months after the Effective Date, forty-eight (48) months after the Effective Date</w:t>
      </w:r>
      <w:r>
        <w:t>, and sixty (60) months after the Effective Date</w:t>
      </w:r>
      <w:r w:rsidRPr="008F2329">
        <w:rPr>
          <w:szCs w:val="22"/>
        </w:rPr>
        <w:t>.</w:t>
      </w:r>
      <w:bookmarkEnd w:id="6"/>
    </w:p>
    <w:p w:rsidR="000D15C9" w:rsidP="00DC0572" w14:paraId="39289CA1" w14:textId="77777777">
      <w:pPr>
        <w:numPr>
          <w:ilvl w:val="0"/>
          <w:numId w:val="6"/>
        </w:numPr>
        <w:tabs>
          <w:tab w:val="clear" w:pos="1152"/>
        </w:tabs>
        <w:spacing w:after="120"/>
        <w:ind w:left="1890" w:hanging="450"/>
        <w:rPr>
          <w:szCs w:val="22"/>
        </w:rPr>
      </w:pPr>
      <w:r>
        <w:rPr>
          <w:bCs/>
          <w:color w:val="000000"/>
          <w:szCs w:val="22"/>
        </w:rPr>
        <w:t xml:space="preserve">Each </w:t>
      </w:r>
      <w:r>
        <w:rPr>
          <w:szCs w:val="22"/>
        </w:rPr>
        <w:t>Compliance Report shall include a detailed description of Athenian’s efforts during the relevant period to comply with the terms and conditions of this Consent Decree</w:t>
      </w:r>
      <w:r w:rsidRPr="00CB74F9">
        <w:t xml:space="preserve"> and</w:t>
      </w:r>
      <w:r>
        <w:rPr>
          <w:szCs w:val="22"/>
        </w:rPr>
        <w:t xml:space="preserve"> the </w:t>
      </w:r>
      <w:r w:rsidRPr="00501243">
        <w:rPr>
          <w:color w:val="000000"/>
          <w:szCs w:val="22"/>
        </w:rPr>
        <w:t>Underwriting Laws</w:t>
      </w:r>
      <w:r>
        <w:rPr>
          <w:szCs w:val="22"/>
        </w:rPr>
        <w:t xml:space="preserve">.  </w:t>
      </w:r>
      <w:r w:rsidRPr="00AA3708">
        <w:rPr>
          <w:szCs w:val="22"/>
        </w:rPr>
        <w:t xml:space="preserve">In addition, each Compliance Report shall include a certification by the Compliance Officer, as an agent and on behalf of </w:t>
      </w:r>
      <w:r>
        <w:rPr>
          <w:szCs w:val="22"/>
        </w:rPr>
        <w:t>Athenian</w:t>
      </w:r>
      <w:r w:rsidRPr="00AA3708">
        <w:rPr>
          <w:szCs w:val="22"/>
        </w:rPr>
        <w:t xml:space="preserve">, stating that the Compliance Officer has personal knowledge that </w:t>
      </w:r>
      <w:r>
        <w:rPr>
          <w:szCs w:val="22"/>
        </w:rPr>
        <w:t>Athenian</w:t>
      </w:r>
      <w:r w:rsidRPr="00AA3708">
        <w:rPr>
          <w:szCs w:val="22"/>
        </w:rPr>
        <w:t xml:space="preserve">:  (i) has established and implemented the Compliance Plan; (ii) has utilized the Underwriting Operating Procedures since the implementation of the Compliance Plan; and (iii) is not aware of any instances of noncompliance with the terms and conditions of this Consent Decree, including the reporting obligations set forth in </w:t>
      </w:r>
      <w:r w:rsidRPr="00AA3708">
        <w:t xml:space="preserve">Paragraphs </w:t>
      </w:r>
      <w:r w:rsidRPr="002A5252">
        <w:t>14 and 15</w:t>
      </w:r>
      <w:r w:rsidRPr="00AA3708">
        <w:rPr>
          <w:szCs w:val="22"/>
        </w:rPr>
        <w:t xml:space="preserve"> of this Consent Decree.</w:t>
      </w:r>
    </w:p>
    <w:p w:rsidR="000D15C9" w:rsidP="00DC0572" w14:paraId="660DAF8B" w14:textId="77777777">
      <w:pPr>
        <w:widowControl/>
        <w:numPr>
          <w:ilvl w:val="0"/>
          <w:numId w:val="6"/>
        </w:numPr>
        <w:tabs>
          <w:tab w:val="clear" w:pos="1152"/>
        </w:tabs>
        <w:spacing w:after="120"/>
        <w:ind w:left="1886" w:hanging="446"/>
        <w:rPr>
          <w:szCs w:val="22"/>
        </w:rPr>
      </w:pPr>
      <w:r w:rsidRPr="00AA3708">
        <w:rPr>
          <w:szCs w:val="22"/>
        </w:rPr>
        <w:t xml:space="preserve">The Compliance Officer’s certification shall be accompanied by a statement explaining the basis for such certification and shall comply with </w:t>
      </w:r>
      <w:r>
        <w:rPr>
          <w:szCs w:val="22"/>
        </w:rPr>
        <w:t>section</w:t>
      </w:r>
      <w:r w:rsidRPr="00AA3708">
        <w:rPr>
          <w:szCs w:val="22"/>
        </w:rPr>
        <w:t xml:space="preserve"> 1.16 of the </w:t>
      </w:r>
      <w:r w:rsidRPr="00AA3708">
        <w:rPr>
          <w:szCs w:val="22"/>
        </w:rPr>
        <w:t>Rules and be subscribed to as true under penalty of perjury in substantially the form set forth therein.</w:t>
      </w:r>
      <w:r>
        <w:rPr>
          <w:rStyle w:val="FootnoteReference"/>
          <w:szCs w:val="22"/>
        </w:rPr>
        <w:footnoteReference w:id="22"/>
      </w:r>
    </w:p>
    <w:p w:rsidR="000D15C9" w:rsidP="00DC0572" w14:paraId="36144648" w14:textId="77777777">
      <w:pPr>
        <w:widowControl/>
        <w:numPr>
          <w:ilvl w:val="0"/>
          <w:numId w:val="6"/>
        </w:numPr>
        <w:tabs>
          <w:tab w:val="clear" w:pos="1152"/>
        </w:tabs>
        <w:spacing w:after="120"/>
        <w:ind w:left="1890" w:hanging="450"/>
        <w:rPr>
          <w:szCs w:val="22"/>
        </w:rPr>
      </w:pPr>
      <w:r w:rsidRPr="00741796">
        <w:rPr>
          <w:szCs w:val="22"/>
        </w:rPr>
        <w:t xml:space="preserve">If the Compliance Officer cannot provide the requisite certification, the Compliance Officer, as an agent and on behalf of </w:t>
      </w:r>
      <w:r>
        <w:rPr>
          <w:szCs w:val="22"/>
        </w:rPr>
        <w:t>Athenian</w:t>
      </w:r>
      <w:r w:rsidRPr="00741796">
        <w:rPr>
          <w:szCs w:val="22"/>
        </w:rPr>
        <w:t xml:space="preserve">, shall provide the Commission with a detailed explanation of the reason(s) why and describe fully:  (i) each instance of noncompliance; (ii) the steps that </w:t>
      </w:r>
      <w:r>
        <w:rPr>
          <w:szCs w:val="22"/>
        </w:rPr>
        <w:t>Athenian</w:t>
      </w:r>
      <w:r w:rsidRPr="00741796">
        <w:rPr>
          <w:szCs w:val="22"/>
        </w:rPr>
        <w:t xml:space="preserve"> has taken or will take to address such noncompliance, including the schedule on which proposed remedial actions will be taken; and (iii) the steps that </w:t>
      </w:r>
      <w:r>
        <w:rPr>
          <w:szCs w:val="22"/>
        </w:rPr>
        <w:t>Athenian</w:t>
      </w:r>
      <w:r w:rsidRPr="00741796">
        <w:rPr>
          <w:szCs w:val="22"/>
        </w:rPr>
        <w:t xml:space="preserve"> has taken or will take to prevent the recurrence of any such noncompliance, including the schedule on which such preventive action</w:t>
      </w:r>
      <w:r>
        <w:rPr>
          <w:szCs w:val="22"/>
        </w:rPr>
        <w:t xml:space="preserve"> </w:t>
      </w:r>
      <w:r w:rsidRPr="00741796">
        <w:rPr>
          <w:szCs w:val="22"/>
        </w:rPr>
        <w:t xml:space="preserve">will be taken. </w:t>
      </w:r>
    </w:p>
    <w:p w:rsidR="000D15C9" w:rsidP="00DC0572" w14:paraId="42D90961" w14:textId="5BB951EE">
      <w:pPr>
        <w:widowControl/>
        <w:numPr>
          <w:ilvl w:val="0"/>
          <w:numId w:val="6"/>
        </w:numPr>
        <w:tabs>
          <w:tab w:val="clear" w:pos="1152"/>
        </w:tabs>
        <w:spacing w:after="120"/>
        <w:ind w:left="1886" w:hanging="446"/>
        <w:rPr>
          <w:szCs w:val="22"/>
        </w:rPr>
      </w:pPr>
      <w:r w:rsidRPr="00741796">
        <w:rPr>
          <w:szCs w:val="22"/>
        </w:rPr>
        <w:t xml:space="preserve">All Compliance Reports shall be submitted </w:t>
      </w:r>
      <w:bookmarkStart w:id="7" w:name="_Hlk10200701"/>
      <w:r w:rsidRPr="00741796">
        <w:rPr>
          <w:szCs w:val="22"/>
        </w:rPr>
        <w:t xml:space="preserve">to the Chief, Investigations and Hearings Division, Enforcement Bureau, Federal Communications Commission, </w:t>
      </w:r>
      <w:r w:rsidRPr="00782872">
        <w:t>45 L Street, NE, Washington, DC 20554</w:t>
      </w:r>
      <w:r>
        <w:t xml:space="preserve">, with a copy submitted electronically to Jeffrey J. Gee at </w:t>
      </w:r>
      <w:hyperlink r:id="rId11" w:history="1">
        <w:r w:rsidRPr="00C85024">
          <w:rPr>
            <w:rStyle w:val="Hyperlink"/>
            <w:szCs w:val="22"/>
          </w:rPr>
          <w:t>Jeffrey.Gee@fcc.gov</w:t>
        </w:r>
      </w:hyperlink>
      <w:r>
        <w:t xml:space="preserve">, Christopher J. Sova at </w:t>
      </w:r>
      <w:hyperlink r:id="rId12" w:history="1">
        <w:r w:rsidRPr="00C85024">
          <w:rPr>
            <w:rStyle w:val="Hyperlink"/>
            <w:szCs w:val="22"/>
          </w:rPr>
          <w:t>Christopher.Sova@fcc.gov</w:t>
        </w:r>
      </w:hyperlink>
      <w:r>
        <w:t xml:space="preserve">, </w:t>
      </w:r>
      <w:r w:rsidRPr="00AC3AA2">
        <w:t xml:space="preserve">Kenneth M. Scheibel, Jr. </w:t>
      </w:r>
      <w:r>
        <w:t xml:space="preserve">at </w:t>
      </w:r>
      <w:hyperlink r:id="rId13" w:history="1">
        <w:r w:rsidRPr="00EB051D">
          <w:rPr>
            <w:rStyle w:val="Hyperlink"/>
          </w:rPr>
          <w:t>Kenneth.Scheibel@fcc.gov</w:t>
        </w:r>
      </w:hyperlink>
      <w:r>
        <w:t xml:space="preserve">, and Anya Baez at </w:t>
      </w:r>
      <w:hyperlink r:id="rId14" w:history="1">
        <w:r w:rsidRPr="00EB051D">
          <w:rPr>
            <w:rStyle w:val="Hyperlink"/>
          </w:rPr>
          <w:t>Anya.Baez@fcc.gov</w:t>
        </w:r>
      </w:hyperlink>
      <w:r>
        <w:t>.</w:t>
      </w:r>
      <w:r w:rsidRPr="00F9645E">
        <w:rPr>
          <w:szCs w:val="22"/>
        </w:rPr>
        <w:t xml:space="preserve">  </w:t>
      </w:r>
    </w:p>
    <w:bookmarkEnd w:id="7"/>
    <w:p w:rsidR="000D15C9" w:rsidRPr="00280809" w:rsidP="000D15C9" w14:paraId="1B49A42F" w14:textId="77777777">
      <w:pPr>
        <w:pStyle w:val="ParaNum"/>
      </w:pPr>
      <w:r>
        <w:rPr>
          <w:b/>
          <w:u w:val="single"/>
        </w:rPr>
        <w:t>Termination Date</w:t>
      </w:r>
      <w:r>
        <w:t xml:space="preserve">.  Unless stated otherwise, the requirements set forth in </w:t>
      </w:r>
      <w:r w:rsidRPr="00280809">
        <w:t xml:space="preserve">Paragraphs </w:t>
      </w:r>
      <w:r w:rsidRPr="00F26D4E">
        <w:t>13 through 16</w:t>
      </w:r>
      <w:r w:rsidRPr="00280809">
        <w:t xml:space="preserve"> of this Consent Decree shall expire sixty (60) months after the Effective Date.</w:t>
      </w:r>
    </w:p>
    <w:p w:rsidR="000D15C9" w:rsidRPr="00B30AF2" w:rsidP="000D15C9" w14:paraId="732C5FA9" w14:textId="35EF9F48">
      <w:pPr>
        <w:pStyle w:val="ParaNum"/>
        <w:rPr>
          <w:szCs w:val="22"/>
        </w:rPr>
      </w:pPr>
      <w:bookmarkStart w:id="8" w:name="_Ref51251500"/>
      <w:r w:rsidRPr="00280809">
        <w:rPr>
          <w:b/>
          <w:u w:val="single"/>
        </w:rPr>
        <w:t>Civil Penalty</w:t>
      </w:r>
      <w:r w:rsidRPr="00280809">
        <w:t xml:space="preserve">.  </w:t>
      </w:r>
      <w:r>
        <w:t>Athenian</w:t>
      </w:r>
      <w:r w:rsidRPr="00280809">
        <w:t xml:space="preserve"> shall pay a civil penalty to the United States Treasury in the amount of </w:t>
      </w:r>
      <w:r>
        <w:t>ten</w:t>
      </w:r>
      <w:r w:rsidRPr="00AA3708">
        <w:t xml:space="preserve"> </w:t>
      </w:r>
      <w:r>
        <w:t>t</w:t>
      </w:r>
      <w:r w:rsidRPr="00AA3708">
        <w:t xml:space="preserve">housand </w:t>
      </w:r>
      <w:r>
        <w:t>d</w:t>
      </w:r>
      <w:r w:rsidRPr="00AA3708">
        <w:t>ollars ($1</w:t>
      </w:r>
      <w:r>
        <w:t>0</w:t>
      </w:r>
      <w:r w:rsidRPr="00AA3708">
        <w:t>,000).</w:t>
      </w:r>
      <w:r w:rsidRPr="00280809">
        <w:t xml:space="preserve">  Such payment shall be made in monthly installments (each an Installment Payment).  The first Installment Payment in the amount of $</w:t>
      </w:r>
      <w:r>
        <w:t>1</w:t>
      </w:r>
      <w:r w:rsidRPr="00280809">
        <w:t xml:space="preserve">,500 is due within ten business days after the Effective Date.  Thereafter, subsequent Installment Payments of $500 will be due on the first day of each subsequent month thereafter, until the civil penalty has been paid in full.  </w:t>
      </w:r>
      <w:r>
        <w:t>Athenian</w:t>
      </w:r>
      <w:r w:rsidRPr="00280809">
        <w:t xml:space="preserve"> acknowledges and agrees that upon execution of this Consent Decree, the civil penalty and</w:t>
      </w:r>
      <w:r w:rsidRPr="00970C3F">
        <w:t xml:space="preserve"> each Installment Payment shall become a “Claim” or “Debt” as defined in 31 U.S.C. § 3701(b)(1).</w:t>
      </w:r>
      <w:r>
        <w:rPr>
          <w:vertAlign w:val="superscript"/>
        </w:rPr>
        <w:footnoteReference w:id="23"/>
      </w:r>
      <w:r w:rsidRPr="00970C3F">
        <w:t xml:space="preserve">  Upon an Event of Default, all procedures for collection as permitted by law may, at the Commission’s discretion, be </w:t>
      </w:r>
      <w:r w:rsidRPr="00B30AF2">
        <w:rPr>
          <w:szCs w:val="22"/>
        </w:rPr>
        <w:t xml:space="preserve">initiated.  </w:t>
      </w:r>
      <w:r>
        <w:rPr>
          <w:szCs w:val="22"/>
        </w:rPr>
        <w:t>Athenian</w:t>
      </w:r>
      <w:r w:rsidRPr="00AA3708">
        <w:rPr>
          <w:szCs w:val="22"/>
        </w:rPr>
        <w:t xml:space="preserve"> shall send electronic notification of payment on the date said payment is made to the Chief, Investigations and Hearings Division,</w:t>
      </w:r>
      <w:r w:rsidRPr="00B30AF2">
        <w:rPr>
          <w:szCs w:val="22"/>
        </w:rPr>
        <w:t xml:space="preserve"> Enforcement Bureau, Federal Communications Commission, </w:t>
      </w:r>
      <w:r w:rsidRPr="006C1345">
        <w:t>45 L Street, NE, Washington, DC 20554</w:t>
      </w:r>
      <w:r>
        <w:t xml:space="preserve">, with a copy submitted electronically to Jeffrey J. Gee at </w:t>
      </w:r>
      <w:hyperlink r:id="rId11" w:history="1">
        <w:r w:rsidRPr="00C85024">
          <w:rPr>
            <w:rStyle w:val="Hyperlink"/>
            <w:szCs w:val="22"/>
          </w:rPr>
          <w:t>Jeffrey.Gee@fcc.gov</w:t>
        </w:r>
      </w:hyperlink>
      <w:r>
        <w:t xml:space="preserve">, Christopher J. Sova at </w:t>
      </w:r>
      <w:hyperlink r:id="rId12" w:history="1">
        <w:r w:rsidRPr="00C85024">
          <w:rPr>
            <w:rStyle w:val="Hyperlink"/>
            <w:szCs w:val="22"/>
          </w:rPr>
          <w:t>Christopher.Sova@fcc.gov</w:t>
        </w:r>
      </w:hyperlink>
      <w:r>
        <w:t xml:space="preserve">, </w:t>
      </w:r>
      <w:r w:rsidRPr="00AC3AA2">
        <w:t xml:space="preserve">Kenneth M. Scheibel, Jr. </w:t>
      </w:r>
      <w:r>
        <w:t xml:space="preserve">at </w:t>
      </w:r>
      <w:hyperlink r:id="rId13" w:history="1">
        <w:r w:rsidRPr="00EB051D">
          <w:rPr>
            <w:rStyle w:val="Hyperlink"/>
          </w:rPr>
          <w:t>Kenneth.Scheibel@fcc.gov</w:t>
        </w:r>
      </w:hyperlink>
      <w:r>
        <w:t xml:space="preserve">, and Anya Baez at </w:t>
      </w:r>
      <w:hyperlink r:id="rId14" w:history="1">
        <w:r w:rsidRPr="00EB051D">
          <w:rPr>
            <w:rStyle w:val="Hyperlink"/>
          </w:rPr>
          <w:t>Anya.Baez@fcc.gov</w:t>
        </w:r>
      </w:hyperlink>
      <w:r w:rsidRPr="00B30AF2">
        <w:rPr>
          <w:szCs w:val="22"/>
        </w:rPr>
        <w:t>.  Payment of the Civil Penalty must be made by credit card, ACH (Automated Clearing House) debit from a bank account using the Commission’s Fee Filer (the Commission’s online payment system),</w:t>
      </w:r>
      <w:r>
        <w:rPr>
          <w:rStyle w:val="FootnoteReference"/>
          <w:sz w:val="22"/>
          <w:szCs w:val="22"/>
        </w:rPr>
        <w:footnoteReference w:id="24"/>
      </w:r>
      <w:r w:rsidRPr="00B30AF2">
        <w:rPr>
          <w:szCs w:val="22"/>
        </w:rPr>
        <w:t xml:space="preserve"> or by wire transfer.  The Commission no longer accepts Civil Penalty payments by check or money order.  Below are instructions that payors should follow based on the form of payment selected:</w:t>
      </w:r>
      <w:r>
        <w:rPr>
          <w:szCs w:val="22"/>
          <w:vertAlign w:val="superscript"/>
        </w:rPr>
        <w:footnoteReference w:id="25"/>
      </w:r>
      <w:bookmarkEnd w:id="8"/>
      <w:r w:rsidRPr="00B30AF2">
        <w:rPr>
          <w:szCs w:val="22"/>
        </w:rPr>
        <w:t xml:space="preserve"> </w:t>
      </w:r>
    </w:p>
    <w:p w:rsidR="000D15C9" w:rsidRPr="0011775D" w:rsidP="00DC0572" w14:paraId="085EC644" w14:textId="66945FCF">
      <w:pPr>
        <w:widowControl/>
        <w:numPr>
          <w:ilvl w:val="0"/>
          <w:numId w:val="7"/>
        </w:numPr>
        <w:spacing w:after="120"/>
        <w:rPr>
          <w:szCs w:val="22"/>
        </w:rPr>
      </w:pPr>
      <w:r w:rsidRPr="0011775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15" w:history="1">
        <w:r w:rsidRPr="00345AAC">
          <w:rPr>
            <w:rStyle w:val="Hyperlink"/>
            <w:szCs w:val="22"/>
          </w:rPr>
          <w:t>RROGWireFaxes@fcc.gov</w:t>
        </w:r>
      </w:hyperlink>
      <w:r>
        <w:rPr>
          <w:szCs w:val="22"/>
        </w:rPr>
        <w:t xml:space="preserve"> </w:t>
      </w:r>
      <w:r w:rsidRPr="0011775D">
        <w:rPr>
          <w:szCs w:val="22"/>
        </w:rPr>
        <w:t xml:space="preserve">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11775D">
        <w:rPr>
          <w:szCs w:val="22"/>
        </w:rPr>
        <w:t>type code), and enter in block number 11 the FRN(s) captioned above (Payor FRN).</w:t>
      </w:r>
      <w:r>
        <w:rPr>
          <w:rStyle w:val="FootnoteReference"/>
          <w:sz w:val="22"/>
          <w:szCs w:val="22"/>
        </w:rPr>
        <w:footnoteReference w:id="26"/>
      </w:r>
      <w:r w:rsidRPr="0011775D">
        <w:rPr>
          <w:szCs w:val="22"/>
        </w:rPr>
        <w:t xml:space="preserve">  For additional detail and wire transfer instructions, go to </w:t>
      </w:r>
      <w:hyperlink r:id="rId16" w:history="1">
        <w:r w:rsidRPr="00060E60">
          <w:rPr>
            <w:rStyle w:val="Hyperlink"/>
            <w:rFonts w:eastAsia="Calibri"/>
            <w:kern w:val="0"/>
            <w:szCs w:val="22"/>
          </w:rPr>
          <w:t>https://www.fcc.gov/licensing-databases/fees/wire-transfer</w:t>
        </w:r>
      </w:hyperlink>
      <w:r w:rsidRPr="0011775D">
        <w:rPr>
          <w:szCs w:val="22"/>
        </w:rPr>
        <w:t xml:space="preserve">.  </w:t>
      </w:r>
    </w:p>
    <w:p w:rsidR="000D15C9" w:rsidRPr="00AD0726" w:rsidP="00DC0572" w14:paraId="36E8D986" w14:textId="5B806040">
      <w:pPr>
        <w:numPr>
          <w:ilvl w:val="0"/>
          <w:numId w:val="7"/>
        </w:numPr>
        <w:spacing w:after="120"/>
      </w:pPr>
      <w:r w:rsidRPr="00AD0726">
        <w:t xml:space="preserve">Payment by credit card must be made by using the </w:t>
      </w:r>
      <w:r>
        <w:t xml:space="preserve">Commission’s </w:t>
      </w:r>
      <w:r w:rsidRPr="00AD0726">
        <w:t xml:space="preserve">Fee Filer website at </w:t>
      </w:r>
      <w:hyperlink r:id="rId17"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w:t>
      </w:r>
      <w:r>
        <w:t>CD</w:t>
      </w:r>
      <w:r w:rsidRPr="00AD0726">
        <w:t xml:space="preserve"> Account </w:t>
      </w:r>
      <w:r>
        <w:t xml:space="preserve">No. </w:t>
      </w:r>
      <w:r w:rsidRPr="00AD0726">
        <w:t xml:space="preserve">– the bill number is the </w:t>
      </w:r>
      <w:r>
        <w:t>CD</w:t>
      </w:r>
      <w:r w:rsidRPr="00AD0726">
        <w:t xml:space="preserve"> Account </w:t>
      </w:r>
      <w:r>
        <w:t>No.</w:t>
      </w:r>
      <w:r w:rsidRPr="00AD0726">
        <w:t xml:space="preserve">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0D15C9" w:rsidP="00DC0572" w14:paraId="1DEDB3B6" w14:textId="267C0A7B">
      <w:pPr>
        <w:numPr>
          <w:ilvl w:val="0"/>
          <w:numId w:val="7"/>
        </w:numPr>
        <w:spacing w:after="120"/>
      </w:pPr>
      <w:r w:rsidRPr="00AD0726">
        <w:t>Payment by ACH</w:t>
      </w:r>
      <w:r>
        <w:t xml:space="preserve"> </w:t>
      </w:r>
      <w:r w:rsidRPr="00AD0726">
        <w:t xml:space="preserve">must be made by using the Commission’s Fee Filer website at </w:t>
      </w:r>
      <w:hyperlink r:id="rId17" w:history="1">
        <w:r w:rsidRPr="00060E60">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bookmarkStart w:id="9" w:name="_Hlk51255406"/>
      <w:r w:rsidRPr="00AD0726">
        <w:t xml:space="preserve">select “Pay bills” on the Fee Filer Menu and then select the bill number associated to the </w:t>
      </w:r>
      <w:r>
        <w:t>CD</w:t>
      </w:r>
      <w:r w:rsidRPr="00AD0726">
        <w:t xml:space="preserve"> Account </w:t>
      </w:r>
      <w:r>
        <w:t xml:space="preserve">No. </w:t>
      </w:r>
      <w:r w:rsidRPr="00AD0726">
        <w:t xml:space="preserve">– the bill number is the </w:t>
      </w:r>
      <w:r>
        <w:t>CD</w:t>
      </w:r>
      <w:r w:rsidRPr="00AD0726">
        <w:t xml:space="preserve"> Account </w:t>
      </w:r>
      <w:r>
        <w:t>No.</w:t>
      </w:r>
      <w:r w:rsidRPr="00AD0726">
        <w:t xml:space="preserve">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bookmarkEnd w:id="9"/>
    </w:p>
    <w:p w:rsidR="000D15C9" w:rsidRPr="00F9645E" w:rsidP="000D15C9" w14:paraId="43141247" w14:textId="77777777">
      <w:pPr>
        <w:pStyle w:val="ParaNum"/>
        <w:widowControl/>
      </w:pPr>
      <w:r w:rsidRPr="00F9645E">
        <w:rPr>
          <w:b/>
          <w:u w:val="single"/>
        </w:rPr>
        <w:t>Event of Default</w:t>
      </w:r>
      <w:r w:rsidRPr="00F9645E">
        <w:t xml:space="preserve">.  </w:t>
      </w:r>
      <w:r>
        <w:rPr>
          <w:szCs w:val="22"/>
        </w:rPr>
        <w:t xml:space="preserve">Athenian </w:t>
      </w:r>
      <w:r w:rsidRPr="00F9645E">
        <w:t xml:space="preserve">agrees that an Event of Default shall occur upon the failure by </w:t>
      </w:r>
      <w:r>
        <w:rPr>
          <w:szCs w:val="22"/>
        </w:rPr>
        <w:t>Athenian</w:t>
      </w:r>
      <w:r w:rsidRPr="00F9645E">
        <w:rPr>
          <w:szCs w:val="22"/>
        </w:rPr>
        <w:t xml:space="preserve"> </w:t>
      </w:r>
      <w:r w:rsidRPr="00F9645E">
        <w:t>to pay the full amount of any Installment Payment on or before the due date specified in this Consent Decree.</w:t>
      </w:r>
    </w:p>
    <w:p w:rsidR="000D15C9" w:rsidP="000D15C9" w14:paraId="740DFA5E" w14:textId="77777777">
      <w:pPr>
        <w:pStyle w:val="ParaNum"/>
      </w:pPr>
      <w:r w:rsidRPr="00F9645E">
        <w:rPr>
          <w:b/>
          <w:u w:val="single"/>
        </w:rPr>
        <w:t>Interest, Charges for Collection, and Acceleration of Maturity Date</w:t>
      </w:r>
      <w:r w:rsidRPr="00F9645E">
        <w:t>.  After an Event of Default has occurred under this Consent Decree, the then unpaid amount of the civil penalty shall accrue interest, computed using the U.S. Prime Rate in effect on the date of the Event of Default plus 4.75</w:t>
      </w:r>
      <w:r>
        <w:t>%</w:t>
      </w:r>
      <w:r w:rsidRPr="00F9645E">
        <w:t xml:space="preserve">,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t>Athenian.</w:t>
      </w:r>
    </w:p>
    <w:p w:rsidR="000D15C9" w:rsidP="000D15C9" w14:paraId="574ADA6A" w14:textId="77777777">
      <w:pPr>
        <w:pStyle w:val="ParaNum"/>
      </w:pPr>
      <w:r>
        <w:rPr>
          <w:b/>
          <w:u w:val="single"/>
        </w:rPr>
        <w:t>Subsequent</w:t>
      </w:r>
      <w:r w:rsidRPr="00D72D28">
        <w:rPr>
          <w:b/>
          <w:u w:val="single"/>
        </w:rPr>
        <w:t xml:space="preserve"> Complaints; Subsequent Investigations</w:t>
      </w:r>
      <w:r w:rsidRPr="00D72D28">
        <w:t xml:space="preserve">.  </w:t>
      </w:r>
      <w:r>
        <w:t>N</w:t>
      </w:r>
      <w:r w:rsidRPr="00D72D28">
        <w:t xml:space="preserve">othing in this Consent Decree shall prevent the Commission or its delegated authority from adjudicating complaints filed pursuant to the </w:t>
      </w:r>
      <w:r w:rsidRPr="00501243">
        <w:rPr>
          <w:color w:val="000000"/>
          <w:szCs w:val="22"/>
        </w:rPr>
        <w:t>Underwriting Laws</w:t>
      </w:r>
      <w:r>
        <w:rPr>
          <w:color w:val="000000"/>
          <w:szCs w:val="22"/>
        </w:rPr>
        <w:t xml:space="preserve">, </w:t>
      </w:r>
      <w:r w:rsidRPr="00D72D28">
        <w:t xml:space="preserve">against </w:t>
      </w:r>
      <w:r>
        <w:t>Athenian</w:t>
      </w:r>
      <w:r w:rsidRPr="00D72D28">
        <w:t xml:space="preserve"> or its affiliates for alleged violations of the Act or the Rules or for any other type of alleged misconduct, </w:t>
      </w:r>
      <w:r>
        <w:t>regardless of when such misconduct took place</w:t>
      </w:r>
      <w:r w:rsidRPr="00D72D28">
        <w:t>.  The Commission’s adjudication of any such complaints will be based solely on the record developed in that proceeding.  Except as expressly provided in this Consent Decree, this Consent Decree shall not prevent the Commission from investigating new evidence of noncompliance by Licensee with the Act or the Rules.</w:t>
      </w:r>
    </w:p>
    <w:p w:rsidR="000D15C9" w:rsidRPr="007C0B39" w:rsidP="000D15C9" w14:paraId="6DA9EE7F" w14:textId="77777777">
      <w:pPr>
        <w:pStyle w:val="ParaNum"/>
        <w:widowControl/>
      </w:pPr>
      <w:r w:rsidRPr="007C0B39">
        <w:rPr>
          <w:b/>
          <w:u w:val="single"/>
        </w:rPr>
        <w:t>Waivers</w:t>
      </w:r>
      <w:r w:rsidRPr="007C0B39">
        <w:t xml:space="preserve">.  As of the Effective Date, </w:t>
      </w:r>
      <w:r>
        <w:t xml:space="preserve">Athenian </w:t>
      </w:r>
      <w:r w:rsidRPr="007C0B39">
        <w:t xml:space="preserve">waives any and all rights it may have to seek administrative or judicial reconsideration, review, appeal or stay, or to otherwise challenge or contest the validity of this Consent Decree and the Adopting Order.  </w:t>
      </w:r>
      <w:r>
        <w:t>Athenian</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Athenian </w:t>
      </w:r>
      <w:r w:rsidRPr="007C0B39">
        <w:t xml:space="preserve">nor the Commission shall contest the validity of the Consent Decree or the Adopting Order, and </w:t>
      </w:r>
      <w:r>
        <w:t>Athenian</w:t>
      </w:r>
      <w:r w:rsidRPr="007C0B39">
        <w:t xml:space="preserve"> shall waive any statutory right to a trial </w:t>
      </w:r>
      <w:r w:rsidRPr="007C0B39">
        <w:rPr>
          <w:i/>
        </w:rPr>
        <w:t>de novo</w:t>
      </w:r>
      <w:r w:rsidRPr="007C0B39">
        <w:t xml:space="preserve">.  </w:t>
      </w:r>
      <w:r>
        <w:t>Athenian</w:t>
      </w:r>
      <w:r w:rsidRPr="007C0B39">
        <w:t xml:space="preserve"> hereby agrees to waive any claims it may otherwise have under the Equal Access to Justice Act</w:t>
      </w:r>
      <w:r>
        <w:rPr>
          <w:rStyle w:val="FootnoteReference"/>
          <w:szCs w:val="22"/>
        </w:rPr>
        <w:footnoteReference w:id="27"/>
      </w:r>
      <w:r w:rsidRPr="007C0B39">
        <w:t xml:space="preserve"> relating to the matters addressed in this Consent Decree.</w:t>
      </w:r>
    </w:p>
    <w:p w:rsidR="000D15C9" w:rsidRPr="007C0B39" w:rsidP="000D15C9" w14:paraId="2B2F5DBF" w14:textId="77777777">
      <w:pPr>
        <w:pStyle w:val="ParaNum"/>
        <w:widowControl/>
      </w:pPr>
      <w:r w:rsidRPr="007C0B39">
        <w:rPr>
          <w:b/>
          <w:u w:val="single"/>
        </w:rPr>
        <w:t>Severability</w:t>
      </w:r>
      <w:r w:rsidRPr="007C0B3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D15C9" w:rsidRPr="007C0B39" w:rsidP="000D15C9" w14:paraId="532C3989" w14:textId="77777777">
      <w:pPr>
        <w:pStyle w:val="ParaNum"/>
        <w:widowControl/>
      </w:pPr>
      <w:r w:rsidRPr="007C0B39">
        <w:rPr>
          <w:b/>
          <w:u w:val="single"/>
        </w:rPr>
        <w:t>Invalidity</w:t>
      </w:r>
      <w:r w:rsidRPr="007C0B39">
        <w:t>.  In the event that this Consent Decree in its entirety is rendered invalid by any court of competent jurisdiction, it shall become null and void and may not be used in any manner in any legal proceeding.</w:t>
      </w:r>
    </w:p>
    <w:p w:rsidR="000D15C9" w:rsidRPr="007C0B39" w:rsidP="000D15C9" w14:paraId="62A80BBE" w14:textId="77777777">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Pr>
          <w:szCs w:val="22"/>
        </w:rPr>
        <w:t>Athenian</w:t>
      </w:r>
      <w:r w:rsidRPr="007C0B39">
        <w:rPr>
          <w:szCs w:val="22"/>
        </w:rPr>
        <w:t xml:space="preserve"> </w:t>
      </w:r>
      <w:r w:rsidRPr="007C0B39">
        <w:t xml:space="preserve">does not expressly consent) that provision will be superseded by such Rule or </w:t>
      </w:r>
      <w:r>
        <w:t>o</w:t>
      </w:r>
      <w:r w:rsidRPr="007C0B39">
        <w:t>rder.</w:t>
      </w:r>
    </w:p>
    <w:p w:rsidR="000D15C9" w:rsidRPr="00505062" w:rsidP="000D15C9" w14:paraId="63D76318" w14:textId="77777777">
      <w:pPr>
        <w:pStyle w:val="ParaNum"/>
        <w:widowControl/>
        <w:rPr>
          <w:szCs w:val="22"/>
        </w:rPr>
      </w:pPr>
      <w:r w:rsidRPr="007C0B39">
        <w:rPr>
          <w:b/>
          <w:u w:val="single"/>
        </w:rPr>
        <w:t>Successors</w:t>
      </w:r>
      <w:r>
        <w:rPr>
          <w:b/>
          <w:u w:val="single"/>
        </w:rPr>
        <w:t xml:space="preserve">, </w:t>
      </w:r>
      <w:r w:rsidRPr="007C0B39">
        <w:rPr>
          <w:b/>
          <w:u w:val="single"/>
        </w:rPr>
        <w:t>Assigns</w:t>
      </w:r>
      <w:r>
        <w:rPr>
          <w:b/>
          <w:u w:val="single"/>
        </w:rPr>
        <w:t>, and Transferees</w:t>
      </w:r>
      <w:r w:rsidRPr="007C0B39">
        <w:t xml:space="preserve">.  </w:t>
      </w:r>
      <w:r>
        <w:t>Athenian</w:t>
      </w:r>
      <w:r w:rsidRPr="007C0B39">
        <w:rPr>
          <w:szCs w:val="22"/>
        </w:rPr>
        <w:t xml:space="preserve"> </w:t>
      </w:r>
      <w:r w:rsidRPr="007C0B39">
        <w:t>agrees that the provisions of this Consent Decree shall be binding on its successors, assigns, and transferees</w:t>
      </w:r>
      <w:r>
        <w:t xml:space="preserve"> </w:t>
      </w:r>
      <w:r w:rsidRPr="008F2329">
        <w:t>for the duration of the agreement</w:t>
      </w:r>
      <w:r>
        <w:t>.</w:t>
      </w:r>
    </w:p>
    <w:p w:rsidR="000D15C9" w:rsidRPr="007C0B39" w:rsidP="000D15C9" w14:paraId="59017F36" w14:textId="77777777">
      <w:pPr>
        <w:pStyle w:val="ParaNum"/>
      </w:pPr>
      <w:r w:rsidRPr="007C0B39">
        <w:rPr>
          <w:b/>
          <w:u w:val="single"/>
        </w:rPr>
        <w:t>Final Settlement</w:t>
      </w:r>
      <w:r w:rsidRPr="007C0B39">
        <w:t xml:space="preserve">.  The Parties agree and acknowledge that this Consent Decree shall constitute a final settlement between the Parties with respect to the Investigation.  </w:t>
      </w:r>
    </w:p>
    <w:p w:rsidR="000D15C9" w:rsidRPr="007C0B39" w:rsidP="000D15C9" w14:paraId="297A1F3F" w14:textId="77777777">
      <w:pPr>
        <w:pStyle w:val="ParaNum"/>
      </w:pPr>
      <w:r w:rsidRPr="007C0B39">
        <w:rPr>
          <w:b/>
          <w:u w:val="single"/>
        </w:rPr>
        <w:t>Modifications</w:t>
      </w:r>
      <w:r w:rsidRPr="007C0B39">
        <w:t>.  This Consent Decree cannot be modified without the advance written consent of both Parties.</w:t>
      </w:r>
    </w:p>
    <w:p w:rsidR="000D15C9" w:rsidRPr="007C0B39" w:rsidP="000D15C9" w14:paraId="4D0D8B8D" w14:textId="77777777">
      <w:pPr>
        <w:pStyle w:val="ParaNum"/>
      </w:pPr>
      <w:r w:rsidRPr="007C0B39">
        <w:rPr>
          <w:b/>
          <w:u w:val="single"/>
        </w:rPr>
        <w:t>Paragraph Headings</w:t>
      </w:r>
      <w:r w:rsidRPr="007C0B39">
        <w:t>.  The headings of the paragraphs in this Consent Decree are inserted for convenience only and are not intended to affect the meaning or interpretation of this Consent Decree.</w:t>
      </w:r>
    </w:p>
    <w:p w:rsidR="000D15C9" w:rsidP="000D15C9" w14:paraId="1BAF8DFF" w14:textId="77777777">
      <w:pPr>
        <w:pStyle w:val="ParaNum"/>
        <w:spacing w:after="0"/>
      </w:pPr>
      <w:r w:rsidRPr="007C0B39">
        <w:rPr>
          <w:b/>
          <w:u w:val="single"/>
        </w:rPr>
        <w:t>Authorized Representative</w:t>
      </w:r>
      <w:r w:rsidRPr="007C0B39">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D15C9" w:rsidP="000D15C9" w14:paraId="38E72716" w14:textId="77777777">
      <w:pPr>
        <w:pStyle w:val="ParaNum"/>
        <w:numPr>
          <w:ilvl w:val="0"/>
          <w:numId w:val="0"/>
        </w:numPr>
        <w:spacing w:after="0"/>
        <w:ind w:left="720"/>
      </w:pPr>
    </w:p>
    <w:p w:rsidR="000D15C9" w:rsidP="000D15C9" w14:paraId="6D345BFF" w14:textId="44F00526">
      <w:pPr>
        <w:pStyle w:val="ParaNum"/>
        <w:numPr>
          <w:ilvl w:val="0"/>
          <w:numId w:val="0"/>
        </w:numPr>
        <w:ind w:left="720"/>
      </w:pPr>
    </w:p>
    <w:p w:rsidR="000D15C9" w:rsidRPr="000D15C9" w:rsidP="000D15C9" w14:paraId="47026051" w14:textId="77777777">
      <w:pPr>
        <w:pStyle w:val="ParaNum"/>
        <w:numPr>
          <w:ilvl w:val="0"/>
          <w:numId w:val="0"/>
        </w:numPr>
        <w:ind w:left="720"/>
      </w:pPr>
    </w:p>
    <w:p w:rsidR="000D15C9" w:rsidRPr="000D15C9" w:rsidP="000D15C9" w14:paraId="5D9B02F1" w14:textId="77777777">
      <w:pPr>
        <w:pStyle w:val="ParaNum"/>
        <w:numPr>
          <w:ilvl w:val="0"/>
          <w:numId w:val="0"/>
        </w:numPr>
        <w:ind w:left="720"/>
      </w:pPr>
    </w:p>
    <w:p w:rsidR="000D15C9" w:rsidRPr="000D15C9" w:rsidP="000D15C9" w14:paraId="3072DBD5" w14:textId="77777777">
      <w:pPr>
        <w:pStyle w:val="ParaNum"/>
        <w:numPr>
          <w:ilvl w:val="0"/>
          <w:numId w:val="0"/>
        </w:numPr>
        <w:ind w:left="720"/>
      </w:pPr>
    </w:p>
    <w:p w:rsidR="000D15C9" w:rsidRPr="000D15C9" w:rsidP="000D15C9" w14:paraId="5B06536B" w14:textId="77777777">
      <w:pPr>
        <w:pStyle w:val="ParaNum"/>
        <w:numPr>
          <w:ilvl w:val="0"/>
          <w:numId w:val="0"/>
        </w:numPr>
        <w:ind w:left="720"/>
      </w:pPr>
    </w:p>
    <w:p w:rsidR="000D15C9" w:rsidRPr="000D15C9" w:rsidP="000D15C9" w14:paraId="515E9B09" w14:textId="77777777">
      <w:pPr>
        <w:pStyle w:val="ParaNum"/>
        <w:numPr>
          <w:ilvl w:val="0"/>
          <w:numId w:val="0"/>
        </w:numPr>
        <w:ind w:left="720"/>
      </w:pPr>
    </w:p>
    <w:p w:rsidR="000D15C9" w:rsidRPr="000D15C9" w:rsidP="000D15C9" w14:paraId="6B3A6113" w14:textId="77777777">
      <w:pPr>
        <w:pStyle w:val="ParaNum"/>
        <w:numPr>
          <w:ilvl w:val="0"/>
          <w:numId w:val="0"/>
        </w:numPr>
        <w:ind w:left="720"/>
      </w:pPr>
    </w:p>
    <w:p w:rsidR="000D15C9" w:rsidRPr="000D15C9" w:rsidP="000D15C9" w14:paraId="719BD113" w14:textId="77777777">
      <w:pPr>
        <w:pStyle w:val="ParaNum"/>
        <w:numPr>
          <w:ilvl w:val="0"/>
          <w:numId w:val="0"/>
        </w:numPr>
        <w:ind w:left="720"/>
      </w:pPr>
    </w:p>
    <w:p w:rsidR="000D15C9" w:rsidRPr="000D15C9" w:rsidP="000D15C9" w14:paraId="7542706A" w14:textId="77777777">
      <w:pPr>
        <w:pStyle w:val="ParaNum"/>
        <w:numPr>
          <w:ilvl w:val="0"/>
          <w:numId w:val="0"/>
        </w:numPr>
        <w:ind w:left="720"/>
      </w:pPr>
    </w:p>
    <w:p w:rsidR="000D15C9" w:rsidRPr="000D15C9" w:rsidP="000D15C9" w14:paraId="682C857B" w14:textId="77777777">
      <w:pPr>
        <w:pStyle w:val="ParaNum"/>
        <w:numPr>
          <w:ilvl w:val="0"/>
          <w:numId w:val="0"/>
        </w:numPr>
        <w:ind w:left="720"/>
      </w:pPr>
    </w:p>
    <w:p w:rsidR="000D15C9" w:rsidRPr="000D15C9" w:rsidP="000D15C9" w14:paraId="040A9987" w14:textId="77777777">
      <w:pPr>
        <w:pStyle w:val="ParaNum"/>
        <w:numPr>
          <w:ilvl w:val="0"/>
          <w:numId w:val="0"/>
        </w:numPr>
        <w:ind w:left="720"/>
      </w:pPr>
    </w:p>
    <w:p w:rsidR="000D15C9" w:rsidRPr="000D15C9" w:rsidP="000D15C9" w14:paraId="017B626E" w14:textId="77777777">
      <w:pPr>
        <w:pStyle w:val="ParaNum"/>
        <w:numPr>
          <w:ilvl w:val="0"/>
          <w:numId w:val="0"/>
        </w:numPr>
        <w:ind w:left="720"/>
      </w:pPr>
    </w:p>
    <w:p w:rsidR="000D15C9" w:rsidP="000D15C9" w14:paraId="16D33A5B" w14:textId="25B08F6F">
      <w:pPr>
        <w:pStyle w:val="ParaNum"/>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rsidR="000D15C9" w:rsidP="000D15C9" w14:paraId="407273D9" w14:textId="4135D147">
      <w:pPr>
        <w:widowControl/>
      </w:pPr>
    </w:p>
    <w:p w:rsidR="000D15C9" w:rsidP="000D15C9" w14:paraId="01D32DEB" w14:textId="77777777">
      <w:pPr>
        <w:widowControl/>
      </w:pPr>
    </w:p>
    <w:p w:rsidR="000D15C9" w:rsidP="000D15C9" w14:paraId="1D953AEF" w14:textId="77777777">
      <w:pPr>
        <w:keepNext/>
        <w:keepLines/>
      </w:pPr>
    </w:p>
    <w:p w:rsidR="000D15C9" w:rsidP="000D15C9" w14:paraId="01029CE6" w14:textId="77777777">
      <w:pPr>
        <w:keepNext/>
        <w:keepLines/>
      </w:pPr>
    </w:p>
    <w:p w:rsidR="000D15C9" w:rsidP="000D15C9" w14:paraId="5C49E544" w14:textId="77777777">
      <w:pPr>
        <w:keepNext/>
        <w:keepLines/>
      </w:pPr>
    </w:p>
    <w:p w:rsidR="000D15C9" w:rsidRPr="007C0B39" w:rsidP="000D15C9" w14:paraId="19ED4703" w14:textId="77777777">
      <w:pPr>
        <w:keepNext/>
        <w:keepLines/>
      </w:pPr>
      <w:r w:rsidRPr="007C0B39">
        <w:t>________________________________</w:t>
      </w:r>
    </w:p>
    <w:p w:rsidR="000D15C9" w:rsidRPr="007C0B39" w:rsidP="000D15C9" w14:paraId="3EC9ECD8" w14:textId="77777777">
      <w:pPr>
        <w:keepNext/>
        <w:keepLines/>
      </w:pPr>
      <w:r>
        <w:t>Rosemary C. Harold</w:t>
      </w:r>
    </w:p>
    <w:p w:rsidR="000D15C9" w:rsidRPr="007C0B39" w:rsidP="000D15C9" w14:paraId="6390017E" w14:textId="77777777">
      <w:pPr>
        <w:keepNext/>
        <w:keepLines/>
      </w:pPr>
      <w:r>
        <w:t>Chief</w:t>
      </w:r>
    </w:p>
    <w:p w:rsidR="000D15C9" w:rsidP="000D15C9" w14:paraId="2696359D" w14:textId="77777777">
      <w:pPr>
        <w:pStyle w:val="ParaNum"/>
        <w:numPr>
          <w:ilvl w:val="0"/>
          <w:numId w:val="0"/>
        </w:numPr>
      </w:pPr>
      <w:r w:rsidRPr="007C0B39">
        <w:t>Enforcement Bureau</w:t>
      </w:r>
    </w:p>
    <w:p w:rsidR="000D15C9" w:rsidP="000D15C9" w14:paraId="6B937EA8" w14:textId="77777777">
      <w:pPr>
        <w:pStyle w:val="ParaNum"/>
        <w:numPr>
          <w:ilvl w:val="0"/>
          <w:numId w:val="0"/>
        </w:numPr>
      </w:pPr>
    </w:p>
    <w:p w:rsidR="000D15C9" w:rsidP="000D15C9" w14:paraId="146EDCD5" w14:textId="77777777">
      <w:pPr>
        <w:pStyle w:val="ParaNum"/>
        <w:numPr>
          <w:ilvl w:val="0"/>
          <w:numId w:val="0"/>
        </w:numPr>
      </w:pPr>
    </w:p>
    <w:p w:rsidR="000D15C9" w:rsidRPr="007C0B39" w:rsidP="000D15C9" w14:paraId="7C1A9D22" w14:textId="77777777">
      <w:pPr>
        <w:keepNext/>
        <w:keepLines/>
      </w:pPr>
      <w:r w:rsidRPr="007C0B39">
        <w:t>________________________________</w:t>
      </w:r>
    </w:p>
    <w:p w:rsidR="000D15C9" w:rsidP="000D15C9" w14:paraId="240B25AD" w14:textId="77777777">
      <w:pPr>
        <w:pStyle w:val="ParaNum"/>
        <w:numPr>
          <w:ilvl w:val="0"/>
          <w:numId w:val="0"/>
        </w:numPr>
      </w:pPr>
      <w:r w:rsidRPr="007C0B39">
        <w:t>Date</w:t>
      </w:r>
    </w:p>
    <w:p w:rsidR="000D15C9" w:rsidP="000D15C9" w14:paraId="5AB12F4B" w14:textId="77777777">
      <w:pPr>
        <w:pStyle w:val="ParaNum"/>
        <w:numPr>
          <w:ilvl w:val="0"/>
          <w:numId w:val="0"/>
        </w:numPr>
      </w:pPr>
    </w:p>
    <w:p w:rsidR="000D15C9" w:rsidP="000D15C9" w14:paraId="5A703B18" w14:textId="77777777">
      <w:pPr>
        <w:pStyle w:val="ParaNum"/>
        <w:numPr>
          <w:ilvl w:val="0"/>
          <w:numId w:val="0"/>
        </w:numPr>
      </w:pPr>
    </w:p>
    <w:p w:rsidR="000D15C9" w:rsidP="000D15C9" w14:paraId="1E97E24F" w14:textId="77777777">
      <w:pPr>
        <w:pStyle w:val="ParaNum"/>
        <w:numPr>
          <w:ilvl w:val="0"/>
          <w:numId w:val="0"/>
        </w:numPr>
      </w:pPr>
    </w:p>
    <w:p w:rsidR="000D15C9" w:rsidRPr="007C0B39" w:rsidP="000D15C9" w14:paraId="43D1BB54" w14:textId="77777777">
      <w:pPr>
        <w:keepLines/>
      </w:pPr>
      <w:r w:rsidRPr="007C0B39">
        <w:t>_______________________________</w:t>
      </w:r>
    </w:p>
    <w:p w:rsidR="000D15C9" w:rsidP="000D15C9" w14:paraId="600C5C0E" w14:textId="77777777">
      <w:pPr>
        <w:keepLines/>
      </w:pPr>
      <w:r>
        <w:t xml:space="preserve">Paul Francis </w:t>
      </w:r>
    </w:p>
    <w:p w:rsidR="000D15C9" w:rsidP="000D15C9" w14:paraId="55347D6B" w14:textId="77777777">
      <w:pPr>
        <w:keepLines/>
      </w:pPr>
      <w:r>
        <w:t>President</w:t>
      </w:r>
    </w:p>
    <w:p w:rsidR="000D15C9" w:rsidP="000D15C9" w14:paraId="59BC6722" w14:textId="77777777">
      <w:pPr>
        <w:pStyle w:val="ParaNum"/>
        <w:numPr>
          <w:ilvl w:val="0"/>
          <w:numId w:val="0"/>
        </w:numPr>
      </w:pPr>
      <w:r>
        <w:t>The Athenian Multicultural Study Club</w:t>
      </w:r>
    </w:p>
    <w:p w:rsidR="000D15C9" w:rsidP="000D15C9" w14:paraId="2BCD6775" w14:textId="77777777">
      <w:pPr>
        <w:pStyle w:val="ParaNum"/>
        <w:numPr>
          <w:ilvl w:val="0"/>
          <w:numId w:val="0"/>
        </w:numPr>
      </w:pPr>
    </w:p>
    <w:p w:rsidR="000D15C9" w:rsidP="000D15C9" w14:paraId="0206C0C2" w14:textId="77777777">
      <w:pPr>
        <w:pStyle w:val="ParaNum"/>
        <w:numPr>
          <w:ilvl w:val="0"/>
          <w:numId w:val="0"/>
        </w:numPr>
      </w:pPr>
    </w:p>
    <w:p w:rsidR="000D15C9" w:rsidRPr="007C0B39" w:rsidP="000D15C9" w14:paraId="581D905E" w14:textId="77777777">
      <w:pPr>
        <w:keepNext/>
        <w:keepLines/>
      </w:pPr>
      <w:r w:rsidRPr="007C0B39">
        <w:t>________________________________</w:t>
      </w:r>
    </w:p>
    <w:p w:rsidR="000D15C9" w:rsidP="000D15C9" w14:paraId="01384158" w14:textId="77777777">
      <w:pPr>
        <w:pStyle w:val="ParaNum"/>
        <w:numPr>
          <w:ilvl w:val="0"/>
          <w:numId w:val="0"/>
        </w:numPr>
      </w:pPr>
      <w:r w:rsidRPr="007C0B39">
        <w:t>Date</w:t>
      </w:r>
      <w:r>
        <w:t xml:space="preserve"> </w:t>
      </w:r>
    </w:p>
    <w:p w:rsidR="000D15C9" w:rsidRPr="00C5171A" w:rsidP="000D15C9" w14:paraId="5AEF9288" w14:textId="09D0D65B">
      <w:pPr>
        <w:outlineLvl w:val="0"/>
        <w:rPr>
          <w:szCs w:val="22"/>
        </w:rPr>
      </w:pPr>
    </w:p>
    <w:sectPr w:rsidSect="0055614C">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7B2AC9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3370C6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9E72BA" w14:paraId="768027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6F015AC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7AA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D8FBA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23217" w14:paraId="2FD62E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E66B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0572" w14:paraId="181455F8" w14:textId="77777777">
      <w:pPr>
        <w:rPr>
          <w:noProof/>
        </w:rPr>
      </w:pPr>
      <w:r>
        <w:rPr>
          <w:noProof/>
        </w:rPr>
        <w:separator/>
      </w:r>
    </w:p>
  </w:footnote>
  <w:footnote w:type="continuationSeparator" w:id="1">
    <w:p w:rsidR="00DC0572" w14:paraId="38D9D7CE" w14:textId="77777777">
      <w:pPr>
        <w:rPr>
          <w:sz w:val="20"/>
        </w:rPr>
      </w:pPr>
      <w:r>
        <w:rPr>
          <w:sz w:val="20"/>
        </w:rPr>
        <w:t xml:space="preserve">(Continued from previous page)  </w:t>
      </w:r>
      <w:r>
        <w:rPr>
          <w:sz w:val="20"/>
        </w:rPr>
        <w:separator/>
      </w:r>
    </w:p>
  </w:footnote>
  <w:footnote w:type="continuationNotice" w:id="2">
    <w:p w:rsidR="00DC0572" w14:paraId="587935DF" w14:textId="77777777">
      <w:pPr>
        <w:rPr>
          <w:sz w:val="20"/>
        </w:rPr>
      </w:pPr>
      <w:r>
        <w:rPr>
          <w:sz w:val="20"/>
        </w:rPr>
        <w:t>(continued….)</w:t>
      </w:r>
    </w:p>
  </w:footnote>
  <w:footnote w:id="3">
    <w:p w:rsidR="00877273" w14:paraId="35D2DF4A" w14:textId="46B9ECE3">
      <w:pPr>
        <w:pStyle w:val="FootnoteText"/>
      </w:pPr>
      <w:r>
        <w:rPr>
          <w:rStyle w:val="FootnoteReference"/>
        </w:rPr>
        <w:footnoteRef/>
      </w:r>
      <w:r>
        <w:t xml:space="preserve"> </w:t>
      </w:r>
      <w:r w:rsidR="003A5B28">
        <w:t>Athenian</w:t>
      </w:r>
      <w:r>
        <w:t xml:space="preserve"> submitted financial documentation to the Enforcement Bureau, including federal tax returns for </w:t>
      </w:r>
      <w:r w:rsidRPr="003A5B28" w:rsidR="003A5B28">
        <w:t>the years 2017-2019</w:t>
      </w:r>
      <w:r>
        <w:t xml:space="preserve">, to support a reduction of the Consent Decree’s civil penalty, based upon </w:t>
      </w:r>
      <w:r w:rsidRPr="003A5B28" w:rsidR="003A5B28">
        <w:t xml:space="preserve">Athenian’s </w:t>
      </w:r>
      <w:r w:rsidR="00284531">
        <w:t>limited a</w:t>
      </w:r>
      <w:r>
        <w:t>bility to pay. The $1</w:t>
      </w:r>
      <w:r w:rsidR="00A848C2">
        <w:t>0</w:t>
      </w:r>
      <w:r>
        <w:t xml:space="preserve">,000 civil penalty set forth in the Consent Decree reflects consideration of </w:t>
      </w:r>
      <w:r w:rsidRPr="00A848C2" w:rsidR="00A848C2">
        <w:t xml:space="preserve">Athenian’s </w:t>
      </w:r>
      <w:r>
        <w:t>demonstrated inability to pay</w:t>
      </w:r>
      <w:r w:rsidR="00284531">
        <w:t xml:space="preserve"> the otherwise required amount</w:t>
      </w:r>
      <w:r>
        <w:t>.</w:t>
      </w:r>
    </w:p>
  </w:footnote>
  <w:footnote w:id="4">
    <w:p w:rsidR="00BA41C1" w:rsidRPr="00B2416A" w:rsidP="00C5171A" w14:paraId="4FD79299" w14:textId="155FA1CB">
      <w:pPr>
        <w:pStyle w:val="FootnoteText"/>
        <w:rPr>
          <w:lang w:val="es-UY"/>
        </w:rPr>
      </w:pPr>
      <w:r w:rsidRPr="000D028E">
        <w:rPr>
          <w:rStyle w:val="FootnoteReference"/>
        </w:rPr>
        <w:footnoteRef/>
      </w:r>
      <w:r w:rsidRPr="00B2416A">
        <w:rPr>
          <w:lang w:val="es-UY"/>
        </w:rPr>
        <w:t xml:space="preserve"> </w:t>
      </w:r>
      <w:r w:rsidRPr="008F196D" w:rsidR="008F196D">
        <w:rPr>
          <w:lang w:val="es-UY"/>
        </w:rPr>
        <w:t>47 U.S.C. § 399b, 47 CFR § 73.503(d).</w:t>
      </w:r>
      <w:r w:rsidR="008F196D">
        <w:rPr>
          <w:lang w:val="es-UY"/>
        </w:rPr>
        <w:t xml:space="preserve"> </w:t>
      </w:r>
    </w:p>
  </w:footnote>
  <w:footnote w:id="5">
    <w:p w:rsidR="00357044" w:rsidRPr="00F74D07" w:rsidP="00C5171A" w14:paraId="1C1FD7DE" w14:textId="77777777">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rsidP="00C5171A" w14:paraId="0CA922CA" w14:textId="77777777">
      <w:pPr>
        <w:pStyle w:val="FootnoteText"/>
      </w:pPr>
      <w:r w:rsidRPr="00D84548">
        <w:rPr>
          <w:rStyle w:val="FootnoteReference"/>
        </w:rPr>
        <w:footnoteRef/>
      </w:r>
      <w:r w:rsidRPr="00D84548">
        <w:t xml:space="preserve"> </w:t>
      </w:r>
      <w:r w:rsidRPr="00D84548">
        <w:rPr>
          <w:szCs w:val="22"/>
        </w:rPr>
        <w:t>47 U.S.C. § 154(i).</w:t>
      </w:r>
    </w:p>
  </w:footnote>
  <w:footnote w:id="7">
    <w:p w:rsidR="009632A6" w:rsidP="00C5171A" w14:paraId="4FA84944" w14:textId="77777777">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0D15C9" w:rsidP="000D15C9" w14:paraId="662F7341" w14:textId="77777777">
      <w:pPr>
        <w:pStyle w:val="FootnoteText"/>
      </w:pPr>
      <w:r>
        <w:rPr>
          <w:rStyle w:val="FootnoteReference"/>
        </w:rPr>
        <w:footnoteRef/>
      </w:r>
      <w:r>
        <w:t xml:space="preserve"> 47 U.S.C. </w:t>
      </w:r>
      <w:r w:rsidRPr="006D4BA8">
        <w:t>§</w:t>
      </w:r>
      <w:r>
        <w:t xml:space="preserve"> 399b,</w:t>
      </w:r>
      <w:r w:rsidRPr="006D4BA8">
        <w:t xml:space="preserve"> 47 CFR § 73.503(d)</w:t>
      </w:r>
      <w:r>
        <w:t>.</w:t>
      </w:r>
    </w:p>
  </w:footnote>
  <w:footnote w:id="9">
    <w:p w:rsidR="000D15C9" w:rsidRPr="00A75E8E" w:rsidP="000D15C9" w14:paraId="45657DD9" w14:textId="77777777">
      <w:pPr>
        <w:pStyle w:val="FootnoteText"/>
        <w:widowControl w:val="0"/>
      </w:pPr>
      <w:r w:rsidRPr="006D4BA8">
        <w:rPr>
          <w:rStyle w:val="FootnoteReference"/>
        </w:rPr>
        <w:footnoteRef/>
      </w:r>
      <w:r w:rsidRPr="00A75E8E">
        <w:t xml:space="preserve"> 47 U.S.C. § 151 </w:t>
      </w:r>
      <w:r w:rsidRPr="00A75E8E">
        <w:rPr>
          <w:i/>
        </w:rPr>
        <w:t>et seq</w:t>
      </w:r>
      <w:r w:rsidRPr="00A75E8E">
        <w:t>.</w:t>
      </w:r>
    </w:p>
  </w:footnote>
  <w:footnote w:id="10">
    <w:p w:rsidR="000D15C9" w:rsidRPr="006D4BA8" w:rsidP="000D15C9" w14:paraId="6199CF16" w14:textId="77777777">
      <w:pPr>
        <w:pStyle w:val="FootnoteText"/>
        <w:widowControl w:val="0"/>
      </w:pPr>
      <w:r w:rsidRPr="006D4BA8">
        <w:rPr>
          <w:rStyle w:val="FootnoteReference"/>
        </w:rPr>
        <w:footnoteRef/>
      </w:r>
      <w:r w:rsidRPr="006D4BA8">
        <w:t xml:space="preserve"> 47 U.S.C. § 399b; 47 CFR § 73.503(d).</w:t>
      </w:r>
    </w:p>
  </w:footnote>
  <w:footnote w:id="11">
    <w:p w:rsidR="000D15C9" w:rsidRPr="006D4BA8" w:rsidP="000D15C9" w14:paraId="64AA765A" w14:textId="77777777">
      <w:pPr>
        <w:pStyle w:val="FootnoteText"/>
      </w:pPr>
      <w:r w:rsidRPr="006D4BA8">
        <w:rPr>
          <w:rStyle w:val="FootnoteReference"/>
        </w:rPr>
        <w:footnoteRef/>
      </w:r>
      <w:r w:rsidRPr="006D4BA8">
        <w:t xml:space="preserve"> 47 U.S.C. § 399b(a).</w:t>
      </w:r>
    </w:p>
  </w:footnote>
  <w:footnote w:id="12">
    <w:p w:rsidR="000D15C9" w:rsidRPr="000C0D1A" w:rsidP="000D15C9" w14:paraId="7A8B4218" w14:textId="77777777">
      <w:pPr>
        <w:pStyle w:val="FootnoteText"/>
      </w:pPr>
      <w:r w:rsidRPr="006D4BA8">
        <w:rPr>
          <w:rStyle w:val="FootnoteReference"/>
        </w:rPr>
        <w:footnoteRef/>
      </w:r>
      <w:r w:rsidRPr="006D4BA8">
        <w:t xml:space="preserve"> 47 U.S.C. § 399b(b)(2)</w:t>
      </w:r>
      <w:r>
        <w:t xml:space="preserve">; </w:t>
      </w:r>
      <w:r>
        <w:rPr>
          <w:i/>
          <w:iCs/>
        </w:rPr>
        <w:t xml:space="preserve">see also </w:t>
      </w:r>
      <w:r w:rsidRPr="006021FB">
        <w:rPr>
          <w:rFonts w:cs="Arial"/>
          <w:szCs w:val="16"/>
        </w:rPr>
        <w:t>47 CFR § 73.</w:t>
      </w:r>
      <w:r>
        <w:rPr>
          <w:rFonts w:cs="Arial"/>
          <w:szCs w:val="16"/>
        </w:rPr>
        <w:t>503(d); 7</w:t>
      </w:r>
      <w:r w:rsidRPr="006021FB">
        <w:rPr>
          <w:rFonts w:cs="Arial"/>
          <w:szCs w:val="16"/>
        </w:rPr>
        <w:t>3.</w:t>
      </w:r>
      <w:r>
        <w:rPr>
          <w:rFonts w:cs="Arial"/>
          <w:szCs w:val="16"/>
        </w:rPr>
        <w:t>801 (applying 73.503(d) to low power FM stations).</w:t>
      </w:r>
    </w:p>
  </w:footnote>
  <w:footnote w:id="13">
    <w:p w:rsidR="000D15C9" w:rsidRPr="006D4BA8" w:rsidP="000D15C9" w14:paraId="4B738608" w14:textId="77777777">
      <w:pPr>
        <w:pStyle w:val="FootnoteText"/>
        <w:rPr>
          <w:vertAlign w:val="superscript"/>
        </w:rPr>
      </w:pPr>
      <w:r w:rsidRPr="006D4BA8">
        <w:rPr>
          <w:rStyle w:val="FootnoteReference"/>
        </w:rPr>
        <w:footnoteRef/>
      </w:r>
      <w:r w:rsidRPr="006D4BA8">
        <w:t xml:space="preserve"> </w:t>
      </w:r>
      <w:r w:rsidRPr="006D4BA8">
        <w:rPr>
          <w:i/>
        </w:rPr>
        <w:t>See</w:t>
      </w:r>
      <w:r w:rsidRPr="006D4BA8">
        <w:t xml:space="preserve"> Noncommercial Educational Broadcasting Service; Clarification of Underwriting Guidelines, 51 Fed. Reg. 21800 (June 16, 1986), </w:t>
      </w:r>
      <w:r w:rsidRPr="006D4BA8">
        <w:rPr>
          <w:i/>
        </w:rPr>
        <w:t>republished</w:t>
      </w:r>
      <w:r w:rsidRPr="006D4BA8">
        <w:t xml:space="preserve">, </w:t>
      </w:r>
      <w:r w:rsidRPr="006D4BA8">
        <w:rPr>
          <w:i/>
        </w:rPr>
        <w:t>Commission Policy Concerning the Noncommercial Nature of Educational Broadcasting Stations</w:t>
      </w:r>
      <w:r w:rsidRPr="006D4BA8">
        <w:t>, Public Notice, 7 FCC Rcd 827</w:t>
      </w:r>
      <w:r>
        <w:t>, 828</w:t>
      </w:r>
      <w:r w:rsidRPr="006D4BA8">
        <w:t xml:space="preserve"> (1992)</w:t>
      </w:r>
      <w:r>
        <w:t xml:space="preserve"> </w:t>
      </w:r>
      <w:r w:rsidRPr="002961B6">
        <w:t>(</w:t>
      </w:r>
      <w:r w:rsidRPr="002961B6">
        <w:rPr>
          <w:i/>
        </w:rPr>
        <w:t>Enhanced Underwriting Policy</w:t>
      </w:r>
      <w:r w:rsidRPr="002961B6">
        <w:t xml:space="preserve">), citing </w:t>
      </w:r>
      <w:r w:rsidRPr="002961B6">
        <w:rPr>
          <w:i/>
        </w:rPr>
        <w:t>Commission Policy Concerning the Noncommercial Nature of Education</w:t>
      </w:r>
      <w:r>
        <w:rPr>
          <w:i/>
        </w:rPr>
        <w:t>al</w:t>
      </w:r>
      <w:r w:rsidRPr="002961B6">
        <w:rPr>
          <w:i/>
        </w:rPr>
        <w:t xml:space="preserve"> Broadcasting Stations</w:t>
      </w:r>
      <w:r w:rsidRPr="002961B6">
        <w:t xml:space="preserve">, </w:t>
      </w:r>
      <w:r w:rsidRPr="006D4BA8">
        <w:t xml:space="preserve">Memorandum Opinion and Order, </w:t>
      </w:r>
      <w:r w:rsidRPr="002961B6">
        <w:t>90 FCC 2d 895, 907 (1982) (</w:t>
      </w:r>
      <w:r w:rsidRPr="002961B6">
        <w:rPr>
          <w:i/>
        </w:rPr>
        <w:t>1982 Order</w:t>
      </w:r>
      <w:r w:rsidRPr="002961B6">
        <w:t>)</w:t>
      </w:r>
      <w:r w:rsidRPr="006D4BA8">
        <w:t>.</w:t>
      </w:r>
    </w:p>
  </w:footnote>
  <w:footnote w:id="14">
    <w:p w:rsidR="000D15C9" w:rsidRPr="006D4BA8" w:rsidP="000D15C9" w14:paraId="29E9CFBA" w14:textId="77777777">
      <w:pPr>
        <w:pStyle w:val="FootnoteText"/>
        <w:rPr>
          <w:vertAlign w:val="superscript"/>
        </w:rPr>
      </w:pPr>
      <w:r w:rsidRPr="006D4BA8">
        <w:rPr>
          <w:rStyle w:val="FootnoteReference"/>
        </w:rPr>
        <w:footnoteRef/>
      </w:r>
      <w:r w:rsidRPr="006D4BA8">
        <w:t xml:space="preserve"> </w:t>
      </w:r>
      <w:r w:rsidRPr="002961B6">
        <w:rPr>
          <w:i/>
        </w:rPr>
        <w:t>Enhanced Underwriting Policy</w:t>
      </w:r>
      <w:r w:rsidRPr="006D4BA8">
        <w:t xml:space="preserve">; </w:t>
      </w:r>
      <w:r w:rsidRPr="006D4BA8">
        <w:rPr>
          <w:i/>
        </w:rPr>
        <w:t xml:space="preserve">see Xavier University, </w:t>
      </w:r>
      <w:r w:rsidRPr="006D4BA8">
        <w:t>Memorandum Opinion and Order, 5 FCC Rcd 4920, 4921, para. 6 (1990) (citing</w:t>
      </w:r>
      <w:r w:rsidRPr="006D4BA8">
        <w:rPr>
          <w:i/>
        </w:rPr>
        <w:t xml:space="preserve"> </w:t>
      </w:r>
      <w:r w:rsidRPr="002961B6">
        <w:rPr>
          <w:i/>
        </w:rPr>
        <w:t>1982 Order</w:t>
      </w:r>
      <w:r w:rsidRPr="006D4BA8">
        <w:t>).</w:t>
      </w:r>
    </w:p>
  </w:footnote>
  <w:footnote w:id="15">
    <w:p w:rsidR="000D15C9" w:rsidP="000D15C9" w14:paraId="09D2DEDA" w14:textId="77777777">
      <w:pPr>
        <w:pStyle w:val="FootnoteText"/>
      </w:pPr>
      <w:r>
        <w:rPr>
          <w:rStyle w:val="FootnoteReference"/>
        </w:rPr>
        <w:footnoteRef/>
      </w:r>
      <w:r>
        <w:t xml:space="preserve"> </w:t>
      </w:r>
      <w:r w:rsidRPr="00751BA1">
        <w:t>Complaint No. 3613488-1 (Oct. 22, 2019) (on file in EB-IHD-20-00030893) (Complaint).</w:t>
      </w:r>
      <w:r>
        <w:t xml:space="preserve"> </w:t>
      </w:r>
    </w:p>
  </w:footnote>
  <w:footnote w:id="16">
    <w:p w:rsidR="000D15C9" w:rsidP="000D15C9" w14:paraId="79BC0139" w14:textId="77777777">
      <w:pPr>
        <w:pStyle w:val="FootnoteText"/>
      </w:pPr>
      <w:r>
        <w:rPr>
          <w:rStyle w:val="FootnoteReference"/>
        </w:rPr>
        <w:footnoteRef/>
      </w:r>
      <w:r w:rsidRPr="00311903">
        <w:t xml:space="preserve"> </w:t>
      </w:r>
      <w:r w:rsidRPr="00311903">
        <w:rPr>
          <w:i/>
          <w:iCs/>
        </w:rPr>
        <w:t>Id</w:t>
      </w:r>
      <w:r>
        <w:t xml:space="preserve">. </w:t>
      </w:r>
    </w:p>
  </w:footnote>
  <w:footnote w:id="17">
    <w:p w:rsidR="000D15C9" w:rsidP="000D15C9" w14:paraId="3C87D21B" w14:textId="77777777">
      <w:pPr>
        <w:pStyle w:val="FootnoteText"/>
      </w:pPr>
      <w:r>
        <w:rPr>
          <w:rStyle w:val="FootnoteReference"/>
        </w:rPr>
        <w:footnoteRef/>
      </w:r>
      <w:r>
        <w:t xml:space="preserve"> </w:t>
      </w:r>
      <w:r w:rsidRPr="00FD0702">
        <w:t>Letter from Christopher J. Sova, Deputy Chief, Investigations and Hearings Division, FCC Enforcement Bureau to Paul Francis, President of Athenian (Apr. 27, 2020) (on file in EB-IHD-20-00030893) (LOI)</w:t>
      </w:r>
      <w:r>
        <w:t>.</w:t>
      </w:r>
    </w:p>
  </w:footnote>
  <w:footnote w:id="18">
    <w:p w:rsidR="000D15C9" w:rsidP="000D15C9" w14:paraId="41942CF3" w14:textId="77777777">
      <w:pPr>
        <w:pStyle w:val="FootnoteText"/>
      </w:pPr>
      <w:r>
        <w:rPr>
          <w:rStyle w:val="FootnoteReference"/>
        </w:rPr>
        <w:footnoteRef/>
      </w:r>
      <w:r>
        <w:t xml:space="preserve"> </w:t>
      </w:r>
      <w:r w:rsidRPr="00FD0702">
        <w:t>Letter from Michael W. Richards, Counsel to Licensee, to Anya Baez, Attorney Advisor, Investigations and Hearings Division, FCC Enforcement Bureau (May 26, 2020) (on file in EB-IHD-20-00030893) (LOI Response)</w:t>
      </w:r>
      <w:r>
        <w:t xml:space="preserve">. </w:t>
      </w:r>
    </w:p>
  </w:footnote>
  <w:footnote w:id="19">
    <w:p w:rsidR="000D15C9" w:rsidP="000D15C9" w14:paraId="6C8D49A1" w14:textId="77777777">
      <w:pPr>
        <w:pStyle w:val="FootnoteText"/>
      </w:pPr>
      <w:r>
        <w:rPr>
          <w:rStyle w:val="FootnoteReference"/>
        </w:rPr>
        <w:footnoteRef/>
      </w:r>
      <w:r>
        <w:t xml:space="preserve"> LOI Response.  </w:t>
      </w:r>
    </w:p>
  </w:footnote>
  <w:footnote w:id="20">
    <w:p w:rsidR="000D15C9" w:rsidP="000D15C9" w14:paraId="034EA026" w14:textId="77777777">
      <w:pPr>
        <w:pStyle w:val="FootnoteText"/>
      </w:pPr>
      <w:r>
        <w:rPr>
          <w:rStyle w:val="FootnoteReference"/>
        </w:rPr>
        <w:footnoteRef/>
      </w:r>
      <w:r>
        <w:t xml:space="preserve"> </w:t>
      </w:r>
      <w:r w:rsidRPr="00DD2CC7">
        <w:rPr>
          <w:i/>
          <w:iCs/>
        </w:rPr>
        <w:t>Id</w:t>
      </w:r>
      <w:r>
        <w:t xml:space="preserve">. </w:t>
      </w:r>
    </w:p>
  </w:footnote>
  <w:footnote w:id="21">
    <w:p w:rsidR="000D15C9" w:rsidP="000D15C9" w14:paraId="7A62929D" w14:textId="77777777">
      <w:pPr>
        <w:pStyle w:val="FootnoteText"/>
      </w:pPr>
      <w:r>
        <w:rPr>
          <w:rStyle w:val="FootnoteReference"/>
        </w:rPr>
        <w:footnoteRef/>
      </w:r>
      <w:r>
        <w:t xml:space="preserve"> E-mail from Paul Francis, </w:t>
      </w:r>
      <w:r w:rsidRPr="00FD0702">
        <w:t>President of Athenian</w:t>
      </w:r>
      <w:r>
        <w:t xml:space="preserve">, to Anya Baez, Attorney Advisor, FCC Enforcement Bureau (Oct. 31, 2020, 17:20 EDT) </w:t>
      </w:r>
      <w:r w:rsidRPr="00FD0702">
        <w:t>(on file in EB-IHD-20-00030893)</w:t>
      </w:r>
      <w:r>
        <w:t xml:space="preserve">; E-mail from Robin Benson, </w:t>
      </w:r>
      <w:r w:rsidRPr="005D27C0">
        <w:t xml:space="preserve">Station’s </w:t>
      </w:r>
      <w:r>
        <w:t>P</w:t>
      </w:r>
      <w:r w:rsidRPr="005D27C0">
        <w:t xml:space="preserve">rogram </w:t>
      </w:r>
      <w:r>
        <w:t>C</w:t>
      </w:r>
      <w:r w:rsidRPr="005D27C0">
        <w:t>oordinator</w:t>
      </w:r>
      <w:r>
        <w:t xml:space="preserve">, attaching affirmation by Paul Francis, </w:t>
      </w:r>
      <w:r w:rsidRPr="00FD0702">
        <w:t>President of Athenian</w:t>
      </w:r>
      <w:r>
        <w:t>, to Anya Baez, Attorney Advisor, FCC Enforcement Bureau</w:t>
      </w:r>
      <w:r w:rsidRPr="00FD0702">
        <w:t xml:space="preserve"> (</w:t>
      </w:r>
      <w:r>
        <w:t>Nov. 2</w:t>
      </w:r>
      <w:r w:rsidRPr="00FD0702">
        <w:t>, 2020</w:t>
      </w:r>
      <w:r>
        <w:t>, 14:09 EDT</w:t>
      </w:r>
      <w:r w:rsidRPr="00FD0702">
        <w:t>) (on file in EB-IHD-20-00030893)</w:t>
      </w:r>
      <w:r>
        <w:t>.</w:t>
      </w:r>
    </w:p>
  </w:footnote>
  <w:footnote w:id="22">
    <w:p w:rsidR="000D15C9" w:rsidRPr="006D4BA8" w:rsidP="000D15C9" w14:paraId="329F95D0" w14:textId="77777777">
      <w:pPr>
        <w:pStyle w:val="FootnoteText"/>
        <w:widowControl w:val="0"/>
        <w:rPr>
          <w:lang w:bidi="x-none"/>
        </w:rPr>
      </w:pPr>
      <w:r w:rsidRPr="006D4BA8">
        <w:rPr>
          <w:rStyle w:val="FootnoteReference"/>
        </w:rPr>
        <w:footnoteRef/>
      </w:r>
      <w:r w:rsidRPr="006D4BA8">
        <w:t xml:space="preserve"> </w:t>
      </w:r>
      <w:r w:rsidRPr="006D4BA8">
        <w:rPr>
          <w:i/>
        </w:rPr>
        <w:t>See</w:t>
      </w:r>
      <w:r w:rsidRPr="006D4BA8">
        <w:t xml:space="preserve"> 47 CFR § 1.16.</w:t>
      </w:r>
    </w:p>
  </w:footnote>
  <w:footnote w:id="23">
    <w:p w:rsidR="000D15C9" w:rsidRPr="006D4BA8" w:rsidP="000D15C9" w14:paraId="2F431206" w14:textId="77777777">
      <w:pPr>
        <w:pStyle w:val="FootnoteText"/>
      </w:pPr>
      <w:r w:rsidRPr="006D4BA8">
        <w:rPr>
          <w:rStyle w:val="FootnoteReference"/>
        </w:rPr>
        <w:footnoteRef/>
      </w:r>
      <w:r w:rsidRPr="006D4BA8">
        <w:t xml:space="preserve"> Debt Collection Improvement Act of 1996, Pub. L. No. 104-134, 110 Stat. 1321, 1358 (Apr. 26, 1996).</w:t>
      </w:r>
    </w:p>
  </w:footnote>
  <w:footnote w:id="24">
    <w:p w:rsidR="000D15C9" w:rsidRPr="006D4BA8" w:rsidP="000D15C9" w14:paraId="3B173244" w14:textId="77777777">
      <w:pPr>
        <w:pStyle w:val="FootnoteText"/>
      </w:pPr>
      <w:r w:rsidRPr="006D4BA8">
        <w:rPr>
          <w:rStyle w:val="FootnoteReference"/>
        </w:rPr>
        <w:footnoteRef/>
      </w:r>
      <w:r w:rsidRPr="006D4BA8">
        <w:t xml:space="preserve"> Payments made using the Commission’s Fee Filer system do not require the submission of an FCC Form 159.</w:t>
      </w:r>
    </w:p>
  </w:footnote>
  <w:footnote w:id="25">
    <w:p w:rsidR="000D15C9" w:rsidRPr="006D4BA8" w:rsidP="000D15C9" w14:paraId="03F03C7D" w14:textId="3B906A24">
      <w:pPr>
        <w:pStyle w:val="FootnoteText"/>
      </w:pPr>
      <w:r w:rsidRPr="006D4BA8">
        <w:rPr>
          <w:rStyle w:val="FootnoteReference"/>
        </w:rPr>
        <w:footnoteRef/>
      </w:r>
      <w:r w:rsidRPr="006D4BA8">
        <w:t xml:space="preserve"> For questions regarding payment procedures, please contact the Financial Operations Group Help Desk by phone at 1-877-480-3201 (option #6), or by e-mail at </w:t>
      </w:r>
      <w:hyperlink r:id="rId1" w:history="1">
        <w:r w:rsidRPr="006D4BA8">
          <w:rPr>
            <w:rStyle w:val="Hyperlink"/>
          </w:rPr>
          <w:t>ARINQUIRIES@fcc.gov</w:t>
        </w:r>
      </w:hyperlink>
      <w:r w:rsidRPr="006D4BA8">
        <w:t>.</w:t>
      </w:r>
    </w:p>
  </w:footnote>
  <w:footnote w:id="26">
    <w:p w:rsidR="000D15C9" w:rsidRPr="006D4BA8" w:rsidP="000D15C9" w14:paraId="324D3C76" w14:textId="42062DB4">
      <w:pPr>
        <w:pStyle w:val="FootnoteText"/>
      </w:pPr>
      <w:r w:rsidRPr="006D4BA8">
        <w:rPr>
          <w:rStyle w:val="FootnoteReference"/>
        </w:rPr>
        <w:footnoteRef/>
      </w:r>
      <w:r w:rsidRPr="006D4BA8">
        <w:t xml:space="preserve"> Instructions for completing the form may be obtained at </w:t>
      </w:r>
      <w:hyperlink r:id="rId2" w:history="1">
        <w:r w:rsidRPr="006D4BA8">
          <w:rPr>
            <w:rStyle w:val="Hyperlink"/>
          </w:rPr>
          <w:t>http://www.fcc.gov/Forms/Form159/159.pdf</w:t>
        </w:r>
      </w:hyperlink>
      <w:r w:rsidRPr="006D4BA8">
        <w:t xml:space="preserve">. </w:t>
      </w:r>
    </w:p>
  </w:footnote>
  <w:footnote w:id="27">
    <w:p w:rsidR="000D15C9" w:rsidRPr="006D4BA8" w:rsidP="000D15C9" w14:paraId="5815456B" w14:textId="77777777">
      <w:pPr>
        <w:pStyle w:val="FootnoteText"/>
        <w:tabs>
          <w:tab w:val="left" w:pos="810"/>
        </w:tabs>
      </w:pPr>
      <w:r w:rsidRPr="006D4BA8">
        <w:rPr>
          <w:rStyle w:val="FootnoteReference"/>
        </w:rPr>
        <w:footnoteRef/>
      </w:r>
      <w:r w:rsidRPr="006D4BA8">
        <w:t xml:space="preserve"> </w:t>
      </w:r>
      <w:r w:rsidRPr="006D4BA8">
        <w:rPr>
          <w:i/>
        </w:rPr>
        <w:t xml:space="preserve">See </w:t>
      </w:r>
      <w:r w:rsidRPr="006D4BA8">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73625E" w14:paraId="060FA427" w14:textId="47E57346">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rsidR="008307D5">
      <w:tab/>
      <w:t>Federal Communications Commission</w:t>
    </w:r>
    <w:r w:rsidRPr="00843A5F" w:rsidR="008307D5">
      <w:tab/>
    </w:r>
    <w:r w:rsidRPr="004A7DAC" w:rsidR="004A7DAC">
      <w:rPr>
        <w:spacing w:val="-2"/>
      </w:rPr>
      <w:t>DA-21-31</w:t>
    </w:r>
  </w:p>
  <w:p w:rsidR="008307D5" w:rsidRPr="008307D5" w:rsidP="0073625E" w14:paraId="211915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25E" w:rsidP="0073625E" w14:paraId="5109A83D" w14:textId="1766057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843A5F">
      <w:tab/>
      <w:t>Federal Communications Commission</w:t>
    </w:r>
    <w:r w:rsidRPr="00843A5F">
      <w:tab/>
    </w:r>
    <w:r w:rsidRPr="004A7DAC" w:rsidR="004A7DAC">
      <w:rPr>
        <w:spacing w:val="-2"/>
      </w:rPr>
      <w:t>DA-21-31</w:t>
    </w:r>
  </w:p>
  <w:p w:rsidR="002E4C64" w:rsidP="001C324C" w14:paraId="13E6DD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E270C" w14:paraId="43150FCF" w14:textId="77777777">
    <w:pPr>
      <w:pStyle w:val="Header"/>
    </w:pPr>
    <w:r>
      <w:tab/>
      <w:t>Federal Communications Commission</w:t>
    </w:r>
    <w:r>
      <w:tab/>
    </w:r>
    <w:r w:rsidRPr="00200D8C">
      <w:t>DA-21-31</w:t>
    </w:r>
  </w:p>
  <w:p w:rsidR="00D25FB5" w14:paraId="1A0C4E4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123217" w:rsidP="00123217" w14:paraId="7DD863C9" w14:textId="77777777">
    <w:pPr>
      <w:pStyle w:val="Header"/>
      <w:spacing w:after="120"/>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 xml:space="preserve">Federal </w:t>
    </w:r>
    <w:r w:rsidRPr="00843A5F">
      <w:t>Communications Commission</w:t>
    </w:r>
    <w:r w:rsidRPr="00843A5F">
      <w:tab/>
    </w:r>
    <w:r w:rsidRPr="008F2C31">
      <w:rPr>
        <w:spacing w:val="-2"/>
      </w:rPr>
      <w:t>DA-21-31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07F2C"/>
    <w:multiLevelType w:val="hybridMultilevel"/>
    <w:tmpl w:val="A4D05422"/>
    <w:lvl w:ilvl="0">
      <w:start w:val="1"/>
      <w:numFmt w:val="lowerLetter"/>
      <w:lvlText w:val="(%1)"/>
      <w:lvlJc w:val="left"/>
      <w:pPr>
        <w:tabs>
          <w:tab w:val="num" w:pos="3960"/>
        </w:tabs>
        <w:ind w:left="3960" w:hanging="432"/>
      </w:pPr>
      <w:rPr>
        <w:rFonts w:cs="Times New Roman" w:hint="default"/>
        <w:b w:val="0"/>
        <w:i w:val="0"/>
        <w:sz w:val="22"/>
        <w:szCs w:val="22"/>
      </w:rPr>
    </w:lvl>
    <w:lvl w:ilvl="1">
      <w:start w:val="1"/>
      <w:numFmt w:val="lowerLetter"/>
      <w:lvlText w:val="%2."/>
      <w:lvlJc w:val="left"/>
      <w:pPr>
        <w:tabs>
          <w:tab w:val="num" w:pos="4176"/>
        </w:tabs>
        <w:ind w:left="4176" w:hanging="360"/>
      </w:pPr>
      <w:rPr>
        <w:rFonts w:cs="Times New Roman"/>
      </w:rPr>
    </w:lvl>
    <w:lvl w:ilvl="2" w:tentative="1">
      <w:start w:val="1"/>
      <w:numFmt w:val="lowerRoman"/>
      <w:lvlText w:val="%3."/>
      <w:lvlJc w:val="right"/>
      <w:pPr>
        <w:tabs>
          <w:tab w:val="num" w:pos="4896"/>
        </w:tabs>
        <w:ind w:left="4896" w:hanging="180"/>
      </w:pPr>
      <w:rPr>
        <w:rFonts w:cs="Times New Roman"/>
      </w:rPr>
    </w:lvl>
    <w:lvl w:ilvl="3" w:tentative="1">
      <w:start w:val="1"/>
      <w:numFmt w:val="decimal"/>
      <w:lvlText w:val="%4."/>
      <w:lvlJc w:val="left"/>
      <w:pPr>
        <w:tabs>
          <w:tab w:val="num" w:pos="5616"/>
        </w:tabs>
        <w:ind w:left="5616" w:hanging="360"/>
      </w:pPr>
      <w:rPr>
        <w:rFonts w:cs="Times New Roman"/>
      </w:rPr>
    </w:lvl>
    <w:lvl w:ilvl="4" w:tentative="1">
      <w:start w:val="1"/>
      <w:numFmt w:val="lowerLetter"/>
      <w:lvlText w:val="%5."/>
      <w:lvlJc w:val="left"/>
      <w:pPr>
        <w:tabs>
          <w:tab w:val="num" w:pos="6336"/>
        </w:tabs>
        <w:ind w:left="6336" w:hanging="360"/>
      </w:pPr>
      <w:rPr>
        <w:rFonts w:cs="Times New Roman"/>
      </w:rPr>
    </w:lvl>
    <w:lvl w:ilvl="5" w:tentative="1">
      <w:start w:val="1"/>
      <w:numFmt w:val="lowerRoman"/>
      <w:lvlText w:val="%6."/>
      <w:lvlJc w:val="right"/>
      <w:pPr>
        <w:tabs>
          <w:tab w:val="num" w:pos="7056"/>
        </w:tabs>
        <w:ind w:left="7056" w:hanging="180"/>
      </w:pPr>
      <w:rPr>
        <w:rFonts w:cs="Times New Roman"/>
      </w:rPr>
    </w:lvl>
    <w:lvl w:ilvl="6" w:tentative="1">
      <w:start w:val="1"/>
      <w:numFmt w:val="decimal"/>
      <w:lvlText w:val="%7."/>
      <w:lvlJc w:val="left"/>
      <w:pPr>
        <w:tabs>
          <w:tab w:val="num" w:pos="7776"/>
        </w:tabs>
        <w:ind w:left="7776" w:hanging="360"/>
      </w:pPr>
      <w:rPr>
        <w:rFonts w:cs="Times New Roman"/>
      </w:rPr>
    </w:lvl>
    <w:lvl w:ilvl="7" w:tentative="1">
      <w:start w:val="1"/>
      <w:numFmt w:val="lowerLetter"/>
      <w:lvlText w:val="%8."/>
      <w:lvlJc w:val="left"/>
      <w:pPr>
        <w:tabs>
          <w:tab w:val="num" w:pos="8496"/>
        </w:tabs>
        <w:ind w:left="8496" w:hanging="360"/>
      </w:pPr>
      <w:rPr>
        <w:rFonts w:cs="Times New Roman"/>
      </w:rPr>
    </w:lvl>
    <w:lvl w:ilvl="8" w:tentative="1">
      <w:start w:val="1"/>
      <w:numFmt w:val="lowerRoman"/>
      <w:lvlText w:val="%9."/>
      <w:lvlJc w:val="right"/>
      <w:pPr>
        <w:tabs>
          <w:tab w:val="num" w:pos="9216"/>
        </w:tabs>
        <w:ind w:left="9216" w:hanging="180"/>
      </w:pPr>
      <w:rPr>
        <w:rFonts w:cs="Times New Roman"/>
      </w:r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A905854"/>
    <w:multiLevelType w:val="hybridMultilevel"/>
    <w:tmpl w:val="65D63FE6"/>
    <w:lvl w:ilvl="0">
      <w:start w:val="1"/>
      <w:numFmt w:val="lowerLetter"/>
      <w:lvlText w:val="(%1)"/>
      <w:lvlJc w:val="left"/>
      <w:pPr>
        <w:tabs>
          <w:tab w:val="num" w:pos="1152"/>
        </w:tabs>
        <w:ind w:left="1152" w:hanging="432"/>
      </w:pPr>
      <w:rPr>
        <w:rFonts w:ascii="Times New Roman" w:hAnsi="Times New Roman" w:cs="Times New Roman" w:hint="default"/>
        <w:b w:val="0"/>
        <w:i w:val="0"/>
        <w:sz w:val="22"/>
        <w:szCs w:val="22"/>
      </w:rPr>
    </w:lvl>
    <w:lvl w:ilvl="1">
      <w:start w:val="1"/>
      <w:numFmt w:val="lowerLetter"/>
      <w:lvlText w:val="%2."/>
      <w:lvlJc w:val="left"/>
      <w:pPr>
        <w:tabs>
          <w:tab w:val="num" w:pos="1368"/>
        </w:tabs>
        <w:ind w:left="1368" w:hanging="360"/>
      </w:pPr>
      <w:rPr>
        <w:rFonts w:cs="Times New Roman"/>
      </w:rPr>
    </w:lvl>
    <w:lvl w:ilvl="2" w:tentative="1">
      <w:start w:val="1"/>
      <w:numFmt w:val="lowerRoman"/>
      <w:lvlText w:val="%3."/>
      <w:lvlJc w:val="right"/>
      <w:pPr>
        <w:tabs>
          <w:tab w:val="num" w:pos="2088"/>
        </w:tabs>
        <w:ind w:left="2088" w:hanging="180"/>
      </w:pPr>
      <w:rPr>
        <w:rFonts w:cs="Times New Roman"/>
      </w:rPr>
    </w:lvl>
    <w:lvl w:ilvl="3" w:tentative="1">
      <w:start w:val="1"/>
      <w:numFmt w:val="decimal"/>
      <w:lvlText w:val="%4."/>
      <w:lvlJc w:val="left"/>
      <w:pPr>
        <w:tabs>
          <w:tab w:val="num" w:pos="2808"/>
        </w:tabs>
        <w:ind w:left="2808" w:hanging="360"/>
      </w:pPr>
      <w:rPr>
        <w:rFonts w:cs="Times New Roman"/>
      </w:rPr>
    </w:lvl>
    <w:lvl w:ilvl="4" w:tentative="1">
      <w:start w:val="1"/>
      <w:numFmt w:val="lowerLetter"/>
      <w:lvlText w:val="%5."/>
      <w:lvlJc w:val="left"/>
      <w:pPr>
        <w:tabs>
          <w:tab w:val="num" w:pos="3528"/>
        </w:tabs>
        <w:ind w:left="3528" w:hanging="360"/>
      </w:pPr>
      <w:rPr>
        <w:rFonts w:cs="Times New Roman"/>
      </w:rPr>
    </w:lvl>
    <w:lvl w:ilvl="5" w:tentative="1">
      <w:start w:val="1"/>
      <w:numFmt w:val="lowerRoman"/>
      <w:lvlText w:val="%6."/>
      <w:lvlJc w:val="right"/>
      <w:pPr>
        <w:tabs>
          <w:tab w:val="num" w:pos="4248"/>
        </w:tabs>
        <w:ind w:left="4248" w:hanging="180"/>
      </w:pPr>
      <w:rPr>
        <w:rFonts w:cs="Times New Roman"/>
      </w:rPr>
    </w:lvl>
    <w:lvl w:ilvl="6" w:tentative="1">
      <w:start w:val="1"/>
      <w:numFmt w:val="decimal"/>
      <w:lvlText w:val="%7."/>
      <w:lvlJc w:val="left"/>
      <w:pPr>
        <w:tabs>
          <w:tab w:val="num" w:pos="4968"/>
        </w:tabs>
        <w:ind w:left="4968" w:hanging="360"/>
      </w:pPr>
      <w:rPr>
        <w:rFonts w:cs="Times New Roman"/>
      </w:rPr>
    </w:lvl>
    <w:lvl w:ilvl="7" w:tentative="1">
      <w:start w:val="1"/>
      <w:numFmt w:val="lowerLetter"/>
      <w:lvlText w:val="%8."/>
      <w:lvlJc w:val="left"/>
      <w:pPr>
        <w:tabs>
          <w:tab w:val="num" w:pos="5688"/>
        </w:tabs>
        <w:ind w:left="5688" w:hanging="360"/>
      </w:pPr>
      <w:rPr>
        <w:rFonts w:cs="Times New Roman"/>
      </w:rPr>
    </w:lvl>
    <w:lvl w:ilvl="8" w:tentative="1">
      <w:start w:val="1"/>
      <w:numFmt w:val="lowerRoman"/>
      <w:lvlText w:val="%9."/>
      <w:lvlJc w:val="right"/>
      <w:pPr>
        <w:tabs>
          <w:tab w:val="num" w:pos="6408"/>
        </w:tabs>
        <w:ind w:left="6408" w:hanging="180"/>
      </w:pPr>
      <w:rPr>
        <w:rFonts w:cs="Times New Roman"/>
      </w:rPr>
    </w:lvl>
  </w:abstractNum>
  <w:abstractNum w:abstractNumId="4">
    <w:nsid w:val="48B51B11"/>
    <w:multiLevelType w:val="hybridMultilevel"/>
    <w:tmpl w:val="70D896F4"/>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
    <w:nsid w:val="589B7C9B"/>
    <w:multiLevelType w:val="hybridMultilevel"/>
    <w:tmpl w:val="84FE6826"/>
    <w:lvl w:ilvl="0">
      <w:start w:val="5"/>
      <w:numFmt w:val="lowerLetter"/>
      <w:lvlText w:val="(%1)"/>
      <w:lvlJc w:val="left"/>
      <w:pPr>
        <w:tabs>
          <w:tab w:val="num" w:pos="3600"/>
        </w:tabs>
        <w:ind w:left="3600" w:hanging="432"/>
      </w:pPr>
      <w:rPr>
        <w:rFonts w:ascii="Times New Roman" w:hAnsi="Times New Roman" w:cs="Times New Roman" w:hint="default"/>
        <w:b w:val="0"/>
        <w:i w:val="0"/>
        <w:sz w:val="22"/>
        <w:szCs w:val="22"/>
      </w:rPr>
    </w:lvl>
    <w:lvl w:ilvl="1">
      <w:start w:val="1"/>
      <w:numFmt w:val="lowerRoman"/>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AA66A3"/>
    <w:multiLevelType w:val="hybridMultilevel"/>
    <w:tmpl w:val="949CC33A"/>
    <w:lvl w:ilvl="0">
      <w:start w:val="1"/>
      <w:numFmt w:val="lowerRoman"/>
      <w:lvlText w:val="%1."/>
      <w:lvlJc w:val="right"/>
      <w:pPr>
        <w:ind w:left="3528" w:hanging="360"/>
      </w:pPr>
    </w:lvl>
    <w:lvl w:ilvl="1" w:tentative="1">
      <w:start w:val="1"/>
      <w:numFmt w:val="lowerLetter"/>
      <w:lvlText w:val="%2."/>
      <w:lvlJc w:val="left"/>
      <w:pPr>
        <w:ind w:left="4248" w:hanging="360"/>
      </w:pPr>
    </w:lvl>
    <w:lvl w:ilvl="2" w:tentative="1">
      <w:start w:val="1"/>
      <w:numFmt w:val="lowerRoman"/>
      <w:lvlText w:val="%3."/>
      <w:lvlJc w:val="right"/>
      <w:pPr>
        <w:ind w:left="4968" w:hanging="180"/>
      </w:pPr>
    </w:lvl>
    <w:lvl w:ilvl="3" w:tentative="1">
      <w:start w:val="1"/>
      <w:numFmt w:val="decimal"/>
      <w:lvlText w:val="%4."/>
      <w:lvlJc w:val="left"/>
      <w:pPr>
        <w:ind w:left="5688" w:hanging="360"/>
      </w:pPr>
    </w:lvl>
    <w:lvl w:ilvl="4" w:tentative="1">
      <w:start w:val="1"/>
      <w:numFmt w:val="lowerLetter"/>
      <w:lvlText w:val="%5."/>
      <w:lvlJc w:val="left"/>
      <w:pPr>
        <w:ind w:left="6408" w:hanging="360"/>
      </w:pPr>
    </w:lvl>
    <w:lvl w:ilvl="5" w:tentative="1">
      <w:start w:val="1"/>
      <w:numFmt w:val="lowerRoman"/>
      <w:lvlText w:val="%6."/>
      <w:lvlJc w:val="right"/>
      <w:pPr>
        <w:ind w:left="7128" w:hanging="180"/>
      </w:pPr>
    </w:lvl>
    <w:lvl w:ilvl="6" w:tentative="1">
      <w:start w:val="1"/>
      <w:numFmt w:val="decimal"/>
      <w:lvlText w:val="%7."/>
      <w:lvlJc w:val="left"/>
      <w:pPr>
        <w:ind w:left="7848" w:hanging="360"/>
      </w:pPr>
    </w:lvl>
    <w:lvl w:ilvl="7" w:tentative="1">
      <w:start w:val="1"/>
      <w:numFmt w:val="lowerLetter"/>
      <w:lvlText w:val="%8."/>
      <w:lvlJc w:val="left"/>
      <w:pPr>
        <w:ind w:left="8568" w:hanging="360"/>
      </w:pPr>
    </w:lvl>
    <w:lvl w:ilvl="8" w:tentative="1">
      <w:start w:val="1"/>
      <w:numFmt w:val="lowerRoman"/>
      <w:lvlText w:val="%9."/>
      <w:lvlJc w:val="right"/>
      <w:pPr>
        <w:ind w:left="9288" w:hanging="180"/>
      </w:pPr>
    </w:lvl>
  </w:abstractNum>
  <w:abstractNum w:abstractNumId="7">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51C7F3B"/>
    <w:multiLevelType w:val="hybridMultilevel"/>
    <w:tmpl w:val="CC6249A2"/>
    <w:lvl w:ilvl="0">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start w:val="1"/>
      <w:numFmt w:val="lowerRoman"/>
      <w:lvlText w:val="%2."/>
      <w:lvlJc w:val="right"/>
      <w:pPr>
        <w:tabs>
          <w:tab w:val="num" w:pos="2088"/>
        </w:tabs>
        <w:ind w:left="2088" w:hanging="360"/>
      </w:pPr>
    </w:lvl>
    <w:lvl w:ilvl="2" w:tentative="1">
      <w:start w:val="1"/>
      <w:numFmt w:val="lowerRoman"/>
      <w:lvlText w:val="%3."/>
      <w:lvlJc w:val="right"/>
      <w:pPr>
        <w:tabs>
          <w:tab w:val="num" w:pos="2808"/>
        </w:tabs>
        <w:ind w:left="2808" w:hanging="180"/>
      </w:pPr>
      <w:rPr>
        <w:rFonts w:cs="Times New Roman"/>
      </w:rPr>
    </w:lvl>
    <w:lvl w:ilvl="3" w:tentative="1">
      <w:start w:val="1"/>
      <w:numFmt w:val="decimal"/>
      <w:lvlText w:val="%4."/>
      <w:lvlJc w:val="left"/>
      <w:pPr>
        <w:tabs>
          <w:tab w:val="num" w:pos="3528"/>
        </w:tabs>
        <w:ind w:left="3528" w:hanging="360"/>
      </w:pPr>
      <w:rPr>
        <w:rFonts w:cs="Times New Roman"/>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num w:numId="1">
    <w:abstractNumId w:val="8"/>
  </w:num>
  <w:num w:numId="2">
    <w:abstractNumId w:val="2"/>
  </w:num>
  <w:num w:numId="3">
    <w:abstractNumId w:val="7"/>
  </w:num>
  <w:num w:numId="4">
    <w:abstractNumId w:val="0"/>
  </w:num>
  <w:num w:numId="5">
    <w:abstractNumId w:val="9"/>
  </w:num>
  <w:num w:numId="6">
    <w:abstractNumId w:val="3"/>
  </w:num>
  <w:num w:numId="7">
    <w:abstractNumId w:val="1"/>
  </w:num>
  <w:num w:numId="8">
    <w:abstractNumId w:val="6"/>
  </w:num>
  <w:num w:numId="9">
    <w:abstractNumId w:val="5"/>
  </w:num>
  <w:num w:numId="10">
    <w:abstractNumId w:val="4"/>
  </w:num>
  <w:num w:numId="11">
    <w:abstractNumId w:val="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30B7"/>
    <w:rsid w:val="000046D1"/>
    <w:rsid w:val="00006206"/>
    <w:rsid w:val="00010E77"/>
    <w:rsid w:val="0001137C"/>
    <w:rsid w:val="00012135"/>
    <w:rsid w:val="00013878"/>
    <w:rsid w:val="00013EE1"/>
    <w:rsid w:val="000156B8"/>
    <w:rsid w:val="00020F52"/>
    <w:rsid w:val="00021355"/>
    <w:rsid w:val="000239E2"/>
    <w:rsid w:val="00023CBD"/>
    <w:rsid w:val="00024411"/>
    <w:rsid w:val="00030BA0"/>
    <w:rsid w:val="00032DD4"/>
    <w:rsid w:val="00032EB3"/>
    <w:rsid w:val="00034899"/>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0E60"/>
    <w:rsid w:val="00064FCE"/>
    <w:rsid w:val="00077556"/>
    <w:rsid w:val="00080528"/>
    <w:rsid w:val="000812CD"/>
    <w:rsid w:val="00084844"/>
    <w:rsid w:val="00086CAF"/>
    <w:rsid w:val="000875BF"/>
    <w:rsid w:val="00093012"/>
    <w:rsid w:val="00093E5A"/>
    <w:rsid w:val="00094BC4"/>
    <w:rsid w:val="00094FF2"/>
    <w:rsid w:val="00096270"/>
    <w:rsid w:val="00096D8C"/>
    <w:rsid w:val="000A1DBA"/>
    <w:rsid w:val="000A3DAE"/>
    <w:rsid w:val="000A69D0"/>
    <w:rsid w:val="000A747B"/>
    <w:rsid w:val="000A78D2"/>
    <w:rsid w:val="000B01C3"/>
    <w:rsid w:val="000B076B"/>
    <w:rsid w:val="000B4C5A"/>
    <w:rsid w:val="000B5A3E"/>
    <w:rsid w:val="000C0B65"/>
    <w:rsid w:val="000C0D1A"/>
    <w:rsid w:val="000C3C46"/>
    <w:rsid w:val="000C4982"/>
    <w:rsid w:val="000C4995"/>
    <w:rsid w:val="000C53CB"/>
    <w:rsid w:val="000C5E7E"/>
    <w:rsid w:val="000C6162"/>
    <w:rsid w:val="000D15C9"/>
    <w:rsid w:val="000D1EEF"/>
    <w:rsid w:val="000D270D"/>
    <w:rsid w:val="000D2CE7"/>
    <w:rsid w:val="000D2FF2"/>
    <w:rsid w:val="000D3327"/>
    <w:rsid w:val="000D411F"/>
    <w:rsid w:val="000D4423"/>
    <w:rsid w:val="000E156D"/>
    <w:rsid w:val="000E1A32"/>
    <w:rsid w:val="000E3D42"/>
    <w:rsid w:val="000E57DB"/>
    <w:rsid w:val="000E5FE3"/>
    <w:rsid w:val="000F1739"/>
    <w:rsid w:val="000F2290"/>
    <w:rsid w:val="000F3850"/>
    <w:rsid w:val="000F5AE0"/>
    <w:rsid w:val="000F71E7"/>
    <w:rsid w:val="00102832"/>
    <w:rsid w:val="00104AE7"/>
    <w:rsid w:val="00107438"/>
    <w:rsid w:val="00111B57"/>
    <w:rsid w:val="001130D9"/>
    <w:rsid w:val="001163D2"/>
    <w:rsid w:val="0011775D"/>
    <w:rsid w:val="00122BD5"/>
    <w:rsid w:val="00122F40"/>
    <w:rsid w:val="00123217"/>
    <w:rsid w:val="00123544"/>
    <w:rsid w:val="00123DC5"/>
    <w:rsid w:val="001251A4"/>
    <w:rsid w:val="0012535E"/>
    <w:rsid w:val="00130E75"/>
    <w:rsid w:val="00131135"/>
    <w:rsid w:val="0013481A"/>
    <w:rsid w:val="0013545C"/>
    <w:rsid w:val="00150039"/>
    <w:rsid w:val="00151AF8"/>
    <w:rsid w:val="00152144"/>
    <w:rsid w:val="0015292D"/>
    <w:rsid w:val="00152E7C"/>
    <w:rsid w:val="0015342D"/>
    <w:rsid w:val="001569B9"/>
    <w:rsid w:val="00161F7D"/>
    <w:rsid w:val="00163419"/>
    <w:rsid w:val="00164854"/>
    <w:rsid w:val="001659BF"/>
    <w:rsid w:val="001664A0"/>
    <w:rsid w:val="0017052D"/>
    <w:rsid w:val="0017171A"/>
    <w:rsid w:val="00172BF5"/>
    <w:rsid w:val="00172E8E"/>
    <w:rsid w:val="00173B9F"/>
    <w:rsid w:val="00174F9E"/>
    <w:rsid w:val="00176197"/>
    <w:rsid w:val="0017677C"/>
    <w:rsid w:val="00180D54"/>
    <w:rsid w:val="00182E46"/>
    <w:rsid w:val="001850F1"/>
    <w:rsid w:val="00186C72"/>
    <w:rsid w:val="001877EB"/>
    <w:rsid w:val="00193512"/>
    <w:rsid w:val="001955C8"/>
    <w:rsid w:val="00196CFD"/>
    <w:rsid w:val="001A1065"/>
    <w:rsid w:val="001A2286"/>
    <w:rsid w:val="001A5074"/>
    <w:rsid w:val="001A6AEF"/>
    <w:rsid w:val="001A7A02"/>
    <w:rsid w:val="001B2FA8"/>
    <w:rsid w:val="001B4BAE"/>
    <w:rsid w:val="001C1547"/>
    <w:rsid w:val="001C19A7"/>
    <w:rsid w:val="001C324C"/>
    <w:rsid w:val="001C50A9"/>
    <w:rsid w:val="001C7762"/>
    <w:rsid w:val="001D10CF"/>
    <w:rsid w:val="001D4CD2"/>
    <w:rsid w:val="001D63ED"/>
    <w:rsid w:val="001D6BCF"/>
    <w:rsid w:val="001E01CA"/>
    <w:rsid w:val="001E7454"/>
    <w:rsid w:val="001F0CA8"/>
    <w:rsid w:val="001F11C8"/>
    <w:rsid w:val="001F1433"/>
    <w:rsid w:val="001F278E"/>
    <w:rsid w:val="001F2BAB"/>
    <w:rsid w:val="001F6275"/>
    <w:rsid w:val="001F660E"/>
    <w:rsid w:val="001F7175"/>
    <w:rsid w:val="00200D8C"/>
    <w:rsid w:val="00202B90"/>
    <w:rsid w:val="00204132"/>
    <w:rsid w:val="0020707F"/>
    <w:rsid w:val="00207689"/>
    <w:rsid w:val="0021043C"/>
    <w:rsid w:val="0021060B"/>
    <w:rsid w:val="00211D92"/>
    <w:rsid w:val="00211EE2"/>
    <w:rsid w:val="0021667C"/>
    <w:rsid w:val="00216EEA"/>
    <w:rsid w:val="0022070A"/>
    <w:rsid w:val="00221D7C"/>
    <w:rsid w:val="00223374"/>
    <w:rsid w:val="00231522"/>
    <w:rsid w:val="002352DC"/>
    <w:rsid w:val="00237F53"/>
    <w:rsid w:val="00240F56"/>
    <w:rsid w:val="00243018"/>
    <w:rsid w:val="00245B7B"/>
    <w:rsid w:val="00247747"/>
    <w:rsid w:val="00250B03"/>
    <w:rsid w:val="00252DAF"/>
    <w:rsid w:val="002551FD"/>
    <w:rsid w:val="002626EB"/>
    <w:rsid w:val="00262FFA"/>
    <w:rsid w:val="002645F4"/>
    <w:rsid w:val="00273B9A"/>
    <w:rsid w:val="00276796"/>
    <w:rsid w:val="00276DAE"/>
    <w:rsid w:val="00277598"/>
    <w:rsid w:val="00277F32"/>
    <w:rsid w:val="00280791"/>
    <w:rsid w:val="00280809"/>
    <w:rsid w:val="00284424"/>
    <w:rsid w:val="00284531"/>
    <w:rsid w:val="00284E12"/>
    <w:rsid w:val="00285017"/>
    <w:rsid w:val="00287BA4"/>
    <w:rsid w:val="00291DFD"/>
    <w:rsid w:val="0029201C"/>
    <w:rsid w:val="00295C0F"/>
    <w:rsid w:val="002961B6"/>
    <w:rsid w:val="002A1D20"/>
    <w:rsid w:val="002A2D2E"/>
    <w:rsid w:val="002A5252"/>
    <w:rsid w:val="002B22CB"/>
    <w:rsid w:val="002B2AA5"/>
    <w:rsid w:val="002B3194"/>
    <w:rsid w:val="002B4338"/>
    <w:rsid w:val="002B518C"/>
    <w:rsid w:val="002C0646"/>
    <w:rsid w:val="002C30EE"/>
    <w:rsid w:val="002C67F6"/>
    <w:rsid w:val="002D07D2"/>
    <w:rsid w:val="002D0CDF"/>
    <w:rsid w:val="002D2357"/>
    <w:rsid w:val="002D4D48"/>
    <w:rsid w:val="002E03F0"/>
    <w:rsid w:val="002E4C64"/>
    <w:rsid w:val="002E5543"/>
    <w:rsid w:val="002E6C8E"/>
    <w:rsid w:val="002E70E0"/>
    <w:rsid w:val="002F0F20"/>
    <w:rsid w:val="002F1D93"/>
    <w:rsid w:val="002F7BE9"/>
    <w:rsid w:val="0030082F"/>
    <w:rsid w:val="003016ED"/>
    <w:rsid w:val="00301A7B"/>
    <w:rsid w:val="00302BBF"/>
    <w:rsid w:val="0030361C"/>
    <w:rsid w:val="00311903"/>
    <w:rsid w:val="0031211B"/>
    <w:rsid w:val="003121A4"/>
    <w:rsid w:val="0031266E"/>
    <w:rsid w:val="00314600"/>
    <w:rsid w:val="00320448"/>
    <w:rsid w:val="00320BE0"/>
    <w:rsid w:val="00327A56"/>
    <w:rsid w:val="00331532"/>
    <w:rsid w:val="003317A6"/>
    <w:rsid w:val="00333729"/>
    <w:rsid w:val="00334F59"/>
    <w:rsid w:val="00340918"/>
    <w:rsid w:val="00341BFB"/>
    <w:rsid w:val="00342057"/>
    <w:rsid w:val="00342800"/>
    <w:rsid w:val="00342987"/>
    <w:rsid w:val="003430D1"/>
    <w:rsid w:val="00343749"/>
    <w:rsid w:val="00343B8B"/>
    <w:rsid w:val="003447A3"/>
    <w:rsid w:val="00345AAC"/>
    <w:rsid w:val="003504B7"/>
    <w:rsid w:val="00351188"/>
    <w:rsid w:val="00351C94"/>
    <w:rsid w:val="00352167"/>
    <w:rsid w:val="00355126"/>
    <w:rsid w:val="00357044"/>
    <w:rsid w:val="00357963"/>
    <w:rsid w:val="00357FDE"/>
    <w:rsid w:val="00361141"/>
    <w:rsid w:val="003628A3"/>
    <w:rsid w:val="00367050"/>
    <w:rsid w:val="00367F93"/>
    <w:rsid w:val="00371967"/>
    <w:rsid w:val="003737CD"/>
    <w:rsid w:val="00376EB5"/>
    <w:rsid w:val="0038137F"/>
    <w:rsid w:val="00381634"/>
    <w:rsid w:val="003820CD"/>
    <w:rsid w:val="00383733"/>
    <w:rsid w:val="003837AF"/>
    <w:rsid w:val="003869A9"/>
    <w:rsid w:val="00386C09"/>
    <w:rsid w:val="00387DC6"/>
    <w:rsid w:val="00391B04"/>
    <w:rsid w:val="00393892"/>
    <w:rsid w:val="00395BCD"/>
    <w:rsid w:val="00397A5B"/>
    <w:rsid w:val="00397DF7"/>
    <w:rsid w:val="003A0A67"/>
    <w:rsid w:val="003A0CEB"/>
    <w:rsid w:val="003A10AC"/>
    <w:rsid w:val="003A19AF"/>
    <w:rsid w:val="003A1CBF"/>
    <w:rsid w:val="003A24DA"/>
    <w:rsid w:val="003A2932"/>
    <w:rsid w:val="003A398D"/>
    <w:rsid w:val="003A45E5"/>
    <w:rsid w:val="003A4AB4"/>
    <w:rsid w:val="003A5B28"/>
    <w:rsid w:val="003A5B32"/>
    <w:rsid w:val="003A764B"/>
    <w:rsid w:val="003B0550"/>
    <w:rsid w:val="003B1CF4"/>
    <w:rsid w:val="003B5217"/>
    <w:rsid w:val="003B694F"/>
    <w:rsid w:val="003B6F58"/>
    <w:rsid w:val="003C6DEB"/>
    <w:rsid w:val="003D08A7"/>
    <w:rsid w:val="003D49D5"/>
    <w:rsid w:val="003E7A05"/>
    <w:rsid w:val="003F1126"/>
    <w:rsid w:val="003F171C"/>
    <w:rsid w:val="003F1BB9"/>
    <w:rsid w:val="003F47C1"/>
    <w:rsid w:val="003F75BE"/>
    <w:rsid w:val="004008FF"/>
    <w:rsid w:val="00400BCE"/>
    <w:rsid w:val="004014DE"/>
    <w:rsid w:val="00404B01"/>
    <w:rsid w:val="0041095B"/>
    <w:rsid w:val="00412C27"/>
    <w:rsid w:val="00412FC5"/>
    <w:rsid w:val="00414A07"/>
    <w:rsid w:val="00414BD8"/>
    <w:rsid w:val="00414F00"/>
    <w:rsid w:val="004164F1"/>
    <w:rsid w:val="004172DB"/>
    <w:rsid w:val="00422276"/>
    <w:rsid w:val="004242F1"/>
    <w:rsid w:val="00432244"/>
    <w:rsid w:val="00433E5E"/>
    <w:rsid w:val="00434575"/>
    <w:rsid w:val="004348F7"/>
    <w:rsid w:val="004359DD"/>
    <w:rsid w:val="00435FB8"/>
    <w:rsid w:val="00437095"/>
    <w:rsid w:val="004409D9"/>
    <w:rsid w:val="00443BD5"/>
    <w:rsid w:val="00445A00"/>
    <w:rsid w:val="004479E5"/>
    <w:rsid w:val="00450242"/>
    <w:rsid w:val="00451B0F"/>
    <w:rsid w:val="00452FFD"/>
    <w:rsid w:val="0045599D"/>
    <w:rsid w:val="00463506"/>
    <w:rsid w:val="0046402A"/>
    <w:rsid w:val="004655CB"/>
    <w:rsid w:val="00465FD1"/>
    <w:rsid w:val="004678C6"/>
    <w:rsid w:val="00471DDB"/>
    <w:rsid w:val="00472EE0"/>
    <w:rsid w:val="004737E2"/>
    <w:rsid w:val="00477D55"/>
    <w:rsid w:val="00481F46"/>
    <w:rsid w:val="00484691"/>
    <w:rsid w:val="00486ADC"/>
    <w:rsid w:val="00490FA1"/>
    <w:rsid w:val="00491CAC"/>
    <w:rsid w:val="00492284"/>
    <w:rsid w:val="0049610C"/>
    <w:rsid w:val="0049793E"/>
    <w:rsid w:val="00497A4B"/>
    <w:rsid w:val="004A1DD7"/>
    <w:rsid w:val="004A25AB"/>
    <w:rsid w:val="004A296D"/>
    <w:rsid w:val="004A4478"/>
    <w:rsid w:val="004A55DF"/>
    <w:rsid w:val="004A6734"/>
    <w:rsid w:val="004A7DAC"/>
    <w:rsid w:val="004B441D"/>
    <w:rsid w:val="004B5795"/>
    <w:rsid w:val="004B5871"/>
    <w:rsid w:val="004C2EE3"/>
    <w:rsid w:val="004C4352"/>
    <w:rsid w:val="004C693C"/>
    <w:rsid w:val="004C6AC5"/>
    <w:rsid w:val="004C7120"/>
    <w:rsid w:val="004C7963"/>
    <w:rsid w:val="004D14D2"/>
    <w:rsid w:val="004D1DB2"/>
    <w:rsid w:val="004D4F3D"/>
    <w:rsid w:val="004D531D"/>
    <w:rsid w:val="004E02FA"/>
    <w:rsid w:val="004E0640"/>
    <w:rsid w:val="004E2022"/>
    <w:rsid w:val="004E347E"/>
    <w:rsid w:val="004E4A22"/>
    <w:rsid w:val="004E5936"/>
    <w:rsid w:val="004F3A1A"/>
    <w:rsid w:val="004F4B62"/>
    <w:rsid w:val="004F5449"/>
    <w:rsid w:val="004F5683"/>
    <w:rsid w:val="004F5E64"/>
    <w:rsid w:val="004F5E89"/>
    <w:rsid w:val="00500D1F"/>
    <w:rsid w:val="00501243"/>
    <w:rsid w:val="0050401D"/>
    <w:rsid w:val="00505062"/>
    <w:rsid w:val="005050D6"/>
    <w:rsid w:val="00507488"/>
    <w:rsid w:val="0051080A"/>
    <w:rsid w:val="00511968"/>
    <w:rsid w:val="0051245D"/>
    <w:rsid w:val="005124D9"/>
    <w:rsid w:val="005145CB"/>
    <w:rsid w:val="00522A30"/>
    <w:rsid w:val="00525103"/>
    <w:rsid w:val="00526103"/>
    <w:rsid w:val="0052710C"/>
    <w:rsid w:val="005278FD"/>
    <w:rsid w:val="00530660"/>
    <w:rsid w:val="005404E4"/>
    <w:rsid w:val="00540959"/>
    <w:rsid w:val="00541786"/>
    <w:rsid w:val="005419E0"/>
    <w:rsid w:val="00541F03"/>
    <w:rsid w:val="00545CC7"/>
    <w:rsid w:val="00550110"/>
    <w:rsid w:val="005508BF"/>
    <w:rsid w:val="00551532"/>
    <w:rsid w:val="0055549B"/>
    <w:rsid w:val="00555E59"/>
    <w:rsid w:val="0055614C"/>
    <w:rsid w:val="0055639D"/>
    <w:rsid w:val="005579D5"/>
    <w:rsid w:val="00561D23"/>
    <w:rsid w:val="005626D4"/>
    <w:rsid w:val="005645B1"/>
    <w:rsid w:val="005654C5"/>
    <w:rsid w:val="00565A86"/>
    <w:rsid w:val="00566077"/>
    <w:rsid w:val="00567A40"/>
    <w:rsid w:val="00567FCE"/>
    <w:rsid w:val="00572218"/>
    <w:rsid w:val="00572A65"/>
    <w:rsid w:val="005742F2"/>
    <w:rsid w:val="00577224"/>
    <w:rsid w:val="005776BD"/>
    <w:rsid w:val="0058223B"/>
    <w:rsid w:val="00582969"/>
    <w:rsid w:val="005835DA"/>
    <w:rsid w:val="00584565"/>
    <w:rsid w:val="00586385"/>
    <w:rsid w:val="00590441"/>
    <w:rsid w:val="00592C4C"/>
    <w:rsid w:val="00597DF3"/>
    <w:rsid w:val="005A2A94"/>
    <w:rsid w:val="005B3200"/>
    <w:rsid w:val="005B364E"/>
    <w:rsid w:val="005B431A"/>
    <w:rsid w:val="005B4565"/>
    <w:rsid w:val="005B76E1"/>
    <w:rsid w:val="005B77EC"/>
    <w:rsid w:val="005C11B2"/>
    <w:rsid w:val="005C3D6F"/>
    <w:rsid w:val="005C7310"/>
    <w:rsid w:val="005C7E8A"/>
    <w:rsid w:val="005D0017"/>
    <w:rsid w:val="005D27C0"/>
    <w:rsid w:val="005D3425"/>
    <w:rsid w:val="005D3EF6"/>
    <w:rsid w:val="005E155A"/>
    <w:rsid w:val="005E221D"/>
    <w:rsid w:val="005E2EA3"/>
    <w:rsid w:val="005E31E1"/>
    <w:rsid w:val="005E4B8D"/>
    <w:rsid w:val="005E7899"/>
    <w:rsid w:val="005F0594"/>
    <w:rsid w:val="005F12E7"/>
    <w:rsid w:val="005F27F0"/>
    <w:rsid w:val="005F290A"/>
    <w:rsid w:val="005F3A0D"/>
    <w:rsid w:val="005F54A4"/>
    <w:rsid w:val="005F558B"/>
    <w:rsid w:val="005F615D"/>
    <w:rsid w:val="006021FB"/>
    <w:rsid w:val="00602329"/>
    <w:rsid w:val="00603911"/>
    <w:rsid w:val="00603931"/>
    <w:rsid w:val="0060559C"/>
    <w:rsid w:val="00605A3F"/>
    <w:rsid w:val="00606FF6"/>
    <w:rsid w:val="00607BA5"/>
    <w:rsid w:val="00607BF9"/>
    <w:rsid w:val="006100EB"/>
    <w:rsid w:val="006108AD"/>
    <w:rsid w:val="006115B8"/>
    <w:rsid w:val="00611BC3"/>
    <w:rsid w:val="00611E7C"/>
    <w:rsid w:val="00612B4D"/>
    <w:rsid w:val="0061499C"/>
    <w:rsid w:val="0062057D"/>
    <w:rsid w:val="006225BE"/>
    <w:rsid w:val="00624F99"/>
    <w:rsid w:val="00624FD7"/>
    <w:rsid w:val="00626EB6"/>
    <w:rsid w:val="0063094A"/>
    <w:rsid w:val="00631300"/>
    <w:rsid w:val="006313E2"/>
    <w:rsid w:val="00637C17"/>
    <w:rsid w:val="00640861"/>
    <w:rsid w:val="006421DF"/>
    <w:rsid w:val="006440F4"/>
    <w:rsid w:val="00646C84"/>
    <w:rsid w:val="006520A5"/>
    <w:rsid w:val="006554F4"/>
    <w:rsid w:val="00655D03"/>
    <w:rsid w:val="006561B9"/>
    <w:rsid w:val="0066076A"/>
    <w:rsid w:val="00661747"/>
    <w:rsid w:val="0066212E"/>
    <w:rsid w:val="006663EC"/>
    <w:rsid w:val="006666E8"/>
    <w:rsid w:val="00671673"/>
    <w:rsid w:val="00672039"/>
    <w:rsid w:val="0067516C"/>
    <w:rsid w:val="00675F97"/>
    <w:rsid w:val="00676723"/>
    <w:rsid w:val="006776B4"/>
    <w:rsid w:val="0068019D"/>
    <w:rsid w:val="006811E0"/>
    <w:rsid w:val="006811F1"/>
    <w:rsid w:val="00683EA2"/>
    <w:rsid w:val="00683F84"/>
    <w:rsid w:val="00686A51"/>
    <w:rsid w:val="006941AC"/>
    <w:rsid w:val="00696E22"/>
    <w:rsid w:val="006A05CA"/>
    <w:rsid w:val="006A10F9"/>
    <w:rsid w:val="006A1C87"/>
    <w:rsid w:val="006A2A50"/>
    <w:rsid w:val="006A3260"/>
    <w:rsid w:val="006A331D"/>
    <w:rsid w:val="006A3824"/>
    <w:rsid w:val="006A581E"/>
    <w:rsid w:val="006A6A81"/>
    <w:rsid w:val="006B34F9"/>
    <w:rsid w:val="006B4D0C"/>
    <w:rsid w:val="006B6017"/>
    <w:rsid w:val="006C1345"/>
    <w:rsid w:val="006C1944"/>
    <w:rsid w:val="006C23BC"/>
    <w:rsid w:val="006C40CA"/>
    <w:rsid w:val="006D015E"/>
    <w:rsid w:val="006D2DF3"/>
    <w:rsid w:val="006D4BA8"/>
    <w:rsid w:val="006D6923"/>
    <w:rsid w:val="006D6F8E"/>
    <w:rsid w:val="006D7F5F"/>
    <w:rsid w:val="006E21A2"/>
    <w:rsid w:val="006E2904"/>
    <w:rsid w:val="006E2A54"/>
    <w:rsid w:val="006E4326"/>
    <w:rsid w:val="006E4A96"/>
    <w:rsid w:val="006E6CFC"/>
    <w:rsid w:val="006F35AB"/>
    <w:rsid w:val="006F6AE9"/>
    <w:rsid w:val="006F7393"/>
    <w:rsid w:val="0070224F"/>
    <w:rsid w:val="0070289F"/>
    <w:rsid w:val="00704539"/>
    <w:rsid w:val="0070589D"/>
    <w:rsid w:val="00706C83"/>
    <w:rsid w:val="007115F7"/>
    <w:rsid w:val="00714014"/>
    <w:rsid w:val="0071473B"/>
    <w:rsid w:val="00722CD3"/>
    <w:rsid w:val="00725763"/>
    <w:rsid w:val="00725C20"/>
    <w:rsid w:val="0072645F"/>
    <w:rsid w:val="007279D7"/>
    <w:rsid w:val="00733B04"/>
    <w:rsid w:val="0073625E"/>
    <w:rsid w:val="00736482"/>
    <w:rsid w:val="00736852"/>
    <w:rsid w:val="00741796"/>
    <w:rsid w:val="007446E4"/>
    <w:rsid w:val="007447A7"/>
    <w:rsid w:val="0074605C"/>
    <w:rsid w:val="007471C6"/>
    <w:rsid w:val="007511CA"/>
    <w:rsid w:val="00751BA1"/>
    <w:rsid w:val="00753CD4"/>
    <w:rsid w:val="0075516F"/>
    <w:rsid w:val="007570F2"/>
    <w:rsid w:val="007604EA"/>
    <w:rsid w:val="0076163F"/>
    <w:rsid w:val="00763ED6"/>
    <w:rsid w:val="00764026"/>
    <w:rsid w:val="0076566F"/>
    <w:rsid w:val="007661E4"/>
    <w:rsid w:val="00775907"/>
    <w:rsid w:val="0077592C"/>
    <w:rsid w:val="00780100"/>
    <w:rsid w:val="0078054A"/>
    <w:rsid w:val="00782791"/>
    <w:rsid w:val="00782872"/>
    <w:rsid w:val="00785675"/>
    <w:rsid w:val="00785689"/>
    <w:rsid w:val="00785DDD"/>
    <w:rsid w:val="00785EA8"/>
    <w:rsid w:val="007875C0"/>
    <w:rsid w:val="007916AE"/>
    <w:rsid w:val="00792CB1"/>
    <w:rsid w:val="00793ABE"/>
    <w:rsid w:val="0079419B"/>
    <w:rsid w:val="0079527C"/>
    <w:rsid w:val="00795338"/>
    <w:rsid w:val="007953B5"/>
    <w:rsid w:val="0079587C"/>
    <w:rsid w:val="0079754B"/>
    <w:rsid w:val="007A1E6D"/>
    <w:rsid w:val="007A247C"/>
    <w:rsid w:val="007A7BA1"/>
    <w:rsid w:val="007B0C25"/>
    <w:rsid w:val="007B17D3"/>
    <w:rsid w:val="007B2211"/>
    <w:rsid w:val="007B37B7"/>
    <w:rsid w:val="007B3BDA"/>
    <w:rsid w:val="007B4F15"/>
    <w:rsid w:val="007B4F9B"/>
    <w:rsid w:val="007C0B39"/>
    <w:rsid w:val="007C2C8E"/>
    <w:rsid w:val="007C4B67"/>
    <w:rsid w:val="007C6255"/>
    <w:rsid w:val="007C6D44"/>
    <w:rsid w:val="007D0FCF"/>
    <w:rsid w:val="007D3344"/>
    <w:rsid w:val="007D3BC9"/>
    <w:rsid w:val="007E10BA"/>
    <w:rsid w:val="007E1B57"/>
    <w:rsid w:val="007E257A"/>
    <w:rsid w:val="007E2BD7"/>
    <w:rsid w:val="007E2D92"/>
    <w:rsid w:val="007E460A"/>
    <w:rsid w:val="007F25D2"/>
    <w:rsid w:val="007F2B5A"/>
    <w:rsid w:val="008044E4"/>
    <w:rsid w:val="00805856"/>
    <w:rsid w:val="008067EA"/>
    <w:rsid w:val="008104F7"/>
    <w:rsid w:val="00811D58"/>
    <w:rsid w:val="008128B3"/>
    <w:rsid w:val="008149C8"/>
    <w:rsid w:val="00815E84"/>
    <w:rsid w:val="008217DF"/>
    <w:rsid w:val="0082208D"/>
    <w:rsid w:val="00822CE0"/>
    <w:rsid w:val="00823DB9"/>
    <w:rsid w:val="00824015"/>
    <w:rsid w:val="0082410C"/>
    <w:rsid w:val="0082670C"/>
    <w:rsid w:val="0082735A"/>
    <w:rsid w:val="008307D5"/>
    <w:rsid w:val="00831C59"/>
    <w:rsid w:val="008346E7"/>
    <w:rsid w:val="008350AB"/>
    <w:rsid w:val="00841AB1"/>
    <w:rsid w:val="00843A5F"/>
    <w:rsid w:val="00844998"/>
    <w:rsid w:val="008472AC"/>
    <w:rsid w:val="00850DBC"/>
    <w:rsid w:val="008511B9"/>
    <w:rsid w:val="00852F69"/>
    <w:rsid w:val="00860B3E"/>
    <w:rsid w:val="008644A6"/>
    <w:rsid w:val="0086518D"/>
    <w:rsid w:val="0086596B"/>
    <w:rsid w:val="00867B1A"/>
    <w:rsid w:val="00877273"/>
    <w:rsid w:val="00880BA8"/>
    <w:rsid w:val="00881DA6"/>
    <w:rsid w:val="00883302"/>
    <w:rsid w:val="0088797D"/>
    <w:rsid w:val="00890101"/>
    <w:rsid w:val="008947F4"/>
    <w:rsid w:val="00897120"/>
    <w:rsid w:val="008A0994"/>
    <w:rsid w:val="008A1228"/>
    <w:rsid w:val="008A17C4"/>
    <w:rsid w:val="008A267C"/>
    <w:rsid w:val="008A37FE"/>
    <w:rsid w:val="008A404D"/>
    <w:rsid w:val="008A5341"/>
    <w:rsid w:val="008A7EA5"/>
    <w:rsid w:val="008C14DE"/>
    <w:rsid w:val="008C2D54"/>
    <w:rsid w:val="008C4282"/>
    <w:rsid w:val="008D046F"/>
    <w:rsid w:val="008D3A07"/>
    <w:rsid w:val="008D579C"/>
    <w:rsid w:val="008D66A7"/>
    <w:rsid w:val="008E08DB"/>
    <w:rsid w:val="008F196D"/>
    <w:rsid w:val="008F2329"/>
    <w:rsid w:val="008F2C31"/>
    <w:rsid w:val="008F546F"/>
    <w:rsid w:val="008F5609"/>
    <w:rsid w:val="008F6354"/>
    <w:rsid w:val="009000B2"/>
    <w:rsid w:val="00903487"/>
    <w:rsid w:val="00903E19"/>
    <w:rsid w:val="00904C94"/>
    <w:rsid w:val="009052A4"/>
    <w:rsid w:val="009102C4"/>
    <w:rsid w:val="00910F04"/>
    <w:rsid w:val="00911882"/>
    <w:rsid w:val="00912507"/>
    <w:rsid w:val="00912A4B"/>
    <w:rsid w:val="00917CD4"/>
    <w:rsid w:val="00921803"/>
    <w:rsid w:val="0092218F"/>
    <w:rsid w:val="00922F5C"/>
    <w:rsid w:val="0092377E"/>
    <w:rsid w:val="00925ADF"/>
    <w:rsid w:val="00925EC6"/>
    <w:rsid w:val="00926503"/>
    <w:rsid w:val="0092745B"/>
    <w:rsid w:val="00931485"/>
    <w:rsid w:val="009317FB"/>
    <w:rsid w:val="009319F8"/>
    <w:rsid w:val="009332A1"/>
    <w:rsid w:val="0093490E"/>
    <w:rsid w:val="00935E3A"/>
    <w:rsid w:val="0094240B"/>
    <w:rsid w:val="00942C46"/>
    <w:rsid w:val="00943560"/>
    <w:rsid w:val="00943CB0"/>
    <w:rsid w:val="00947550"/>
    <w:rsid w:val="009504FE"/>
    <w:rsid w:val="00950EB7"/>
    <w:rsid w:val="00951A61"/>
    <w:rsid w:val="00953204"/>
    <w:rsid w:val="00956027"/>
    <w:rsid w:val="00956337"/>
    <w:rsid w:val="0096233D"/>
    <w:rsid w:val="00962945"/>
    <w:rsid w:val="009632A6"/>
    <w:rsid w:val="00964237"/>
    <w:rsid w:val="00966371"/>
    <w:rsid w:val="009676BC"/>
    <w:rsid w:val="00967CB6"/>
    <w:rsid w:val="00970C3F"/>
    <w:rsid w:val="00970C6B"/>
    <w:rsid w:val="009711A2"/>
    <w:rsid w:val="009714C8"/>
    <w:rsid w:val="0097256B"/>
    <w:rsid w:val="00972C87"/>
    <w:rsid w:val="009741B1"/>
    <w:rsid w:val="00975449"/>
    <w:rsid w:val="00976233"/>
    <w:rsid w:val="0097651C"/>
    <w:rsid w:val="0097696A"/>
    <w:rsid w:val="00981C93"/>
    <w:rsid w:val="0098449D"/>
    <w:rsid w:val="00987FB6"/>
    <w:rsid w:val="0099140B"/>
    <w:rsid w:val="00991A29"/>
    <w:rsid w:val="00992F4D"/>
    <w:rsid w:val="009942A1"/>
    <w:rsid w:val="009A40C2"/>
    <w:rsid w:val="009A4C16"/>
    <w:rsid w:val="009A7EE4"/>
    <w:rsid w:val="009B5A50"/>
    <w:rsid w:val="009C0B38"/>
    <w:rsid w:val="009D332B"/>
    <w:rsid w:val="009D66D5"/>
    <w:rsid w:val="009E036D"/>
    <w:rsid w:val="009E2677"/>
    <w:rsid w:val="009E3939"/>
    <w:rsid w:val="009E4E15"/>
    <w:rsid w:val="009E58C9"/>
    <w:rsid w:val="009E5BD6"/>
    <w:rsid w:val="009E72BA"/>
    <w:rsid w:val="009F04D5"/>
    <w:rsid w:val="009F286B"/>
    <w:rsid w:val="009F3A92"/>
    <w:rsid w:val="009F514B"/>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99B"/>
    <w:rsid w:val="00A27ACB"/>
    <w:rsid w:val="00A35CE8"/>
    <w:rsid w:val="00A3732E"/>
    <w:rsid w:val="00A453E0"/>
    <w:rsid w:val="00A45F4F"/>
    <w:rsid w:val="00A4658E"/>
    <w:rsid w:val="00A5227B"/>
    <w:rsid w:val="00A55F1C"/>
    <w:rsid w:val="00A5729D"/>
    <w:rsid w:val="00A57B31"/>
    <w:rsid w:val="00A600A9"/>
    <w:rsid w:val="00A60258"/>
    <w:rsid w:val="00A606BF"/>
    <w:rsid w:val="00A607B0"/>
    <w:rsid w:val="00A6117C"/>
    <w:rsid w:val="00A61ED7"/>
    <w:rsid w:val="00A629D4"/>
    <w:rsid w:val="00A66336"/>
    <w:rsid w:val="00A669A9"/>
    <w:rsid w:val="00A67663"/>
    <w:rsid w:val="00A70395"/>
    <w:rsid w:val="00A74DB8"/>
    <w:rsid w:val="00A75965"/>
    <w:rsid w:val="00A75E8E"/>
    <w:rsid w:val="00A77D25"/>
    <w:rsid w:val="00A81E40"/>
    <w:rsid w:val="00A82494"/>
    <w:rsid w:val="00A8368B"/>
    <w:rsid w:val="00A848C2"/>
    <w:rsid w:val="00A87C06"/>
    <w:rsid w:val="00A936BB"/>
    <w:rsid w:val="00A95282"/>
    <w:rsid w:val="00A96A5E"/>
    <w:rsid w:val="00AA2600"/>
    <w:rsid w:val="00AA3708"/>
    <w:rsid w:val="00AA40F2"/>
    <w:rsid w:val="00AA4B16"/>
    <w:rsid w:val="00AA53FF"/>
    <w:rsid w:val="00AA55B7"/>
    <w:rsid w:val="00AA5B9E"/>
    <w:rsid w:val="00AA7463"/>
    <w:rsid w:val="00AA7622"/>
    <w:rsid w:val="00AB2407"/>
    <w:rsid w:val="00AB2C10"/>
    <w:rsid w:val="00AB39F3"/>
    <w:rsid w:val="00AB4688"/>
    <w:rsid w:val="00AB4CF8"/>
    <w:rsid w:val="00AB53DF"/>
    <w:rsid w:val="00AC12AD"/>
    <w:rsid w:val="00AC2247"/>
    <w:rsid w:val="00AC3AA2"/>
    <w:rsid w:val="00AC3D20"/>
    <w:rsid w:val="00AC5A7C"/>
    <w:rsid w:val="00AD010D"/>
    <w:rsid w:val="00AD0726"/>
    <w:rsid w:val="00AD0ADA"/>
    <w:rsid w:val="00AD3587"/>
    <w:rsid w:val="00AD6C34"/>
    <w:rsid w:val="00AE1D47"/>
    <w:rsid w:val="00AE27F8"/>
    <w:rsid w:val="00AE43B7"/>
    <w:rsid w:val="00AE4DB3"/>
    <w:rsid w:val="00AE4E54"/>
    <w:rsid w:val="00AF03D6"/>
    <w:rsid w:val="00AF6522"/>
    <w:rsid w:val="00AF7DAD"/>
    <w:rsid w:val="00B00166"/>
    <w:rsid w:val="00B00AE1"/>
    <w:rsid w:val="00B02DC2"/>
    <w:rsid w:val="00B02FB8"/>
    <w:rsid w:val="00B07321"/>
    <w:rsid w:val="00B07E5C"/>
    <w:rsid w:val="00B10576"/>
    <w:rsid w:val="00B124E9"/>
    <w:rsid w:val="00B13350"/>
    <w:rsid w:val="00B141B4"/>
    <w:rsid w:val="00B14FAF"/>
    <w:rsid w:val="00B15877"/>
    <w:rsid w:val="00B1792B"/>
    <w:rsid w:val="00B2001B"/>
    <w:rsid w:val="00B211FD"/>
    <w:rsid w:val="00B21366"/>
    <w:rsid w:val="00B231E2"/>
    <w:rsid w:val="00B239D9"/>
    <w:rsid w:val="00B2416A"/>
    <w:rsid w:val="00B277A4"/>
    <w:rsid w:val="00B302CB"/>
    <w:rsid w:val="00B30AF2"/>
    <w:rsid w:val="00B31E9C"/>
    <w:rsid w:val="00B32157"/>
    <w:rsid w:val="00B44A4F"/>
    <w:rsid w:val="00B47311"/>
    <w:rsid w:val="00B508D0"/>
    <w:rsid w:val="00B517BE"/>
    <w:rsid w:val="00B5414A"/>
    <w:rsid w:val="00B5628E"/>
    <w:rsid w:val="00B64EC5"/>
    <w:rsid w:val="00B65EF8"/>
    <w:rsid w:val="00B66445"/>
    <w:rsid w:val="00B66F5A"/>
    <w:rsid w:val="00B67077"/>
    <w:rsid w:val="00B75912"/>
    <w:rsid w:val="00B761CF"/>
    <w:rsid w:val="00B80DF6"/>
    <w:rsid w:val="00B811F7"/>
    <w:rsid w:val="00B816A7"/>
    <w:rsid w:val="00B84E6C"/>
    <w:rsid w:val="00B85BB1"/>
    <w:rsid w:val="00B860D7"/>
    <w:rsid w:val="00B87679"/>
    <w:rsid w:val="00B92A77"/>
    <w:rsid w:val="00BA23D6"/>
    <w:rsid w:val="00BA3B91"/>
    <w:rsid w:val="00BA41C1"/>
    <w:rsid w:val="00BA5DC6"/>
    <w:rsid w:val="00BA6196"/>
    <w:rsid w:val="00BA6E32"/>
    <w:rsid w:val="00BA7F12"/>
    <w:rsid w:val="00BB0606"/>
    <w:rsid w:val="00BB0C03"/>
    <w:rsid w:val="00BB30ED"/>
    <w:rsid w:val="00BB365A"/>
    <w:rsid w:val="00BB5512"/>
    <w:rsid w:val="00BB57FD"/>
    <w:rsid w:val="00BC2CFF"/>
    <w:rsid w:val="00BC5D56"/>
    <w:rsid w:val="00BC68DF"/>
    <w:rsid w:val="00BC6D8C"/>
    <w:rsid w:val="00BC7139"/>
    <w:rsid w:val="00BC76F9"/>
    <w:rsid w:val="00BD129C"/>
    <w:rsid w:val="00BD24F4"/>
    <w:rsid w:val="00BD2F93"/>
    <w:rsid w:val="00BE2581"/>
    <w:rsid w:val="00BE2B2B"/>
    <w:rsid w:val="00BE56B5"/>
    <w:rsid w:val="00BE73DC"/>
    <w:rsid w:val="00BE7722"/>
    <w:rsid w:val="00BF0234"/>
    <w:rsid w:val="00BF0EF3"/>
    <w:rsid w:val="00BF10D8"/>
    <w:rsid w:val="00BF1EEC"/>
    <w:rsid w:val="00C01CFE"/>
    <w:rsid w:val="00C02FA9"/>
    <w:rsid w:val="00C04D36"/>
    <w:rsid w:val="00C06E84"/>
    <w:rsid w:val="00C10ADD"/>
    <w:rsid w:val="00C203B9"/>
    <w:rsid w:val="00C218DC"/>
    <w:rsid w:val="00C26F5F"/>
    <w:rsid w:val="00C34006"/>
    <w:rsid w:val="00C35D0D"/>
    <w:rsid w:val="00C4174C"/>
    <w:rsid w:val="00C426B1"/>
    <w:rsid w:val="00C438ED"/>
    <w:rsid w:val="00C447D2"/>
    <w:rsid w:val="00C473A8"/>
    <w:rsid w:val="00C473B4"/>
    <w:rsid w:val="00C47A0C"/>
    <w:rsid w:val="00C5171A"/>
    <w:rsid w:val="00C518D0"/>
    <w:rsid w:val="00C523B9"/>
    <w:rsid w:val="00C52CF8"/>
    <w:rsid w:val="00C53412"/>
    <w:rsid w:val="00C6071D"/>
    <w:rsid w:val="00C612AC"/>
    <w:rsid w:val="00C670CB"/>
    <w:rsid w:val="00C67932"/>
    <w:rsid w:val="00C700F9"/>
    <w:rsid w:val="00C713BD"/>
    <w:rsid w:val="00C7579F"/>
    <w:rsid w:val="00C76BB9"/>
    <w:rsid w:val="00C85024"/>
    <w:rsid w:val="00C85BF5"/>
    <w:rsid w:val="00C85DCF"/>
    <w:rsid w:val="00C87183"/>
    <w:rsid w:val="00C87301"/>
    <w:rsid w:val="00C90844"/>
    <w:rsid w:val="00C90D6A"/>
    <w:rsid w:val="00C9246B"/>
    <w:rsid w:val="00C92CF8"/>
    <w:rsid w:val="00C92F97"/>
    <w:rsid w:val="00C93A14"/>
    <w:rsid w:val="00C93F09"/>
    <w:rsid w:val="00C942BD"/>
    <w:rsid w:val="00C95D80"/>
    <w:rsid w:val="00C97227"/>
    <w:rsid w:val="00CA198B"/>
    <w:rsid w:val="00CA21C0"/>
    <w:rsid w:val="00CA247E"/>
    <w:rsid w:val="00CA4C0C"/>
    <w:rsid w:val="00CA7078"/>
    <w:rsid w:val="00CB260B"/>
    <w:rsid w:val="00CB41E3"/>
    <w:rsid w:val="00CB51FE"/>
    <w:rsid w:val="00CB74F9"/>
    <w:rsid w:val="00CC2691"/>
    <w:rsid w:val="00CC28B3"/>
    <w:rsid w:val="00CC2A2E"/>
    <w:rsid w:val="00CC4A43"/>
    <w:rsid w:val="00CC532C"/>
    <w:rsid w:val="00CC596B"/>
    <w:rsid w:val="00CC72B6"/>
    <w:rsid w:val="00CC746A"/>
    <w:rsid w:val="00CD0180"/>
    <w:rsid w:val="00CD2C9B"/>
    <w:rsid w:val="00CD4032"/>
    <w:rsid w:val="00CD45F8"/>
    <w:rsid w:val="00CD5BCD"/>
    <w:rsid w:val="00CE1849"/>
    <w:rsid w:val="00CE1A0C"/>
    <w:rsid w:val="00CE428F"/>
    <w:rsid w:val="00CE632C"/>
    <w:rsid w:val="00CE76C6"/>
    <w:rsid w:val="00CF1C0F"/>
    <w:rsid w:val="00CF2F47"/>
    <w:rsid w:val="00CF3321"/>
    <w:rsid w:val="00CF371F"/>
    <w:rsid w:val="00CF5407"/>
    <w:rsid w:val="00CF77B7"/>
    <w:rsid w:val="00D00695"/>
    <w:rsid w:val="00D01498"/>
    <w:rsid w:val="00D0218D"/>
    <w:rsid w:val="00D03AD8"/>
    <w:rsid w:val="00D046D2"/>
    <w:rsid w:val="00D05A77"/>
    <w:rsid w:val="00D06B6F"/>
    <w:rsid w:val="00D1069B"/>
    <w:rsid w:val="00D106CD"/>
    <w:rsid w:val="00D10745"/>
    <w:rsid w:val="00D15C14"/>
    <w:rsid w:val="00D23E19"/>
    <w:rsid w:val="00D257FE"/>
    <w:rsid w:val="00D25C5E"/>
    <w:rsid w:val="00D25ED7"/>
    <w:rsid w:val="00D25FB5"/>
    <w:rsid w:val="00D26289"/>
    <w:rsid w:val="00D3032A"/>
    <w:rsid w:val="00D31663"/>
    <w:rsid w:val="00D34498"/>
    <w:rsid w:val="00D34844"/>
    <w:rsid w:val="00D3490E"/>
    <w:rsid w:val="00D35731"/>
    <w:rsid w:val="00D377A5"/>
    <w:rsid w:val="00D42D5D"/>
    <w:rsid w:val="00D4334D"/>
    <w:rsid w:val="00D43565"/>
    <w:rsid w:val="00D44790"/>
    <w:rsid w:val="00D45A76"/>
    <w:rsid w:val="00D51A2B"/>
    <w:rsid w:val="00D52151"/>
    <w:rsid w:val="00D52555"/>
    <w:rsid w:val="00D55448"/>
    <w:rsid w:val="00D5619D"/>
    <w:rsid w:val="00D56630"/>
    <w:rsid w:val="00D630D3"/>
    <w:rsid w:val="00D67F84"/>
    <w:rsid w:val="00D704AA"/>
    <w:rsid w:val="00D70822"/>
    <w:rsid w:val="00D71CDA"/>
    <w:rsid w:val="00D72D28"/>
    <w:rsid w:val="00D7445B"/>
    <w:rsid w:val="00D76D3D"/>
    <w:rsid w:val="00D81FA0"/>
    <w:rsid w:val="00D8285C"/>
    <w:rsid w:val="00D82EB7"/>
    <w:rsid w:val="00D82FB7"/>
    <w:rsid w:val="00D83129"/>
    <w:rsid w:val="00D84548"/>
    <w:rsid w:val="00D86532"/>
    <w:rsid w:val="00D91240"/>
    <w:rsid w:val="00D91C76"/>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B697C"/>
    <w:rsid w:val="00DB6F01"/>
    <w:rsid w:val="00DC0572"/>
    <w:rsid w:val="00DC10A1"/>
    <w:rsid w:val="00DC1BFB"/>
    <w:rsid w:val="00DC5271"/>
    <w:rsid w:val="00DC5DD8"/>
    <w:rsid w:val="00DC655F"/>
    <w:rsid w:val="00DC6E68"/>
    <w:rsid w:val="00DC6EB4"/>
    <w:rsid w:val="00DD0B59"/>
    <w:rsid w:val="00DD1CEE"/>
    <w:rsid w:val="00DD2CC7"/>
    <w:rsid w:val="00DD6824"/>
    <w:rsid w:val="00DD7967"/>
    <w:rsid w:val="00DD7DE0"/>
    <w:rsid w:val="00DD7EBD"/>
    <w:rsid w:val="00DE0C2F"/>
    <w:rsid w:val="00DE31E5"/>
    <w:rsid w:val="00DE3C59"/>
    <w:rsid w:val="00DE4FA9"/>
    <w:rsid w:val="00DE704A"/>
    <w:rsid w:val="00DE7126"/>
    <w:rsid w:val="00DF05A3"/>
    <w:rsid w:val="00DF1C0C"/>
    <w:rsid w:val="00DF3207"/>
    <w:rsid w:val="00DF4504"/>
    <w:rsid w:val="00DF465C"/>
    <w:rsid w:val="00DF47DF"/>
    <w:rsid w:val="00DF5AF8"/>
    <w:rsid w:val="00DF5C09"/>
    <w:rsid w:val="00DF62B6"/>
    <w:rsid w:val="00DF7138"/>
    <w:rsid w:val="00E014BC"/>
    <w:rsid w:val="00E01C7C"/>
    <w:rsid w:val="00E03633"/>
    <w:rsid w:val="00E037E1"/>
    <w:rsid w:val="00E069F9"/>
    <w:rsid w:val="00E06B84"/>
    <w:rsid w:val="00E06BDE"/>
    <w:rsid w:val="00E07225"/>
    <w:rsid w:val="00E07D6B"/>
    <w:rsid w:val="00E12982"/>
    <w:rsid w:val="00E13E70"/>
    <w:rsid w:val="00E141AE"/>
    <w:rsid w:val="00E14561"/>
    <w:rsid w:val="00E211FE"/>
    <w:rsid w:val="00E21EC7"/>
    <w:rsid w:val="00E2291D"/>
    <w:rsid w:val="00E26811"/>
    <w:rsid w:val="00E32005"/>
    <w:rsid w:val="00E3204A"/>
    <w:rsid w:val="00E3378C"/>
    <w:rsid w:val="00E35272"/>
    <w:rsid w:val="00E41B30"/>
    <w:rsid w:val="00E421F8"/>
    <w:rsid w:val="00E440DF"/>
    <w:rsid w:val="00E44287"/>
    <w:rsid w:val="00E44AC6"/>
    <w:rsid w:val="00E465A8"/>
    <w:rsid w:val="00E47C42"/>
    <w:rsid w:val="00E521F4"/>
    <w:rsid w:val="00E52DC7"/>
    <w:rsid w:val="00E53B3A"/>
    <w:rsid w:val="00E5409F"/>
    <w:rsid w:val="00E54C87"/>
    <w:rsid w:val="00E56745"/>
    <w:rsid w:val="00E63070"/>
    <w:rsid w:val="00E70486"/>
    <w:rsid w:val="00E73616"/>
    <w:rsid w:val="00E738A1"/>
    <w:rsid w:val="00E76260"/>
    <w:rsid w:val="00E76A80"/>
    <w:rsid w:val="00E76AE5"/>
    <w:rsid w:val="00E7736D"/>
    <w:rsid w:val="00E828C5"/>
    <w:rsid w:val="00E843BC"/>
    <w:rsid w:val="00E87831"/>
    <w:rsid w:val="00E93679"/>
    <w:rsid w:val="00E94865"/>
    <w:rsid w:val="00E95C94"/>
    <w:rsid w:val="00EA1A3D"/>
    <w:rsid w:val="00EA21F8"/>
    <w:rsid w:val="00EA2377"/>
    <w:rsid w:val="00EA296C"/>
    <w:rsid w:val="00EA367A"/>
    <w:rsid w:val="00EA768B"/>
    <w:rsid w:val="00EB051D"/>
    <w:rsid w:val="00EB06F7"/>
    <w:rsid w:val="00EB0F91"/>
    <w:rsid w:val="00EB121A"/>
    <w:rsid w:val="00EB1673"/>
    <w:rsid w:val="00EB2E40"/>
    <w:rsid w:val="00EB356C"/>
    <w:rsid w:val="00EB6225"/>
    <w:rsid w:val="00EB6A7F"/>
    <w:rsid w:val="00EB752D"/>
    <w:rsid w:val="00EC5684"/>
    <w:rsid w:val="00EC58BD"/>
    <w:rsid w:val="00EC663A"/>
    <w:rsid w:val="00EC767E"/>
    <w:rsid w:val="00ED1A85"/>
    <w:rsid w:val="00ED3C77"/>
    <w:rsid w:val="00ED48FF"/>
    <w:rsid w:val="00ED5746"/>
    <w:rsid w:val="00ED64B0"/>
    <w:rsid w:val="00ED6B1E"/>
    <w:rsid w:val="00ED6B91"/>
    <w:rsid w:val="00EE0C8E"/>
    <w:rsid w:val="00EE1DCD"/>
    <w:rsid w:val="00EE270C"/>
    <w:rsid w:val="00EE2FB9"/>
    <w:rsid w:val="00EE6488"/>
    <w:rsid w:val="00EE7A65"/>
    <w:rsid w:val="00EF1C44"/>
    <w:rsid w:val="00EF28F5"/>
    <w:rsid w:val="00EF3095"/>
    <w:rsid w:val="00EF4CF7"/>
    <w:rsid w:val="00EF7F44"/>
    <w:rsid w:val="00F021FA"/>
    <w:rsid w:val="00F038E2"/>
    <w:rsid w:val="00F053C4"/>
    <w:rsid w:val="00F1096D"/>
    <w:rsid w:val="00F125D4"/>
    <w:rsid w:val="00F162A0"/>
    <w:rsid w:val="00F162E3"/>
    <w:rsid w:val="00F240C3"/>
    <w:rsid w:val="00F24FF8"/>
    <w:rsid w:val="00F26D4E"/>
    <w:rsid w:val="00F26E51"/>
    <w:rsid w:val="00F27282"/>
    <w:rsid w:val="00F31179"/>
    <w:rsid w:val="00F360F9"/>
    <w:rsid w:val="00F361E6"/>
    <w:rsid w:val="00F3638F"/>
    <w:rsid w:val="00F3676D"/>
    <w:rsid w:val="00F442BB"/>
    <w:rsid w:val="00F44F3A"/>
    <w:rsid w:val="00F51B1D"/>
    <w:rsid w:val="00F62E97"/>
    <w:rsid w:val="00F64209"/>
    <w:rsid w:val="00F6525C"/>
    <w:rsid w:val="00F65CE9"/>
    <w:rsid w:val="00F70E6D"/>
    <w:rsid w:val="00F71F68"/>
    <w:rsid w:val="00F723E4"/>
    <w:rsid w:val="00F7431F"/>
    <w:rsid w:val="00F74D07"/>
    <w:rsid w:val="00F75066"/>
    <w:rsid w:val="00F80663"/>
    <w:rsid w:val="00F810BC"/>
    <w:rsid w:val="00F82C43"/>
    <w:rsid w:val="00F84126"/>
    <w:rsid w:val="00F84BCA"/>
    <w:rsid w:val="00F85EA2"/>
    <w:rsid w:val="00F87A23"/>
    <w:rsid w:val="00F90847"/>
    <w:rsid w:val="00F92977"/>
    <w:rsid w:val="00F9306A"/>
    <w:rsid w:val="00F931E1"/>
    <w:rsid w:val="00F93BF5"/>
    <w:rsid w:val="00F95B76"/>
    <w:rsid w:val="00F9645E"/>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0702"/>
    <w:rsid w:val="00FD2F8B"/>
    <w:rsid w:val="00FD32B6"/>
    <w:rsid w:val="00FD5673"/>
    <w:rsid w:val="00FD5FA7"/>
    <w:rsid w:val="00FE0139"/>
    <w:rsid w:val="00FE1E94"/>
    <w:rsid w:val="00FE44B4"/>
    <w:rsid w:val="00FE6A5A"/>
    <w:rsid w:val="00FE7172"/>
    <w:rsid w:val="00FF001A"/>
    <w:rsid w:val="00FF0162"/>
    <w:rsid w:val="00FF023D"/>
    <w:rsid w:val="00FF50AF"/>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06ACAAA-C5E5-4329-A55C-E71E8A2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C9"/>
    <w:pPr>
      <w:widowControl w:val="0"/>
    </w:pPr>
    <w:rPr>
      <w:snapToGrid w:val="0"/>
      <w:kern w:val="28"/>
      <w:sz w:val="22"/>
    </w:rPr>
  </w:style>
  <w:style w:type="paragraph" w:styleId="Heading1">
    <w:name w:val="heading 1"/>
    <w:basedOn w:val="Normal"/>
    <w:next w:val="ParaNum"/>
    <w:qFormat/>
    <w:rsid w:val="000D15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15C9"/>
    <w:pPr>
      <w:keepNext/>
      <w:numPr>
        <w:ilvl w:val="1"/>
        <w:numId w:val="2"/>
      </w:numPr>
      <w:spacing w:after="120"/>
      <w:outlineLvl w:val="1"/>
    </w:pPr>
    <w:rPr>
      <w:b/>
    </w:rPr>
  </w:style>
  <w:style w:type="paragraph" w:styleId="Heading3">
    <w:name w:val="heading 3"/>
    <w:basedOn w:val="Normal"/>
    <w:next w:val="ParaNum"/>
    <w:qFormat/>
    <w:rsid w:val="000D15C9"/>
    <w:pPr>
      <w:keepNext/>
      <w:numPr>
        <w:ilvl w:val="2"/>
        <w:numId w:val="2"/>
      </w:numPr>
      <w:tabs>
        <w:tab w:val="left" w:pos="2160"/>
      </w:tabs>
      <w:spacing w:after="120"/>
      <w:outlineLvl w:val="2"/>
    </w:pPr>
    <w:rPr>
      <w:b/>
    </w:rPr>
  </w:style>
  <w:style w:type="paragraph" w:styleId="Heading4">
    <w:name w:val="heading 4"/>
    <w:basedOn w:val="Normal"/>
    <w:next w:val="ParaNum"/>
    <w:qFormat/>
    <w:rsid w:val="000D15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D15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D15C9"/>
    <w:pPr>
      <w:numPr>
        <w:ilvl w:val="5"/>
        <w:numId w:val="2"/>
      </w:numPr>
      <w:tabs>
        <w:tab w:val="left" w:pos="4320"/>
      </w:tabs>
      <w:spacing w:after="120"/>
      <w:outlineLvl w:val="5"/>
    </w:pPr>
    <w:rPr>
      <w:b/>
    </w:rPr>
  </w:style>
  <w:style w:type="paragraph" w:styleId="Heading7">
    <w:name w:val="heading 7"/>
    <w:basedOn w:val="Normal"/>
    <w:next w:val="ParaNum"/>
    <w:qFormat/>
    <w:rsid w:val="000D15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D15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D15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5C9"/>
  </w:style>
  <w:style w:type="paragraph" w:customStyle="1" w:styleId="ParaNum">
    <w:name w:val="ParaNum"/>
    <w:basedOn w:val="Normal"/>
    <w:link w:val="ParaNumChar0"/>
    <w:rsid w:val="000D15C9"/>
    <w:pPr>
      <w:numPr>
        <w:numId w:val="1"/>
      </w:numPr>
      <w:tabs>
        <w:tab w:val="clear" w:pos="1080"/>
        <w:tab w:val="num" w:pos="1440"/>
      </w:tabs>
      <w:spacing w:after="120"/>
    </w:pPr>
  </w:style>
  <w:style w:type="paragraph" w:styleId="EndnoteText">
    <w:name w:val="endnote text"/>
    <w:basedOn w:val="Normal"/>
    <w:semiHidden/>
    <w:rsid w:val="000D15C9"/>
    <w:rPr>
      <w:sz w:val="20"/>
    </w:rPr>
  </w:style>
  <w:style w:type="character" w:styleId="EndnoteReference">
    <w:name w:val="endnote reference"/>
    <w:semiHidden/>
    <w:rsid w:val="000D15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D15C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15C9"/>
    <w:rPr>
      <w:rFonts w:ascii="Times New Roman" w:hAnsi="Times New Roman"/>
      <w:dstrike w:val="0"/>
      <w:color w:val="auto"/>
      <w:sz w:val="20"/>
      <w:vertAlign w:val="superscript"/>
    </w:rPr>
  </w:style>
  <w:style w:type="paragraph" w:styleId="TOC1">
    <w:name w:val="toc 1"/>
    <w:basedOn w:val="Normal"/>
    <w:next w:val="Normal"/>
    <w:semiHidden/>
    <w:rsid w:val="000D15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5C9"/>
    <w:pPr>
      <w:tabs>
        <w:tab w:val="left" w:pos="720"/>
        <w:tab w:val="right" w:leader="dot" w:pos="9360"/>
      </w:tabs>
      <w:suppressAutoHyphens/>
      <w:ind w:left="720" w:right="720" w:hanging="360"/>
    </w:pPr>
    <w:rPr>
      <w:noProof/>
    </w:rPr>
  </w:style>
  <w:style w:type="paragraph" w:styleId="TOC3">
    <w:name w:val="toc 3"/>
    <w:basedOn w:val="Normal"/>
    <w:next w:val="Normal"/>
    <w:semiHidden/>
    <w:rsid w:val="000D15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5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5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5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5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5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5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5C9"/>
    <w:pPr>
      <w:tabs>
        <w:tab w:val="right" w:pos="9360"/>
      </w:tabs>
      <w:suppressAutoHyphens/>
    </w:pPr>
  </w:style>
  <w:style w:type="character" w:customStyle="1" w:styleId="EquationCaption">
    <w:name w:val="_Equation Caption"/>
    <w:rsid w:val="000D15C9"/>
  </w:style>
  <w:style w:type="paragraph" w:styleId="Header">
    <w:name w:val="header"/>
    <w:basedOn w:val="Normal"/>
    <w:link w:val="HeaderChar"/>
    <w:autoRedefine/>
    <w:rsid w:val="000D15C9"/>
    <w:pPr>
      <w:tabs>
        <w:tab w:val="center" w:pos="4680"/>
        <w:tab w:val="right" w:pos="9360"/>
      </w:tabs>
    </w:pPr>
    <w:rPr>
      <w:b/>
    </w:rPr>
  </w:style>
  <w:style w:type="paragraph" w:styleId="Footer">
    <w:name w:val="footer"/>
    <w:basedOn w:val="Normal"/>
    <w:link w:val="FooterChar"/>
    <w:uiPriority w:val="99"/>
    <w:rsid w:val="000D15C9"/>
    <w:pPr>
      <w:tabs>
        <w:tab w:val="center" w:pos="4320"/>
        <w:tab w:val="right" w:pos="8640"/>
      </w:tabs>
    </w:pPr>
  </w:style>
  <w:style w:type="character" w:styleId="PageNumber">
    <w:name w:val="page number"/>
    <w:basedOn w:val="DefaultParagraphFont"/>
    <w:rsid w:val="000D15C9"/>
  </w:style>
  <w:style w:type="paragraph" w:styleId="BlockText">
    <w:name w:val="Block Text"/>
    <w:basedOn w:val="Normal"/>
    <w:rsid w:val="000D15C9"/>
    <w:pPr>
      <w:spacing w:after="240"/>
      <w:ind w:left="1440" w:right="1440"/>
    </w:pPr>
  </w:style>
  <w:style w:type="paragraph" w:customStyle="1" w:styleId="Paratitle">
    <w:name w:val="Para title"/>
    <w:basedOn w:val="Normal"/>
    <w:rsid w:val="000D15C9"/>
    <w:pPr>
      <w:tabs>
        <w:tab w:val="center" w:pos="9270"/>
      </w:tabs>
      <w:spacing w:after="240"/>
    </w:pPr>
    <w:rPr>
      <w:spacing w:val="-2"/>
    </w:rPr>
  </w:style>
  <w:style w:type="paragraph" w:customStyle="1" w:styleId="Bullet">
    <w:name w:val="Bullet"/>
    <w:basedOn w:val="Normal"/>
    <w:rsid w:val="000D15C9"/>
    <w:pPr>
      <w:tabs>
        <w:tab w:val="left" w:pos="2160"/>
      </w:tabs>
      <w:spacing w:after="220"/>
      <w:ind w:left="2160" w:hanging="720"/>
    </w:pPr>
  </w:style>
  <w:style w:type="paragraph" w:customStyle="1" w:styleId="TableFormat">
    <w:name w:val="TableFormat"/>
    <w:basedOn w:val="Bullet"/>
    <w:rsid w:val="000D15C9"/>
    <w:pPr>
      <w:tabs>
        <w:tab w:val="clear" w:pos="2160"/>
        <w:tab w:val="left" w:pos="5040"/>
      </w:tabs>
      <w:ind w:left="5040" w:hanging="3600"/>
    </w:pPr>
  </w:style>
  <w:style w:type="paragraph" w:customStyle="1" w:styleId="TOCTitle">
    <w:name w:val="TOC Title"/>
    <w:basedOn w:val="Normal"/>
    <w:rsid w:val="000D15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5C9"/>
    <w:pPr>
      <w:jc w:val="center"/>
    </w:pPr>
    <w:rPr>
      <w:rFonts w:ascii="Times New Roman Bold" w:hAnsi="Times New Roman Bold"/>
      <w:b/>
      <w:bCs/>
      <w:caps/>
      <w:szCs w:val="22"/>
    </w:rPr>
  </w:style>
  <w:style w:type="character" w:styleId="Hyperlink">
    <w:name w:val="Hyperlink"/>
    <w:rsid w:val="000D15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uiPriority w:val="99"/>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73625E"/>
    <w:rPr>
      <w:b/>
      <w:snapToGrid w:val="0"/>
      <w:kern w:val="28"/>
      <w:sz w:val="22"/>
    </w:rPr>
  </w:style>
  <w:style w:type="paragraph" w:styleId="BodyText">
    <w:name w:val="Body Text"/>
    <w:basedOn w:val="Normal"/>
    <w:link w:val="BodyTextChar"/>
    <w:rsid w:val="00BA41C1"/>
    <w:pPr>
      <w:widowControl/>
      <w:tabs>
        <w:tab w:val="left" w:pos="-720"/>
      </w:tabs>
      <w:suppressAutoHyphens/>
      <w:spacing w:line="227" w:lineRule="auto"/>
      <w:jc w:val="both"/>
    </w:pPr>
    <w:rPr>
      <w:snapToGrid/>
      <w:spacing w:val="-2"/>
      <w:kern w:val="0"/>
    </w:rPr>
  </w:style>
  <w:style w:type="character" w:customStyle="1" w:styleId="BodyTextChar">
    <w:name w:val="Body Text Char"/>
    <w:link w:val="BodyText"/>
    <w:rsid w:val="00BA41C1"/>
    <w:rPr>
      <w:spacing w:val="-2"/>
      <w:sz w:val="22"/>
    </w:rPr>
  </w:style>
  <w:style w:type="character" w:customStyle="1" w:styleId="CommentTextChar">
    <w:name w:val="Comment Text Char"/>
    <w:link w:val="CommentText"/>
    <w:rsid w:val="00280791"/>
    <w:rPr>
      <w:snapToGrid w:val="0"/>
      <w:kern w:val="28"/>
    </w:rPr>
  </w:style>
  <w:style w:type="character" w:customStyle="1" w:styleId="FooterChar">
    <w:name w:val="Footer Char"/>
    <w:link w:val="Footer"/>
    <w:uiPriority w:val="99"/>
    <w:rsid w:val="000D15C9"/>
    <w:rPr>
      <w:snapToGrid w:val="0"/>
      <w:kern w:val="28"/>
      <w:sz w:val="22"/>
    </w:rPr>
  </w:style>
  <w:style w:type="character" w:customStyle="1" w:styleId="UnresolvedMention">
    <w:name w:val="Unresolved Mention"/>
    <w:uiPriority w:val="99"/>
    <w:semiHidden/>
    <w:unhideWhenUsed/>
    <w:rsid w:val="0078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effrey.Gee@fcc.gov" TargetMode="External" /><Relationship Id="rId12" Type="http://schemas.openxmlformats.org/officeDocument/2006/relationships/hyperlink" Target="mailto:Christopher.Sova@fcc.gov" TargetMode="External" /><Relationship Id="rId13" Type="http://schemas.openxmlformats.org/officeDocument/2006/relationships/hyperlink" Target="mailto:Kenneth.Scheibel@fcc.gov" TargetMode="External" /><Relationship Id="rId14" Type="http://schemas.openxmlformats.org/officeDocument/2006/relationships/hyperlink" Target="mailto:Anya.Baez@fcc.gov" TargetMode="External" /><Relationship Id="rId15" Type="http://schemas.openxmlformats.org/officeDocument/2006/relationships/hyperlink" Target="mailto:RROGWireFaxes@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4.xml" /><Relationship Id="rId22" Type="http://schemas.openxmlformats.org/officeDocument/2006/relationships/footer" Target="footer6.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francis@bulldogathens.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