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49DF4A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ABF7765" w14:textId="77777777">
      <w:pPr>
        <w:pStyle w:val="StyleBoldCentered"/>
      </w:pPr>
      <w:r>
        <w:t>F</w:t>
      </w:r>
      <w:r>
        <w:rPr>
          <w:caps w:val="0"/>
        </w:rPr>
        <w:t>ederal Communications Commission</w:t>
      </w:r>
    </w:p>
    <w:p w:rsidR="004C2EE3" w:rsidP="00096D8C" w14:paraId="5E543787" w14:textId="77777777">
      <w:pPr>
        <w:pStyle w:val="StyleBoldCentered"/>
      </w:pPr>
      <w:r>
        <w:rPr>
          <w:caps w:val="0"/>
        </w:rPr>
        <w:t>Washington, D.C. 20554</w:t>
      </w:r>
    </w:p>
    <w:p w:rsidR="004C2EE3" w:rsidP="0070224F" w14:paraId="5FE32E14" w14:textId="77777777"/>
    <w:p w:rsidR="004C2EE3" w:rsidP="0070224F" w14:paraId="296B8EA8" w14:textId="77777777"/>
    <w:tbl>
      <w:tblPr>
        <w:tblW w:w="0" w:type="auto"/>
        <w:tblLayout w:type="fixed"/>
        <w:tblLook w:val="0000"/>
      </w:tblPr>
      <w:tblGrid>
        <w:gridCol w:w="4698"/>
        <w:gridCol w:w="630"/>
        <w:gridCol w:w="4248"/>
      </w:tblGrid>
      <w:tr w14:paraId="723DD92E" w14:textId="77777777">
        <w:tblPrEx>
          <w:tblW w:w="0" w:type="auto"/>
          <w:tblLayout w:type="fixed"/>
          <w:tblLook w:val="0000"/>
        </w:tblPrEx>
        <w:tc>
          <w:tcPr>
            <w:tcW w:w="4698" w:type="dxa"/>
          </w:tcPr>
          <w:p w:rsidR="004C2EE3" w14:paraId="1E4C9142" w14:textId="77777777">
            <w:pPr>
              <w:tabs>
                <w:tab w:val="center" w:pos="4680"/>
              </w:tabs>
              <w:suppressAutoHyphens/>
              <w:rPr>
                <w:spacing w:val="-2"/>
              </w:rPr>
            </w:pPr>
            <w:r>
              <w:rPr>
                <w:spacing w:val="-2"/>
              </w:rPr>
              <w:t>In the Matter of</w:t>
            </w:r>
          </w:p>
          <w:p w:rsidR="004C2EE3" w14:paraId="7A6D5CBA" w14:textId="77777777">
            <w:pPr>
              <w:tabs>
                <w:tab w:val="center" w:pos="4680"/>
              </w:tabs>
              <w:suppressAutoHyphens/>
              <w:rPr>
                <w:spacing w:val="-2"/>
              </w:rPr>
            </w:pPr>
          </w:p>
          <w:p w:rsidR="00624A26" w:rsidRPr="0036010E" w:rsidP="00624A26" w14:paraId="1069C8F0" w14:textId="727EECA2">
            <w:pPr>
              <w:rPr>
                <w:szCs w:val="22"/>
              </w:rPr>
            </w:pPr>
            <w:r>
              <w:rPr>
                <w:szCs w:val="22"/>
              </w:rPr>
              <w:t>Ace Telephone Company of Michigan</w:t>
            </w:r>
            <w:r w:rsidRPr="0036010E">
              <w:rPr>
                <w:szCs w:val="22"/>
              </w:rPr>
              <w:t xml:space="preserve">, Inc. Petition for Waiver of Sections 51.909(a), 51.917(b)(1) and 51.917(b)(7) of the Commission’s Rules to modify access rate bands and charges, and 2011 Base Period Revenue in connection with merger of affiliated study areas in </w:t>
            </w:r>
            <w:r>
              <w:rPr>
                <w:szCs w:val="22"/>
              </w:rPr>
              <w:t>Michigan</w:t>
            </w:r>
          </w:p>
          <w:p w:rsidR="00624A26" w:rsidRPr="007115F7" w:rsidP="007115F7" w14:paraId="508B3DE9" w14:textId="5B6CA91A">
            <w:pPr>
              <w:tabs>
                <w:tab w:val="center" w:pos="4680"/>
              </w:tabs>
              <w:suppressAutoHyphens/>
              <w:rPr>
                <w:spacing w:val="-2"/>
              </w:rPr>
            </w:pPr>
          </w:p>
        </w:tc>
        <w:tc>
          <w:tcPr>
            <w:tcW w:w="630" w:type="dxa"/>
          </w:tcPr>
          <w:p w:rsidR="004C2EE3" w14:paraId="08D2F4AE" w14:textId="77777777">
            <w:pPr>
              <w:tabs>
                <w:tab w:val="center" w:pos="4680"/>
              </w:tabs>
              <w:suppressAutoHyphens/>
              <w:rPr>
                <w:b/>
                <w:spacing w:val="-2"/>
              </w:rPr>
            </w:pPr>
            <w:r>
              <w:rPr>
                <w:b/>
                <w:spacing w:val="-2"/>
              </w:rPr>
              <w:t>)</w:t>
            </w:r>
          </w:p>
          <w:p w:rsidR="004C2EE3" w14:paraId="4295082F" w14:textId="77777777">
            <w:pPr>
              <w:tabs>
                <w:tab w:val="center" w:pos="4680"/>
              </w:tabs>
              <w:suppressAutoHyphens/>
              <w:rPr>
                <w:b/>
                <w:spacing w:val="-2"/>
              </w:rPr>
            </w:pPr>
            <w:r>
              <w:rPr>
                <w:b/>
                <w:spacing w:val="-2"/>
              </w:rPr>
              <w:t>)</w:t>
            </w:r>
          </w:p>
          <w:p w:rsidR="004C2EE3" w14:paraId="6A67C545" w14:textId="77777777">
            <w:pPr>
              <w:tabs>
                <w:tab w:val="center" w:pos="4680"/>
              </w:tabs>
              <w:suppressAutoHyphens/>
              <w:rPr>
                <w:b/>
                <w:spacing w:val="-2"/>
              </w:rPr>
            </w:pPr>
            <w:r>
              <w:rPr>
                <w:b/>
                <w:spacing w:val="-2"/>
              </w:rPr>
              <w:t>)</w:t>
            </w:r>
          </w:p>
          <w:p w:rsidR="004C2EE3" w14:paraId="4D9BE526" w14:textId="77777777">
            <w:pPr>
              <w:tabs>
                <w:tab w:val="center" w:pos="4680"/>
              </w:tabs>
              <w:suppressAutoHyphens/>
              <w:rPr>
                <w:b/>
                <w:spacing w:val="-2"/>
              </w:rPr>
            </w:pPr>
            <w:r>
              <w:rPr>
                <w:b/>
                <w:spacing w:val="-2"/>
              </w:rPr>
              <w:t>)</w:t>
            </w:r>
          </w:p>
          <w:p w:rsidR="00FC1530" w14:paraId="3DE2D193" w14:textId="77777777">
            <w:pPr>
              <w:tabs>
                <w:tab w:val="center" w:pos="4680"/>
              </w:tabs>
              <w:suppressAutoHyphens/>
              <w:rPr>
                <w:b/>
                <w:spacing w:val="-2"/>
              </w:rPr>
            </w:pPr>
            <w:r>
              <w:rPr>
                <w:b/>
                <w:spacing w:val="-2"/>
              </w:rPr>
              <w:t>)</w:t>
            </w:r>
          </w:p>
          <w:p w:rsidR="00FC1530" w14:paraId="2034634B" w14:textId="77777777">
            <w:pPr>
              <w:tabs>
                <w:tab w:val="center" w:pos="4680"/>
              </w:tabs>
              <w:suppressAutoHyphens/>
              <w:rPr>
                <w:b/>
                <w:spacing w:val="-2"/>
              </w:rPr>
            </w:pPr>
            <w:r>
              <w:rPr>
                <w:b/>
                <w:spacing w:val="-2"/>
              </w:rPr>
              <w:t>)</w:t>
            </w:r>
          </w:p>
          <w:p w:rsidR="00FC1530" w14:paraId="61BE9DC1" w14:textId="77777777">
            <w:pPr>
              <w:tabs>
                <w:tab w:val="center" w:pos="4680"/>
              </w:tabs>
              <w:suppressAutoHyphens/>
              <w:rPr>
                <w:b/>
                <w:spacing w:val="-2"/>
              </w:rPr>
            </w:pPr>
            <w:r>
              <w:rPr>
                <w:b/>
                <w:spacing w:val="-2"/>
              </w:rPr>
              <w:t>)</w:t>
            </w:r>
          </w:p>
          <w:p w:rsidR="00FC1530" w14:paraId="1293CB89" w14:textId="77777777">
            <w:pPr>
              <w:tabs>
                <w:tab w:val="center" w:pos="4680"/>
              </w:tabs>
              <w:suppressAutoHyphens/>
              <w:rPr>
                <w:b/>
                <w:spacing w:val="-2"/>
              </w:rPr>
            </w:pPr>
            <w:r>
              <w:rPr>
                <w:b/>
                <w:spacing w:val="-2"/>
              </w:rPr>
              <w:t>)</w:t>
            </w:r>
          </w:p>
          <w:p w:rsidR="00FC1530" w14:paraId="2A07CBDF" w14:textId="66667FAF">
            <w:pPr>
              <w:tabs>
                <w:tab w:val="center" w:pos="4680"/>
              </w:tabs>
              <w:suppressAutoHyphens/>
              <w:rPr>
                <w:spacing w:val="-2"/>
              </w:rPr>
            </w:pPr>
            <w:r>
              <w:rPr>
                <w:b/>
                <w:spacing w:val="-2"/>
              </w:rPr>
              <w:t>)</w:t>
            </w:r>
          </w:p>
        </w:tc>
        <w:tc>
          <w:tcPr>
            <w:tcW w:w="4248" w:type="dxa"/>
          </w:tcPr>
          <w:p w:rsidR="00624A26" w14:paraId="1D730E95" w14:textId="77777777">
            <w:pPr>
              <w:tabs>
                <w:tab w:val="center" w:pos="4680"/>
              </w:tabs>
              <w:suppressAutoHyphens/>
              <w:rPr>
                <w:spacing w:val="-2"/>
              </w:rPr>
            </w:pPr>
          </w:p>
          <w:p w:rsidR="00FC1530" w14:paraId="1A8DD8F7" w14:textId="77777777">
            <w:pPr>
              <w:tabs>
                <w:tab w:val="center" w:pos="4680"/>
              </w:tabs>
              <w:suppressAutoHyphens/>
              <w:rPr>
                <w:spacing w:val="-2"/>
              </w:rPr>
            </w:pPr>
          </w:p>
          <w:p w:rsidR="00B47ED5" w14:paraId="3F42A1AA" w14:textId="77777777">
            <w:pPr>
              <w:tabs>
                <w:tab w:val="center" w:pos="4680"/>
              </w:tabs>
              <w:suppressAutoHyphens/>
              <w:rPr>
                <w:spacing w:val="-2"/>
              </w:rPr>
            </w:pPr>
          </w:p>
          <w:p w:rsidR="00624A26" w14:paraId="20AEF01A" w14:textId="6097EBEC">
            <w:pPr>
              <w:tabs>
                <w:tab w:val="center" w:pos="4680"/>
              </w:tabs>
              <w:suppressAutoHyphens/>
              <w:rPr>
                <w:spacing w:val="-2"/>
              </w:rPr>
            </w:pPr>
            <w:r>
              <w:rPr>
                <w:spacing w:val="-2"/>
              </w:rPr>
              <w:t>WC Docket No. 20-358</w:t>
            </w:r>
          </w:p>
        </w:tc>
      </w:tr>
    </w:tbl>
    <w:p w:rsidR="004C2EE3" w:rsidP="0070224F" w14:paraId="49C19B58" w14:textId="77777777"/>
    <w:p w:rsidR="00841AB1" w:rsidP="00F021FA" w14:paraId="23714C86" w14:textId="416A4BC9">
      <w:pPr>
        <w:pStyle w:val="StyleBoldCentered"/>
      </w:pPr>
      <w:r>
        <w:t>ORDER</w:t>
      </w:r>
    </w:p>
    <w:p w:rsidR="004C2EE3" w14:paraId="4C916414" w14:textId="77777777">
      <w:pPr>
        <w:tabs>
          <w:tab w:val="left" w:pos="-720"/>
        </w:tabs>
        <w:suppressAutoHyphens/>
        <w:spacing w:line="227" w:lineRule="auto"/>
        <w:rPr>
          <w:spacing w:val="-2"/>
        </w:rPr>
      </w:pPr>
    </w:p>
    <w:p w:rsidR="004C2EE3" w:rsidP="00133F79" w14:paraId="00B94456" w14:textId="4F3A2792">
      <w:pPr>
        <w:tabs>
          <w:tab w:val="left" w:pos="720"/>
          <w:tab w:val="right" w:pos="9360"/>
        </w:tabs>
        <w:suppressAutoHyphens/>
        <w:spacing w:line="227" w:lineRule="auto"/>
        <w:rPr>
          <w:spacing w:val="-2"/>
        </w:rPr>
      </w:pPr>
      <w:r>
        <w:rPr>
          <w:b/>
          <w:spacing w:val="-2"/>
        </w:rPr>
        <w:t xml:space="preserve">Adopted:  </w:t>
      </w:r>
      <w:r w:rsidR="0000505E">
        <w:rPr>
          <w:b/>
          <w:spacing w:val="-2"/>
        </w:rPr>
        <w:t>March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505E">
        <w:rPr>
          <w:b/>
          <w:spacing w:val="-2"/>
        </w:rPr>
        <w:t>March 17, 2021</w:t>
      </w:r>
    </w:p>
    <w:p w:rsidR="00822CE0" w14:paraId="5E7F4E63" w14:textId="77777777"/>
    <w:p w:rsidR="004C2EE3" w14:paraId="54EF202E" w14:textId="3B4E82FE">
      <w:pPr>
        <w:rPr>
          <w:spacing w:val="-2"/>
        </w:rPr>
      </w:pPr>
      <w:r>
        <w:t xml:space="preserve">By </w:t>
      </w:r>
      <w:r w:rsidR="004E4A22">
        <w:t>the</w:t>
      </w:r>
      <w:r w:rsidR="002A2D2E">
        <w:t xml:space="preserve"> </w:t>
      </w:r>
      <w:r w:rsidR="008D234C">
        <w:rPr>
          <w:spacing w:val="-2"/>
        </w:rPr>
        <w:t>Chief, Wireline Competition Bureau</w:t>
      </w:r>
      <w:r>
        <w:rPr>
          <w:spacing w:val="-2"/>
        </w:rPr>
        <w:t>:</w:t>
      </w:r>
    </w:p>
    <w:p w:rsidR="00822CE0" w14:paraId="74B25F72" w14:textId="77777777">
      <w:pPr>
        <w:rPr>
          <w:spacing w:val="-2"/>
        </w:rPr>
      </w:pPr>
    </w:p>
    <w:p w:rsidR="00412FC5" w:rsidP="00C36B4C" w14:paraId="7A049757" w14:textId="77777777">
      <w:pPr>
        <w:pStyle w:val="Heading1"/>
      </w:pPr>
      <w:r>
        <w:t>INTRODUCTION</w:t>
      </w:r>
    </w:p>
    <w:p w:rsidR="005A6473" w:rsidRPr="005A6473" w:rsidP="00765D6B" w14:paraId="2957BE9B" w14:textId="6AE9C5A7">
      <w:pPr>
        <w:pStyle w:val="ParaNum"/>
      </w:pPr>
      <w:r>
        <w:t xml:space="preserve">In this </w:t>
      </w:r>
      <w:r w:rsidRPr="0000505E">
        <w:t>Order</w:t>
      </w:r>
      <w:r>
        <w:t>, consistent with precedent,</w:t>
      </w:r>
      <w:r>
        <w:rPr>
          <w:rStyle w:val="FootnoteReference"/>
        </w:rPr>
        <w:footnoteReference w:id="3"/>
      </w:r>
      <w:r>
        <w:t xml:space="preserve"> we grant </w:t>
      </w:r>
      <w:r w:rsidR="00174DF1">
        <w:t xml:space="preserve">the </w:t>
      </w:r>
      <w:r>
        <w:t xml:space="preserve">petition filed by </w:t>
      </w:r>
      <w:r w:rsidR="008D234C">
        <w:t>Ace Telephone Company of Michigan, Inc.</w:t>
      </w:r>
      <w:r>
        <w:rPr>
          <w:rStyle w:val="FootnoteReference"/>
        </w:rPr>
        <w:footnoteReference w:id="4"/>
      </w:r>
      <w:r w:rsidR="008D234C">
        <w:t xml:space="preserve"> (Ace </w:t>
      </w:r>
      <w:r w:rsidR="00CF397D">
        <w:t>or Petitioner</w:t>
      </w:r>
      <w:r w:rsidR="008D234C">
        <w:t xml:space="preserve">) </w:t>
      </w:r>
      <w:r>
        <w:t xml:space="preserve">seeking waiver of certain of the Commission’s intercarrier compensation rules to allow </w:t>
      </w:r>
      <w:r w:rsidR="00CF397D">
        <w:t xml:space="preserve">it </w:t>
      </w:r>
      <w:r>
        <w:t xml:space="preserve">to </w:t>
      </w:r>
      <w:r w:rsidR="00BD6F4A">
        <w:t xml:space="preserve">consolidate four </w:t>
      </w:r>
      <w:r w:rsidR="00CF397D">
        <w:t xml:space="preserve">affiliated </w:t>
      </w:r>
      <w:r>
        <w:t>study areas</w:t>
      </w:r>
      <w:r w:rsidR="001C6753">
        <w:t xml:space="preserve"> into a single study area</w:t>
      </w:r>
      <w:r>
        <w:t>.</w:t>
      </w:r>
      <w:r>
        <w:rPr>
          <w:rStyle w:val="FootnoteReference"/>
        </w:rPr>
        <w:footnoteReference w:id="5"/>
      </w:r>
      <w:r>
        <w:t xml:space="preserve">  Base</w:t>
      </w:r>
      <w:r w:rsidR="00E219E8">
        <w:t>d</w:t>
      </w:r>
      <w:r>
        <w:t xml:space="preserve"> on the record before us, we find that grant of the unopposed waiver</w:t>
      </w:r>
      <w:r w:rsidR="00BD6F4A">
        <w:t xml:space="preserve"> request</w:t>
      </w:r>
      <w:r>
        <w:t xml:space="preserve"> will serve the public interest by promoting increased productivity and efficiencies that result in cost savings for </w:t>
      </w:r>
      <w:r w:rsidR="00CF397D">
        <w:t>Ace</w:t>
      </w:r>
      <w:r>
        <w:t>, which will in turn benefit consumers by</w:t>
      </w:r>
      <w:r w:rsidR="00D45F38">
        <w:t>, over time, reducing the rates charged to customers and demand on the high cost program while</w:t>
      </w:r>
      <w:r>
        <w:t xml:space="preserve"> encouraging the compan</w:t>
      </w:r>
      <w:r w:rsidR="00CF397D">
        <w:t>y</w:t>
      </w:r>
      <w:r>
        <w:t xml:space="preserve"> to invest in broadband </w:t>
      </w:r>
      <w:r w:rsidR="00E219E8">
        <w:t>d</w:t>
      </w:r>
      <w:r>
        <w:t>eployment</w:t>
      </w:r>
      <w:r w:rsidR="00D45F38">
        <w:t>.</w:t>
      </w:r>
    </w:p>
    <w:p w:rsidR="005A6473" w:rsidRPr="005A6473" w:rsidP="005A6473" w14:paraId="263806E5" w14:textId="77777777">
      <w:pPr>
        <w:pStyle w:val="Heading1"/>
      </w:pPr>
      <w:r>
        <w:t>Background</w:t>
      </w:r>
    </w:p>
    <w:p w:rsidR="005A6473" w:rsidP="005A6473" w14:paraId="4E6D36B6" w14:textId="77777777">
      <w:pPr>
        <w:pStyle w:val="Heading2"/>
      </w:pPr>
      <w:r>
        <w:t>Intercarrier Compensation Reform</w:t>
      </w:r>
    </w:p>
    <w:p w:rsidR="005A6473" w:rsidP="000A5F6A" w14:paraId="4ED8D4CF" w14:textId="378D1244">
      <w:pPr>
        <w:pStyle w:val="ParaNum"/>
      </w:pPr>
      <w:r w:rsidRPr="00D12B52">
        <w:t xml:space="preserve">In the </w:t>
      </w:r>
      <w:r w:rsidRPr="00D12B52">
        <w:rPr>
          <w:i/>
        </w:rPr>
        <w:t>USF/ICC Transformation Order</w:t>
      </w:r>
      <w:r w:rsidRPr="00D12B52">
        <w:t>,</w:t>
      </w:r>
      <w:r>
        <w:rPr>
          <w:rStyle w:val="FootnoteReference"/>
        </w:rPr>
        <w:footnoteReference w:id="6"/>
      </w:r>
      <w:r w:rsidRPr="00D12B52">
        <w:t xml:space="preserve"> the Commission capped reciprocal compensation and interstate switched access rates and most intrastate switched access rates at the rates in effect on December 29, 2011.</w:t>
      </w:r>
      <w:r>
        <w:rPr>
          <w:rStyle w:val="FootnoteReference"/>
        </w:rPr>
        <w:footnoteReference w:id="7"/>
      </w:r>
      <w:r w:rsidRPr="00D12B52">
        <w:t xml:space="preserve">  In that same order, the Commission adopted a multi-year process for reducing most terminating switched access rates to bill-and-keep.</w:t>
      </w:r>
      <w:r>
        <w:rPr>
          <w:rStyle w:val="FootnoteReference"/>
        </w:rPr>
        <w:footnoteReference w:id="8"/>
      </w:r>
      <w:r w:rsidRPr="00D12B52">
        <w:t xml:space="preserve">  The Commission adopted a transitional revenue recovery mechanism that allows incumbent local exchange carriers (LECs) to recover a portion of the intercarrier compensation revenues lost due to the Commission’s reforms, up to a defined </w:t>
      </w:r>
      <w:r w:rsidRPr="00D12B52" w:rsidR="00A37BFF">
        <w:t>amount</w:t>
      </w:r>
      <w:r w:rsidR="00A37BFF">
        <w:t>, which decreases during</w:t>
      </w:r>
      <w:r w:rsidRPr="00D12B52" w:rsidR="00A37BFF">
        <w:t xml:space="preserve"> </w:t>
      </w:r>
      <w:r w:rsidRPr="00D12B52">
        <w:t>each year of the incumbent LEC’s transition</w:t>
      </w:r>
      <w:r w:rsidR="00A37BFF">
        <w:t xml:space="preserve"> to bill-and-keep</w:t>
      </w:r>
      <w:r w:rsidRPr="00D12B52">
        <w:t>.</w:t>
      </w:r>
      <w:r>
        <w:rPr>
          <w:rStyle w:val="FootnoteReference"/>
        </w:rPr>
        <w:footnoteReference w:id="9"/>
      </w:r>
      <w:r w:rsidRPr="00A3437D">
        <w:t xml:space="preserve">  These defined amounts are referred to as “Eligible Recovery.”</w:t>
      </w:r>
      <w:r>
        <w:rPr>
          <w:rStyle w:val="FootnoteReference"/>
          <w:color w:val="000000"/>
        </w:rPr>
        <w:footnoteReference w:id="10"/>
      </w:r>
      <w:r w:rsidRPr="00A3437D">
        <w:t xml:space="preserve">  An incumbent LEC may recover its Eligible Recovery each year from its end users through an Access Recovery Charge, subject to an annual cap.</w:t>
      </w:r>
      <w:r>
        <w:rPr>
          <w:rStyle w:val="FootnoteReference"/>
          <w:color w:val="000000"/>
        </w:rPr>
        <w:footnoteReference w:id="11"/>
      </w:r>
      <w:r w:rsidRPr="00A3437D">
        <w:t xml:space="preserve">  If the projected Access Recovery Charge revenues are not sufficient to cover the entire Eligible Recovery amount, </w:t>
      </w:r>
      <w:r w:rsidR="00AD785C">
        <w:t>rate</w:t>
      </w:r>
      <w:r w:rsidR="0000505E">
        <w:t>-</w:t>
      </w:r>
      <w:r w:rsidR="00AD785C">
        <w:t>of</w:t>
      </w:r>
      <w:r w:rsidR="0000505E">
        <w:t>-</w:t>
      </w:r>
      <w:r w:rsidR="00AD785C">
        <w:t xml:space="preserve">return </w:t>
      </w:r>
      <w:r w:rsidRPr="00A3437D">
        <w:t>carrier</w:t>
      </w:r>
      <w:r w:rsidR="00AD785C">
        <w:t>s</w:t>
      </w:r>
      <w:r>
        <w:t xml:space="preserve"> may elect to </w:t>
      </w:r>
      <w:r w:rsidR="00AD785C">
        <w:t xml:space="preserve">receive </w:t>
      </w:r>
      <w:r>
        <w:t xml:space="preserve">the remainder </w:t>
      </w:r>
      <w:r w:rsidR="00A37BFF">
        <w:t xml:space="preserve">from the </w:t>
      </w:r>
      <w:r>
        <w:t>Connect America Fund</w:t>
      </w:r>
      <w:r w:rsidR="00CA5B7F">
        <w:t xml:space="preserve"> in the form of Connect America Fund – Intercarrier Compensation support</w:t>
      </w:r>
      <w:r w:rsidRPr="00A3437D">
        <w:t>.</w:t>
      </w:r>
      <w:r>
        <w:rPr>
          <w:rStyle w:val="FootnoteReference"/>
          <w:color w:val="000000"/>
        </w:rPr>
        <w:footnoteReference w:id="12"/>
      </w:r>
      <w:r w:rsidRPr="00A3437D">
        <w:t xml:space="preserve">   </w:t>
      </w:r>
    </w:p>
    <w:p w:rsidR="000A5F6A" w:rsidRPr="00A3437D" w:rsidP="000A5F6A" w14:paraId="6F68EA3B" w14:textId="681EB656">
      <w:pPr>
        <w:pStyle w:val="ParaNum"/>
      </w:pPr>
      <w:r w:rsidRPr="00A3437D">
        <w:t xml:space="preserve">The Petitioner </w:t>
      </w:r>
      <w:r w:rsidR="0060141A">
        <w:t xml:space="preserve">is a </w:t>
      </w:r>
      <w:r w:rsidRPr="00A3437D">
        <w:t xml:space="preserve">rate-of-return </w:t>
      </w:r>
      <w:r w:rsidR="00A37BFF">
        <w:t xml:space="preserve">incumbent </w:t>
      </w:r>
      <w:r w:rsidRPr="00A3437D">
        <w:t>LEC</w:t>
      </w:r>
      <w:r w:rsidR="00E0491A">
        <w:t>.</w:t>
      </w:r>
      <w:r w:rsidRPr="00A3437D">
        <w:t xml:space="preserve">  The calculation of a rate-of-return LEC’s Eligible Recovery begins with </w:t>
      </w:r>
      <w:r w:rsidR="0022054B">
        <w:t xml:space="preserve">its </w:t>
      </w:r>
      <w:r w:rsidRPr="00A3437D">
        <w:t>Base Period Revenue.</w:t>
      </w:r>
      <w:r>
        <w:rPr>
          <w:rStyle w:val="FootnoteReference"/>
          <w:color w:val="000000"/>
        </w:rPr>
        <w:footnoteReference w:id="13"/>
      </w:r>
      <w:r w:rsidRPr="00A3437D">
        <w:t xml:space="preserve">  A rate-of-return carrier’s Base Period Revenue is the sum of certain intrastate switched access revenues and net reciprocal compensation revenues received by March 31, 2012, for services provided during Fiscal Year (FY) 2011,</w:t>
      </w:r>
      <w:r>
        <w:rPr>
          <w:rStyle w:val="FootnoteReference"/>
          <w:color w:val="000000"/>
        </w:rPr>
        <w:footnoteReference w:id="14"/>
      </w:r>
      <w:r w:rsidRPr="00A3437D">
        <w:t xml:space="preserve"> and the projected revenue requirement for interstate switched access services for the 2011-2012 tariff period.</w:t>
      </w:r>
      <w:r>
        <w:rPr>
          <w:rStyle w:val="FootnoteReference"/>
          <w:color w:val="000000"/>
        </w:rPr>
        <w:footnoteReference w:id="15"/>
      </w:r>
      <w:r w:rsidRPr="00A3437D">
        <w:t xml:space="preserve">  The Base Period Revenue for rate-of-return carriers was reduced by 5% initially and is reduced by an additional 5% in each year of the transition.</w:t>
      </w:r>
      <w:r>
        <w:rPr>
          <w:rStyle w:val="FootnoteReference"/>
          <w:color w:val="000000"/>
        </w:rPr>
        <w:footnoteReference w:id="16"/>
      </w:r>
      <w:r w:rsidRPr="00A3437D">
        <w:t xml:space="preserve">  A rate-of-return LEC’s Eligible Recovery is equal to the adjusted Base Period Revenue for the year in question, less, for each relevant year of the transition, the sum of (1) </w:t>
      </w:r>
      <w:r w:rsidR="00921095">
        <w:t xml:space="preserve">certain </w:t>
      </w:r>
      <w:r w:rsidRPr="00A3437D">
        <w:t>projected intrastate switched access revenue;</w:t>
      </w:r>
      <w:r w:rsidR="00E60801">
        <w:t xml:space="preserve"> </w:t>
      </w:r>
      <w:r w:rsidRPr="00A3437D">
        <w:t>(2) projected interstate switched access revenue; and (3) projected net reciprocal compensation revenue.</w:t>
      </w:r>
      <w:r>
        <w:rPr>
          <w:rStyle w:val="FootnoteReference"/>
          <w:color w:val="000000"/>
        </w:rPr>
        <w:footnoteReference w:id="17"/>
      </w:r>
      <w:r w:rsidRPr="00A3437D">
        <w:t xml:space="preserve">  </w:t>
      </w:r>
    </w:p>
    <w:p w:rsidR="000A5F6A" w:rsidRPr="005A6473" w:rsidP="008F72FA" w14:paraId="26EEBBE4" w14:textId="591CB284">
      <w:pPr>
        <w:pStyle w:val="ParaNum"/>
        <w:widowControl/>
      </w:pPr>
      <w:r w:rsidRPr="00A3437D">
        <w:t xml:space="preserve">The Commission’s rules for calculating Eligible Recovery are based on study-area-specific data and do not address what adjustments may be necessary when study areas are </w:t>
      </w:r>
      <w:r w:rsidR="00BD6D9F">
        <w:t>consolidated</w:t>
      </w:r>
      <w:r w:rsidRPr="00A3437D">
        <w:t>.</w:t>
      </w:r>
      <w:r>
        <w:rPr>
          <w:rStyle w:val="FootnoteReference"/>
        </w:rPr>
        <w:footnoteReference w:id="18"/>
      </w:r>
      <w:r w:rsidRPr="00A3437D">
        <w:t xml:space="preserve">  Because a carrier’s Base Period Revenue and interstate revenue requirement are study-area-specific, combining study areas requires a decision about how best to combine </w:t>
      </w:r>
      <w:r w:rsidR="00154C45">
        <w:t xml:space="preserve">the </w:t>
      </w:r>
      <w:r w:rsidRPr="00A3437D">
        <w:t>different Base Period Revenues and interstate revenue requirements</w:t>
      </w:r>
      <w:r w:rsidR="00154C45">
        <w:t>.</w:t>
      </w:r>
      <w:r>
        <w:rPr>
          <w:rStyle w:val="FootnoteReference"/>
        </w:rPr>
        <w:footnoteReference w:id="19"/>
      </w:r>
      <w:r w:rsidR="00154C45">
        <w:t xml:space="preserve">  Combining study areas also requires </w:t>
      </w:r>
      <w:r w:rsidRPr="00A3437D">
        <w:t>a waiver of the Commission’s rules governing Base Period Revenue calculation</w:t>
      </w:r>
      <w:r w:rsidR="00154C45">
        <w:t>s</w:t>
      </w:r>
      <w:r w:rsidRPr="00A3437D">
        <w:t xml:space="preserve"> and interstate revenue requirements.</w:t>
      </w:r>
      <w:r>
        <w:rPr>
          <w:rStyle w:val="FootnoteReference"/>
        </w:rPr>
        <w:footnoteReference w:id="20"/>
      </w:r>
      <w:r w:rsidRPr="00A3437D">
        <w:t xml:space="preserve"> </w:t>
      </w:r>
    </w:p>
    <w:p w:rsidR="000A5F6A" w14:paraId="2FAAE761" w14:textId="1F4BC377">
      <w:pPr>
        <w:pStyle w:val="Heading2"/>
      </w:pPr>
      <w:r>
        <w:t>Petitioner</w:t>
      </w:r>
      <w:r w:rsidR="00C03AA5">
        <w:t>’s</w:t>
      </w:r>
      <w:r>
        <w:t xml:space="preserve"> Requests</w:t>
      </w:r>
    </w:p>
    <w:p w:rsidR="0005382F" w:rsidP="00C416E1" w14:paraId="72707A45" w14:textId="77DD13FD">
      <w:pPr>
        <w:pStyle w:val="ParaNum"/>
      </w:pPr>
      <w:r>
        <w:t>Ace seek</w:t>
      </w:r>
      <w:r w:rsidR="008479A9">
        <w:t>s</w:t>
      </w:r>
      <w:r>
        <w:t xml:space="preserve"> waiver of the </w:t>
      </w:r>
      <w:r w:rsidR="00EE12BE">
        <w:t>Commission’s</w:t>
      </w:r>
      <w:r>
        <w:t xml:space="preserve"> rules, as necessary, to allow </w:t>
      </w:r>
      <w:r w:rsidR="00D6389D">
        <w:t xml:space="preserve">it to </w:t>
      </w:r>
      <w:r w:rsidR="00BD6F4A">
        <w:t xml:space="preserve">consolidate </w:t>
      </w:r>
      <w:r>
        <w:t xml:space="preserve">four study areas in </w:t>
      </w:r>
      <w:r w:rsidR="00DB3E78">
        <w:t>Michigan</w:t>
      </w:r>
      <w:r>
        <w:t>.</w:t>
      </w:r>
      <w:r>
        <w:rPr>
          <w:rStyle w:val="FootnoteReference"/>
        </w:rPr>
        <w:footnoteReference w:id="21"/>
      </w:r>
      <w:r w:rsidR="00DB3E78">
        <w:t xml:space="preserve"> </w:t>
      </w:r>
      <w:r w:rsidR="000A35AF">
        <w:t xml:space="preserve"> </w:t>
      </w:r>
      <w:r w:rsidR="00DB3E78">
        <w:t>Ace Telephone Company of Michigan, Inc. (Ace; Study Area Code 310704); Ace Telephone Company of Michigan, Inc. – Old Mission (Ace</w:t>
      </w:r>
      <w:r w:rsidR="00C03F4A">
        <w:t xml:space="preserve"> </w:t>
      </w:r>
      <w:r w:rsidR="00DB3E78">
        <w:t xml:space="preserve">– Old Mission: Study Area Code 310777); Ace Telephone </w:t>
      </w:r>
      <w:r w:rsidR="009A1BBC">
        <w:t xml:space="preserve">of </w:t>
      </w:r>
      <w:r w:rsidR="00DB3E78">
        <w:t>Michigan, Inc. – Allendale (Ace</w:t>
      </w:r>
      <w:r w:rsidR="00C03F4A">
        <w:t xml:space="preserve"> </w:t>
      </w:r>
      <w:r w:rsidR="00DB3E78">
        <w:t>– Allendale; Study Area Code: 310669); and Ace Telephone Company of Michigan, Inc. – Drenthe (Ace</w:t>
      </w:r>
      <w:r w:rsidR="00C03F4A">
        <w:t xml:space="preserve"> – </w:t>
      </w:r>
      <w:r w:rsidR="00DB3E78">
        <w:t>Drenthe; Study Area Code: 310692)</w:t>
      </w:r>
      <w:r w:rsidR="007572B0">
        <w:t xml:space="preserve"> (together the Ace Affiliates)</w:t>
      </w:r>
      <w:r w:rsidR="00DB3E78">
        <w:t xml:space="preserve"> are </w:t>
      </w:r>
      <w:r w:rsidR="00E307B1">
        <w:t>commonly-</w:t>
      </w:r>
      <w:r w:rsidR="00DB3E78">
        <w:t xml:space="preserve">owned and operated by Ace and will </w:t>
      </w:r>
      <w:r w:rsidR="00090D25">
        <w:t>consolidate</w:t>
      </w:r>
      <w:r w:rsidR="00DB3E78">
        <w:t xml:space="preserve"> </w:t>
      </w:r>
      <w:r w:rsidR="009A1BBC">
        <w:t>as of</w:t>
      </w:r>
      <w:r w:rsidR="00DB3E78">
        <w:t xml:space="preserve"> July 1, 2021.</w:t>
      </w:r>
      <w:r>
        <w:rPr>
          <w:rStyle w:val="FootnoteReference"/>
        </w:rPr>
        <w:footnoteReference w:id="22"/>
      </w:r>
      <w:r w:rsidR="00BE203A">
        <w:t xml:space="preserve"> </w:t>
      </w:r>
      <w:r w:rsidR="00992DDD">
        <w:t xml:space="preserve"> All are </w:t>
      </w:r>
      <w:r w:rsidR="007572B0">
        <w:t xml:space="preserve">rate-of-return </w:t>
      </w:r>
      <w:r w:rsidR="00992DDD">
        <w:t>companies.</w:t>
      </w:r>
      <w:r>
        <w:rPr>
          <w:rStyle w:val="FootnoteReference"/>
        </w:rPr>
        <w:footnoteReference w:id="23"/>
      </w:r>
      <w:r w:rsidR="00C416E1">
        <w:t xml:space="preserve"> </w:t>
      </w:r>
      <w:r w:rsidR="00BE203A">
        <w:t xml:space="preserve"> </w:t>
      </w:r>
    </w:p>
    <w:p w:rsidR="000A5F6A" w:rsidP="00C416E1" w14:paraId="4A7B4E01" w14:textId="26FE80C3">
      <w:pPr>
        <w:pStyle w:val="ParaNum"/>
      </w:pPr>
      <w:r>
        <w:t>Like many</w:t>
      </w:r>
      <w:r w:rsidR="0005382F">
        <w:t xml:space="preserve"> </w:t>
      </w:r>
      <w:r>
        <w:t xml:space="preserve">other </w:t>
      </w:r>
      <w:r w:rsidR="0005382F">
        <w:t>small carriers</w:t>
      </w:r>
      <w:r>
        <w:t>, the four Ace Affiliates currently</w:t>
      </w:r>
      <w:r w:rsidR="0005382F">
        <w:t xml:space="preserve"> participate in group tariff</w:t>
      </w:r>
      <w:r>
        <w:t xml:space="preserve">s.  </w:t>
      </w:r>
      <w:r w:rsidR="00730A11">
        <w:t>Ace and Ace</w:t>
      </w:r>
      <w:r w:rsidR="00C03F4A">
        <w:t xml:space="preserve"> </w:t>
      </w:r>
      <w:r w:rsidR="00A83E2A">
        <w:t xml:space="preserve">– </w:t>
      </w:r>
      <w:r w:rsidR="00730A11">
        <w:t>Old Mission</w:t>
      </w:r>
      <w:r w:rsidR="00A83E2A">
        <w:t xml:space="preserve"> are Issuing Carriers in the N</w:t>
      </w:r>
      <w:r>
        <w:t>ational Exchange Carrier Association (N</w:t>
      </w:r>
      <w:r w:rsidR="00A83E2A">
        <w:t>ECA</w:t>
      </w:r>
      <w:r>
        <w:t>)</w:t>
      </w:r>
      <w:r w:rsidR="00A83E2A">
        <w:t xml:space="preserve"> Tariff F.C.C. No. 5 (traffic</w:t>
      </w:r>
      <w:r w:rsidR="005658B3">
        <w:t>-</w:t>
      </w:r>
      <w:r w:rsidR="00A83E2A">
        <w:t>sensitive tariff)</w:t>
      </w:r>
      <w:r>
        <w:t>.</w:t>
      </w:r>
      <w:r>
        <w:rPr>
          <w:rStyle w:val="FootnoteReference"/>
        </w:rPr>
        <w:footnoteReference w:id="24"/>
      </w:r>
      <w:r>
        <w:t xml:space="preserve">  </w:t>
      </w:r>
      <w:r w:rsidR="00A83E2A">
        <w:t>Ace</w:t>
      </w:r>
      <w:r w:rsidR="00C03F4A">
        <w:t> </w:t>
      </w:r>
      <w:r w:rsidR="00A83E2A">
        <w:t>– Allendale and Ace</w:t>
      </w:r>
      <w:r w:rsidR="00C03F4A">
        <w:t xml:space="preserve"> </w:t>
      </w:r>
      <w:r w:rsidR="00A83E2A">
        <w:t>– Drenthe are Issuing Carriers in the TCA Tariff F.C.C. No. 1.</w:t>
      </w:r>
      <w:r>
        <w:rPr>
          <w:rStyle w:val="FootnoteReference"/>
        </w:rPr>
        <w:footnoteReference w:id="25"/>
      </w:r>
      <w:r w:rsidR="00A83E2A">
        <w:t xml:space="preserve"> </w:t>
      </w:r>
      <w:r w:rsidR="00730A11">
        <w:t xml:space="preserve"> </w:t>
      </w:r>
      <w:r w:rsidR="00494D92">
        <w:t>To facilitate the</w:t>
      </w:r>
      <w:r w:rsidR="00A83E2A">
        <w:t xml:space="preserve"> </w:t>
      </w:r>
      <w:r w:rsidR="00BD6F4A">
        <w:t xml:space="preserve">consolidation </w:t>
      </w:r>
      <w:r w:rsidR="00F339EE">
        <w:t>of</w:t>
      </w:r>
      <w:r w:rsidR="00A83E2A">
        <w:t xml:space="preserve"> the four</w:t>
      </w:r>
      <w:r w:rsidR="00494D92">
        <w:t xml:space="preserve"> commonly-owned</w:t>
      </w:r>
      <w:r w:rsidR="00A83E2A">
        <w:t xml:space="preserve"> </w:t>
      </w:r>
      <w:r w:rsidR="00F339EE">
        <w:t xml:space="preserve">study areas, </w:t>
      </w:r>
      <w:r w:rsidR="00494D92">
        <w:t>Ace</w:t>
      </w:r>
      <w:r w:rsidR="00C03F4A">
        <w:t xml:space="preserve"> </w:t>
      </w:r>
      <w:r w:rsidR="00494D92">
        <w:t>– Allendale and Ace</w:t>
      </w:r>
      <w:r w:rsidR="00C03F4A">
        <w:t> </w:t>
      </w:r>
      <w:r w:rsidR="00494D92">
        <w:t>– Drenthe</w:t>
      </w:r>
      <w:r w:rsidR="0036651C">
        <w:t>,</w:t>
      </w:r>
      <w:r w:rsidR="00DB170B">
        <w:t xml:space="preserve"> “plan to withdraw from the TCA </w:t>
      </w:r>
      <w:r w:rsidR="009A1BBC">
        <w:t>t</w:t>
      </w:r>
      <w:r w:rsidR="00DB170B">
        <w:t xml:space="preserve">ariff and to participate in the NECA </w:t>
      </w:r>
      <w:r w:rsidR="009A1BBC">
        <w:t>t</w:t>
      </w:r>
      <w:r w:rsidR="00DB170B">
        <w:t>ariffs as an Issuing Carrier with respect to all of their interstate services and rates, effective July 1, 2021.”</w:t>
      </w:r>
      <w:r>
        <w:rPr>
          <w:rStyle w:val="FootnoteReference"/>
        </w:rPr>
        <w:footnoteReference w:id="26"/>
      </w:r>
      <w:r w:rsidR="00494D92">
        <w:t xml:space="preserve"> </w:t>
      </w:r>
      <w:r w:rsidR="00A83E2A">
        <w:t xml:space="preserve"> </w:t>
      </w:r>
      <w:r w:rsidR="00702383">
        <w:t>Ace</w:t>
      </w:r>
      <w:r w:rsidR="00BD6F4A">
        <w:t xml:space="preserve"> proposes </w:t>
      </w:r>
      <w:r w:rsidR="00702383">
        <w:t xml:space="preserve">to </w:t>
      </w:r>
      <w:r w:rsidR="000A35AF">
        <w:t xml:space="preserve">tariff </w:t>
      </w:r>
      <w:r w:rsidR="00702383">
        <w:t xml:space="preserve">rates for the </w:t>
      </w:r>
      <w:r w:rsidR="00BD6F4A">
        <w:t xml:space="preserve">single </w:t>
      </w:r>
      <w:r w:rsidR="0045059B">
        <w:t>consolidated Ace</w:t>
      </w:r>
      <w:r w:rsidR="00702383">
        <w:t xml:space="preserve"> </w:t>
      </w:r>
      <w:r w:rsidR="0045059B">
        <w:t xml:space="preserve">study area </w:t>
      </w:r>
      <w:r w:rsidR="00702383">
        <w:t xml:space="preserve">in Rate Band 6 for Local Switching </w:t>
      </w:r>
      <w:r w:rsidR="00F07D59">
        <w:t>Service</w:t>
      </w:r>
      <w:r w:rsidR="00702383">
        <w:t>, Rate Band 7 for Dedicated Transport Service, and Rate Band 1 for Tandem Switching Service.</w:t>
      </w:r>
      <w:r>
        <w:rPr>
          <w:rStyle w:val="FootnoteReference"/>
        </w:rPr>
        <w:footnoteReference w:id="27"/>
      </w:r>
      <w:r w:rsidR="00702383">
        <w:t xml:space="preserve"> </w:t>
      </w:r>
      <w:r w:rsidR="000A35AF">
        <w:t xml:space="preserve"> </w:t>
      </w:r>
      <w:r w:rsidR="00702383">
        <w:t xml:space="preserve">Ace also </w:t>
      </w:r>
      <w:r w:rsidR="002C28FA">
        <w:t>seeks</w:t>
      </w:r>
      <w:r w:rsidR="00F07D59">
        <w:t xml:space="preserve"> a waiver</w:t>
      </w:r>
      <w:r w:rsidR="002C28FA">
        <w:t xml:space="preserve"> to combine the 2011 interstate access revenue requirements of the </w:t>
      </w:r>
      <w:r w:rsidR="0045059B">
        <w:t>consolidated</w:t>
      </w:r>
      <w:r w:rsidR="002C28FA">
        <w:t xml:space="preserve"> study area and combine the Base Period Revenues for the </w:t>
      </w:r>
      <w:r w:rsidR="0052158D">
        <w:t xml:space="preserve">four </w:t>
      </w:r>
      <w:r w:rsidR="002C28FA">
        <w:t xml:space="preserve">study areas into a single Base Period </w:t>
      </w:r>
      <w:r w:rsidR="00F07D59">
        <w:t xml:space="preserve">Revenue </w:t>
      </w:r>
      <w:r w:rsidR="002C28FA">
        <w:t xml:space="preserve">for the newly </w:t>
      </w:r>
      <w:r w:rsidR="0045059B">
        <w:t>consolidated</w:t>
      </w:r>
      <w:r w:rsidR="002C28FA">
        <w:t xml:space="preserve"> study area.</w:t>
      </w:r>
      <w:r>
        <w:rPr>
          <w:rStyle w:val="FootnoteReference"/>
        </w:rPr>
        <w:footnoteReference w:id="28"/>
      </w:r>
    </w:p>
    <w:p w:rsidR="00DB3E78" w:rsidRPr="000A5F6A" w:rsidP="000A5F6A" w14:paraId="7E758F1C" w14:textId="1B85D727">
      <w:pPr>
        <w:pStyle w:val="ParaNum"/>
      </w:pPr>
      <w:r>
        <w:t>On November 9,</w:t>
      </w:r>
      <w:r w:rsidR="006C5D31">
        <w:t xml:space="preserve"> 2020, we issued a public notice seeking comment on the Ace </w:t>
      </w:r>
      <w:r w:rsidR="00F07D59">
        <w:t>P</w:t>
      </w:r>
      <w:r w:rsidR="006C5D31">
        <w:t>etition.</w:t>
      </w:r>
      <w:r>
        <w:rPr>
          <w:rStyle w:val="FootnoteReference"/>
        </w:rPr>
        <w:footnoteReference w:id="29"/>
      </w:r>
      <w:r w:rsidR="006C5D31">
        <w:t xml:space="preserve"> </w:t>
      </w:r>
      <w:r w:rsidR="000A35AF">
        <w:t xml:space="preserve"> </w:t>
      </w:r>
      <w:r w:rsidR="006C5D31">
        <w:t>No comments were filed in response to the public notice.</w:t>
      </w:r>
    </w:p>
    <w:p w:rsidR="0035752D" w14:paraId="776C4710" w14:textId="1678D34F">
      <w:pPr>
        <w:pStyle w:val="Heading1"/>
      </w:pPr>
      <w:r>
        <w:t>Commission precedent related to study area waivers</w:t>
      </w:r>
    </w:p>
    <w:p w:rsidR="0035752D" w:rsidP="0035752D" w14:paraId="0FEF34B1" w14:textId="418441F8">
      <w:pPr>
        <w:pStyle w:val="ParaNum"/>
      </w:pPr>
      <w:r>
        <w:t>Generally, the Commission’s rules may be waived for good cause shown.</w:t>
      </w:r>
      <w:r>
        <w:rPr>
          <w:rStyle w:val="FootnoteReference"/>
        </w:rPr>
        <w:footnoteReference w:id="30"/>
      </w:r>
      <w:r>
        <w:t xml:space="preserve">  The Commission may exercise its discretion to waive a rule where the specific facts make strict compliance inconsistent with </w:t>
      </w:r>
      <w:r w:rsidR="00C6060B">
        <w:t xml:space="preserve">the </w:t>
      </w:r>
      <w:r>
        <w:t>public interest.</w:t>
      </w:r>
      <w:r>
        <w:rPr>
          <w:rStyle w:val="FootnoteReference"/>
        </w:rPr>
        <w:footnoteReference w:id="31"/>
      </w:r>
      <w:r>
        <w:t xml:space="preserve"> </w:t>
      </w:r>
      <w:r w:rsidR="002A7D20">
        <w:t xml:space="preserve"> </w:t>
      </w:r>
      <w:r>
        <w:t>Waiver of the Commission</w:t>
      </w:r>
      <w:r w:rsidR="002A7D20">
        <w:t>’</w:t>
      </w:r>
      <w:r>
        <w:t>s rules is therefore appropriate only if special circumstances warrant a deviation from the general rule and such deviation will serve the public interest.</w:t>
      </w:r>
      <w:r>
        <w:rPr>
          <w:rStyle w:val="FootnoteReference"/>
        </w:rPr>
        <w:footnoteReference w:id="32"/>
      </w:r>
    </w:p>
    <w:p w:rsidR="00E160B0" w:rsidRPr="00A3437D" w:rsidP="00E160B0" w14:paraId="2156FD0D" w14:textId="37F82A40">
      <w:pPr>
        <w:pStyle w:val="ParaNum"/>
      </w:pPr>
      <w:r w:rsidRPr="007A1FAD">
        <w:t>In the interest of efficiency</w:t>
      </w:r>
      <w:r w:rsidR="00E47D13">
        <w:t>,</w:t>
      </w:r>
      <w:r w:rsidRPr="007A1FAD">
        <w:t xml:space="preserve"> and where warranted based on the specific record in each case, the Wireline Competition Bureau </w:t>
      </w:r>
      <w:r>
        <w:t xml:space="preserve">(Bureau) </w:t>
      </w:r>
      <w:r w:rsidRPr="007A1FAD">
        <w:t xml:space="preserve">has facilitated the </w:t>
      </w:r>
      <w:r w:rsidR="00BD6D9F">
        <w:t>consolidation</w:t>
      </w:r>
      <w:r w:rsidRPr="007A1FAD">
        <w:t xml:space="preserve"> of study areas by granting waivers </w:t>
      </w:r>
      <w:r w:rsidRPr="00A3437D">
        <w:t xml:space="preserve">of sections 51.917(b)(1) and 51.917(b)(7) of the </w:t>
      </w:r>
      <w:r w:rsidR="00E47D13">
        <w:t xml:space="preserve">Commission’s </w:t>
      </w:r>
      <w:r w:rsidRPr="00A3437D">
        <w:t xml:space="preserve">rules to allow </w:t>
      </w:r>
      <w:r w:rsidRPr="001A65A4" w:rsidR="00830902">
        <w:t xml:space="preserve">the requesting </w:t>
      </w:r>
      <w:r w:rsidRPr="001A65A4" w:rsidR="00485F19">
        <w:t xml:space="preserve">carriers to add together </w:t>
      </w:r>
      <w:r w:rsidRPr="001A65A4" w:rsidR="00052AF4">
        <w:t>certain intrastate switched access revenues and net reciprocal compensation revenues received by March 31, 2012, for services provided during Fiscal Year (FY) 2011, and the projected revenue requirement for interstate switched access services for the 2011-2012 tariff period</w:t>
      </w:r>
      <w:r w:rsidRPr="00A3437D">
        <w:t>.</w:t>
      </w:r>
      <w:r>
        <w:rPr>
          <w:rStyle w:val="FootnoteReference"/>
        </w:rPr>
        <w:footnoteReference w:id="33"/>
      </w:r>
      <w:r w:rsidRPr="00A3437D">
        <w:t xml:space="preserve">  Th</w:t>
      </w:r>
      <w:r w:rsidR="00E47D13">
        <w:t xml:space="preserve">ese </w:t>
      </w:r>
      <w:r w:rsidR="0045059B">
        <w:t xml:space="preserve">rule </w:t>
      </w:r>
      <w:r w:rsidR="00E47D13">
        <w:t>waivers allow the entity to</w:t>
      </w:r>
      <w:r w:rsidRPr="00A3437D">
        <w:t xml:space="preserve"> calculat</w:t>
      </w:r>
      <w:r w:rsidR="00E47D13">
        <w:t xml:space="preserve">e </w:t>
      </w:r>
      <w:r w:rsidRPr="00A3437D">
        <w:t>a combined Base Period Revenue which serves as the baseline for calculating the Eligible Recovery of the company serving the combined study area</w:t>
      </w:r>
      <w:r w:rsidR="004D57F5">
        <w:t xml:space="preserve"> going forward</w:t>
      </w:r>
      <w:r w:rsidRPr="00A3437D">
        <w:t>.</w:t>
      </w:r>
      <w:r>
        <w:rPr>
          <w:rStyle w:val="FootnoteReference"/>
        </w:rPr>
        <w:footnoteReference w:id="34"/>
      </w:r>
    </w:p>
    <w:p w:rsidR="00EE12BE" w:rsidRPr="0035752D" w:rsidP="00FD4263" w14:paraId="5801B506" w14:textId="68B54E2C">
      <w:pPr>
        <w:pStyle w:val="ParaNum"/>
      </w:pPr>
      <w:r w:rsidRPr="00A3437D">
        <w:t xml:space="preserve">The </w:t>
      </w:r>
      <w:r w:rsidR="00BD6F4A">
        <w:t xml:space="preserve">Bureau </w:t>
      </w:r>
      <w:r w:rsidRPr="00A3437D">
        <w:t xml:space="preserve">has also used the waiver process to adjust the interstate switched access rate element(s) that the company requesting to </w:t>
      </w:r>
      <w:r w:rsidR="0042353B">
        <w:t>consolidate</w:t>
      </w:r>
      <w:r w:rsidRPr="00A3437D">
        <w:t xml:space="preserve"> study areas may assess. </w:t>
      </w:r>
      <w:r w:rsidR="00BF5238">
        <w:t xml:space="preserve"> </w:t>
      </w:r>
      <w:r w:rsidRPr="00A3437D">
        <w:t xml:space="preserve">To facilitate such </w:t>
      </w:r>
      <w:r w:rsidR="0042353B">
        <w:t>consolidations</w:t>
      </w:r>
      <w:r w:rsidRPr="00A3437D">
        <w:t xml:space="preserve"> for entities that do not participate in the NECA traffic-sensitive tariff, the Commission has waived the rate cap requirement in section 51.909(a) of </w:t>
      </w:r>
      <w:r w:rsidR="00E47D13">
        <w:t>its</w:t>
      </w:r>
      <w:r w:rsidRPr="00A3437D" w:rsidR="00E47D13">
        <w:t xml:space="preserve"> </w:t>
      </w:r>
      <w:r w:rsidRPr="00A3437D">
        <w:t>rules to allow the requesting carriers to develop a weighted composite rate.</w:t>
      </w:r>
      <w:r>
        <w:rPr>
          <w:rStyle w:val="FootnoteReference"/>
        </w:rPr>
        <w:footnoteReference w:id="35"/>
      </w:r>
      <w:r w:rsidRPr="00A3437D">
        <w:t xml:space="preserve">  Such a waiver</w:t>
      </w:r>
      <w:r w:rsidRPr="00A3437D">
        <w:rPr>
          <w:i/>
        </w:rPr>
        <w:t xml:space="preserve"> </w:t>
      </w:r>
      <w:r w:rsidRPr="00A3437D">
        <w:t>allows some previously capped rates to increase, while other rates are reduced.</w:t>
      </w:r>
      <w:r>
        <w:rPr>
          <w:rStyle w:val="FootnoteReference"/>
        </w:rPr>
        <w:footnoteReference w:id="36"/>
      </w:r>
      <w:r w:rsidRPr="00A3437D">
        <w:t xml:space="preserve">  The new, weighted composite rate then becomes the rate cap for the rate element(s) in question.</w:t>
      </w:r>
      <w:r>
        <w:rPr>
          <w:rStyle w:val="FootnoteReference"/>
        </w:rPr>
        <w:footnoteReference w:id="37"/>
      </w:r>
      <w:r w:rsidRPr="00A3437D">
        <w:t xml:space="preserve">  To facilitate </w:t>
      </w:r>
      <w:r w:rsidR="00AE1599">
        <w:t xml:space="preserve">study area </w:t>
      </w:r>
      <w:r w:rsidR="00BD6D9F">
        <w:t>consolidations</w:t>
      </w:r>
      <w:r w:rsidRPr="00A3437D">
        <w:t xml:space="preserve"> for entities that participate in the NECA traffic-sensitive tariff, the Bureau has granted waivers of section 51.909(a) of the</w:t>
      </w:r>
      <w:r w:rsidR="00E47D13">
        <w:t xml:space="preserve"> Commission’s </w:t>
      </w:r>
      <w:r w:rsidRPr="00A3437D">
        <w:t xml:space="preserve">rules to allow NECA to place the consolidated study area in the rate band that most closely approximates the </w:t>
      </w:r>
      <w:r w:rsidRPr="00A3437D">
        <w:t>entities’ cost characteristics.</w:t>
      </w:r>
      <w:r>
        <w:rPr>
          <w:rStyle w:val="FootnoteReference"/>
        </w:rPr>
        <w:footnoteReference w:id="38"/>
      </w:r>
      <w:r w:rsidRPr="00A3437D">
        <w:t xml:space="preserve">  The rate for that rate band then becomes the rate cap for that rate element in the </w:t>
      </w:r>
      <w:r w:rsidR="00BD6D9F">
        <w:t>consolidated</w:t>
      </w:r>
      <w:r w:rsidRPr="00A3437D">
        <w:t xml:space="preserve"> study area</w:t>
      </w:r>
      <w:r w:rsidR="002A7D20">
        <w:t>.</w:t>
      </w:r>
      <w:r>
        <w:rPr>
          <w:rStyle w:val="FootnoteReference"/>
        </w:rPr>
        <w:footnoteReference w:id="39"/>
      </w:r>
    </w:p>
    <w:p w:rsidR="00EE12BE" w14:paraId="548A7B66" w14:textId="5592F547">
      <w:pPr>
        <w:pStyle w:val="Heading1"/>
      </w:pPr>
      <w:r>
        <w:t>Discussion</w:t>
      </w:r>
    </w:p>
    <w:p w:rsidR="00DB170B" w:rsidP="00742482" w14:paraId="42EFBE94" w14:textId="07D13B0E">
      <w:pPr>
        <w:pStyle w:val="ParaNum"/>
      </w:pPr>
      <w:r w:rsidRPr="00A3437D">
        <w:t xml:space="preserve">Commission precedent supports </w:t>
      </w:r>
      <w:r w:rsidR="00E47D13">
        <w:t xml:space="preserve">granting </w:t>
      </w:r>
      <w:r w:rsidR="00BD6F4A">
        <w:t xml:space="preserve">the </w:t>
      </w:r>
      <w:r w:rsidR="00E47D13">
        <w:t>request</w:t>
      </w:r>
      <w:r w:rsidR="00BD6F4A">
        <w:t>ed relief to allow for more efficient operation of consolidated rate-of-return study areas.</w:t>
      </w:r>
      <w:r>
        <w:rPr>
          <w:rStyle w:val="FootnoteReference"/>
        </w:rPr>
        <w:footnoteReference w:id="40"/>
      </w:r>
      <w:r w:rsidR="00BD6F4A">
        <w:t xml:space="preserve">  Ace estimates that the consolidation will save it between $140,000-$170,000</w:t>
      </w:r>
      <w:r w:rsidR="00C6060B">
        <w:t xml:space="preserve"> per year</w:t>
      </w:r>
      <w:r w:rsidR="00BD6F4A">
        <w:t xml:space="preserve"> in administrative and other expenses.</w:t>
      </w:r>
      <w:r>
        <w:rPr>
          <w:rStyle w:val="FootnoteReference"/>
        </w:rPr>
        <w:footnoteReference w:id="41"/>
      </w:r>
      <w:r w:rsidR="00BD6F4A">
        <w:t xml:space="preserve">  As Ace explains, </w:t>
      </w:r>
      <w:r w:rsidR="00EE09A9">
        <w:t xml:space="preserve">good cause exists to </w:t>
      </w:r>
      <w:r w:rsidRPr="00A3437D">
        <w:t xml:space="preserve">grant </w:t>
      </w:r>
      <w:r w:rsidR="00742482">
        <w:t>its</w:t>
      </w:r>
      <w:r w:rsidRPr="00A3437D">
        <w:t xml:space="preserve"> </w:t>
      </w:r>
      <w:r w:rsidR="005658B3">
        <w:t>P</w:t>
      </w:r>
      <w:r w:rsidRPr="00A3437D">
        <w:t xml:space="preserve">etition </w:t>
      </w:r>
      <w:r w:rsidR="00EE09A9">
        <w:t xml:space="preserve">because </w:t>
      </w:r>
      <w:r w:rsidR="00BD6F4A">
        <w:t xml:space="preserve">granting </w:t>
      </w:r>
      <w:r w:rsidR="00E47D13">
        <w:t xml:space="preserve">the requested waiver </w:t>
      </w:r>
      <w:r w:rsidR="00BD6F4A">
        <w:t xml:space="preserve">will </w:t>
      </w:r>
      <w:r w:rsidRPr="00A3437D">
        <w:t xml:space="preserve">serve the public interest by </w:t>
      </w:r>
      <w:r w:rsidR="00552364">
        <w:t>“producing significant administrative cost savings that will increase efficiency and productivity, free up more s</w:t>
      </w:r>
      <w:r w:rsidR="00C540DE">
        <w:t>c</w:t>
      </w:r>
      <w:r w:rsidR="00552364">
        <w:t>arce resources for critical broadband deployment and upgrades, and relieve some pressure for increases in customer rates and high cost support</w:t>
      </w:r>
      <w:r w:rsidRPr="00A3437D">
        <w:t>.</w:t>
      </w:r>
      <w:r w:rsidR="00BF4A16">
        <w:t>”</w:t>
      </w:r>
      <w:r>
        <w:rPr>
          <w:rStyle w:val="FootnoteReference"/>
        </w:rPr>
        <w:footnoteReference w:id="42"/>
      </w:r>
      <w:r w:rsidR="00742482">
        <w:t xml:space="preserve"> </w:t>
      </w:r>
      <w:r w:rsidR="002A7D20">
        <w:t xml:space="preserve"> </w:t>
      </w:r>
    </w:p>
    <w:p w:rsidR="00742482" w:rsidP="00742482" w14:paraId="56E3ABB3" w14:textId="28307C80">
      <w:pPr>
        <w:pStyle w:val="ParaNum"/>
      </w:pPr>
      <w:r>
        <w:t>First</w:t>
      </w:r>
      <w:r w:rsidR="000F4AE1">
        <w:t>,</w:t>
      </w:r>
      <w:r w:rsidR="0014612B">
        <w:t xml:space="preserve"> </w:t>
      </w:r>
      <w:r w:rsidR="00CE4E60">
        <w:t>w</w:t>
      </w:r>
      <w:r w:rsidRPr="00A3437D" w:rsidR="00CE4E60">
        <w:t>e</w:t>
      </w:r>
      <w:r w:rsidR="00CE4E60">
        <w:t xml:space="preserve"> </w:t>
      </w:r>
      <w:r w:rsidRPr="00A3437D" w:rsidR="00CE4E60">
        <w:t xml:space="preserve">find that the efficiencies that arise from </w:t>
      </w:r>
      <w:r w:rsidR="00BD6D9F">
        <w:t>consolidating</w:t>
      </w:r>
      <w:r w:rsidR="00CE4E60">
        <w:t xml:space="preserve"> the four </w:t>
      </w:r>
      <w:r w:rsidRPr="00A3437D" w:rsidR="00CE4E60">
        <w:t xml:space="preserve">study areas constitute special circumstances that warrant </w:t>
      </w:r>
      <w:r w:rsidR="00CE4E60">
        <w:t xml:space="preserve">granting the requested waiver </w:t>
      </w:r>
      <w:r w:rsidRPr="00A3437D" w:rsidR="00CE4E60">
        <w:t xml:space="preserve">and </w:t>
      </w:r>
      <w:r w:rsidR="00C573FD">
        <w:t xml:space="preserve">that </w:t>
      </w:r>
      <w:r w:rsidRPr="00A3437D" w:rsidR="00CE4E60">
        <w:t xml:space="preserve">good cause exists to grant </w:t>
      </w:r>
      <w:r w:rsidR="00CE4E60">
        <w:t xml:space="preserve">Ace’s </w:t>
      </w:r>
      <w:r w:rsidRPr="00A3437D" w:rsidR="00CE4E60">
        <w:t xml:space="preserve">petition. </w:t>
      </w:r>
      <w:r w:rsidRPr="00A00577" w:rsidR="00CE4E60">
        <w:t xml:space="preserve"> </w:t>
      </w:r>
      <w:r w:rsidR="00BD6F4A">
        <w:t xml:space="preserve">To effectuate the consolidation of the </w:t>
      </w:r>
      <w:r w:rsidR="00CA5B7F">
        <w:t xml:space="preserve">four Ace </w:t>
      </w:r>
      <w:r w:rsidR="00BD6F4A">
        <w:t>study area</w:t>
      </w:r>
      <w:r w:rsidR="00CA5B7F">
        <w:t>s</w:t>
      </w:r>
      <w:r w:rsidR="00BD6F4A">
        <w:t>, we find that</w:t>
      </w:r>
      <w:r w:rsidRPr="00A3437D" w:rsidR="00A00577">
        <w:t xml:space="preserve"> combining the </w:t>
      </w:r>
      <w:r w:rsidR="00CE4E60">
        <w:t>consolidating</w:t>
      </w:r>
      <w:r w:rsidRPr="00A3437D" w:rsidR="00A00577">
        <w:t xml:space="preserve"> </w:t>
      </w:r>
      <w:r w:rsidR="00C83130">
        <w:t>study areas</w:t>
      </w:r>
      <w:r w:rsidR="005658B3">
        <w:t>’</w:t>
      </w:r>
      <w:r w:rsidR="00C83130">
        <w:t xml:space="preserve"> </w:t>
      </w:r>
      <w:r w:rsidRPr="00A3437D" w:rsidR="00A00577">
        <w:t xml:space="preserve">Base Period Revenues and combining the </w:t>
      </w:r>
      <w:r w:rsidR="00CE4E60">
        <w:t>consolidating</w:t>
      </w:r>
      <w:r w:rsidRPr="00A3437D" w:rsidR="00A00577">
        <w:t xml:space="preserve"> </w:t>
      </w:r>
      <w:r w:rsidR="005658B3">
        <w:t>study areas’</w:t>
      </w:r>
      <w:r w:rsidRPr="00A3437D" w:rsidR="005658B3">
        <w:t xml:space="preserve"> </w:t>
      </w:r>
      <w:r w:rsidRPr="00A3437D" w:rsidR="00A00577">
        <w:t>interstate revenue requirements</w:t>
      </w:r>
      <w:r w:rsidR="00035FC6">
        <w:t xml:space="preserve">, as the Petitioner </w:t>
      </w:r>
      <w:r w:rsidR="00CE4E60">
        <w:t>proposes</w:t>
      </w:r>
      <w:r w:rsidR="00035FC6">
        <w:t>,</w:t>
      </w:r>
      <w:r w:rsidRPr="00A3437D" w:rsidR="00A00577">
        <w:t xml:space="preserve"> </w:t>
      </w:r>
      <w:r w:rsidR="009F7D63">
        <w:t xml:space="preserve">creates </w:t>
      </w:r>
      <w:r w:rsidRPr="00A3437D" w:rsidR="00A00577">
        <w:t xml:space="preserve">the appropriate base </w:t>
      </w:r>
      <w:r w:rsidR="009F7D63">
        <w:t xml:space="preserve">for the </w:t>
      </w:r>
      <w:r w:rsidR="004E6BB0">
        <w:t>combined study area</w:t>
      </w:r>
      <w:r w:rsidR="009F7D63">
        <w:t xml:space="preserve"> </w:t>
      </w:r>
      <w:r w:rsidRPr="00A3437D" w:rsidR="00A00577">
        <w:t xml:space="preserve">to </w:t>
      </w:r>
      <w:r w:rsidR="009F7D63">
        <w:t xml:space="preserve">use to calculate </w:t>
      </w:r>
      <w:r w:rsidRPr="00A3437D" w:rsidR="00A00577">
        <w:t xml:space="preserve">Eligible Recovery.  </w:t>
      </w:r>
      <w:r w:rsidR="00C57332">
        <w:t>U</w:t>
      </w:r>
      <w:r w:rsidRPr="00A3437D" w:rsidR="00C57332">
        <w:t>s</w:t>
      </w:r>
      <w:r w:rsidR="00C57332">
        <w:t>ing</w:t>
      </w:r>
      <w:r w:rsidRPr="00A3437D" w:rsidR="00C57332">
        <w:t xml:space="preserve"> the combined </w:t>
      </w:r>
      <w:r w:rsidR="00C57332">
        <w:t xml:space="preserve">Base Period Revenue of </w:t>
      </w:r>
      <w:r w:rsidRPr="00A3437D" w:rsidR="00C57332">
        <w:t xml:space="preserve">the </w:t>
      </w:r>
      <w:r w:rsidR="00BD6D9F">
        <w:t>consolidating</w:t>
      </w:r>
      <w:r w:rsidRPr="00A3437D" w:rsidR="00C57332">
        <w:t xml:space="preserve"> study areas and </w:t>
      </w:r>
      <w:r w:rsidR="00C57332">
        <w:t>subtracting the</w:t>
      </w:r>
      <w:r w:rsidRPr="00A3437D" w:rsidR="00C57332">
        <w:t xml:space="preserve"> </w:t>
      </w:r>
      <w:r w:rsidR="00C57332">
        <w:t xml:space="preserve">requisite </w:t>
      </w:r>
      <w:r w:rsidRPr="00A3437D" w:rsidR="00C57332">
        <w:t xml:space="preserve">projected switched access revenues </w:t>
      </w:r>
      <w:r w:rsidR="00C57332">
        <w:t xml:space="preserve">and net reciprocal compensation revenues </w:t>
      </w:r>
      <w:r w:rsidRPr="00A3437D" w:rsidR="00C57332">
        <w:t xml:space="preserve">of </w:t>
      </w:r>
      <w:r w:rsidR="00C57332">
        <w:t>those study areas</w:t>
      </w:r>
      <w:r w:rsidRPr="00A3437D" w:rsidR="00C57332">
        <w:t xml:space="preserve"> from th</w:t>
      </w:r>
      <w:r w:rsidR="00C57332">
        <w:t xml:space="preserve">is calculation for </w:t>
      </w:r>
      <w:r w:rsidRPr="00A3437D" w:rsidR="00C57332">
        <w:t xml:space="preserve">the </w:t>
      </w:r>
      <w:r w:rsidR="00BD6D9F">
        <w:t>consolidated</w:t>
      </w:r>
      <w:r w:rsidRPr="00A3437D" w:rsidR="00C57332">
        <w:t xml:space="preserve"> study area will maintain the appropriate relationship between the components (Base Period Revenue and projected revenues) used in calculating the Eligible Recovery of the </w:t>
      </w:r>
      <w:r w:rsidR="00BD6D9F">
        <w:t>consolidated</w:t>
      </w:r>
      <w:r w:rsidRPr="00A3437D" w:rsidR="00C57332">
        <w:t xml:space="preserve"> </w:t>
      </w:r>
      <w:r w:rsidR="00C57332">
        <w:t>study area</w:t>
      </w:r>
      <w:r w:rsidRPr="00A3437D" w:rsidR="00A00577">
        <w:t xml:space="preserve">.  </w:t>
      </w:r>
    </w:p>
    <w:p w:rsidR="00A00577" w:rsidRPr="00A3437D" w:rsidP="00A00577" w14:paraId="77C81F84" w14:textId="42892427">
      <w:pPr>
        <w:pStyle w:val="ParaNum"/>
      </w:pPr>
      <w:r w:rsidRPr="00A3437D">
        <w:t>Second,</w:t>
      </w:r>
      <w:r w:rsidR="00BD6F4A">
        <w:t xml:space="preserve"> w</w:t>
      </w:r>
      <w:r w:rsidRPr="00A3437D" w:rsidR="00BD6F4A">
        <w:t>e find the proposed rate band assignments to be reasonable.</w:t>
      </w:r>
      <w:r>
        <w:rPr>
          <w:rStyle w:val="FootnoteReference"/>
        </w:rPr>
        <w:footnoteReference w:id="43"/>
      </w:r>
      <w:r w:rsidR="00BD6F4A">
        <w:t xml:space="preserve">  A</w:t>
      </w:r>
      <w:r w:rsidRPr="00A3437D">
        <w:t xml:space="preserve">s participants in the NECA traffic-sensitive tariff, the </w:t>
      </w:r>
      <w:r w:rsidR="005658B3">
        <w:t>Petitioners’</w:t>
      </w:r>
      <w:r w:rsidRPr="00A3437D">
        <w:t xml:space="preserve"> local switching, dedicated transport, and tandem switching rates in the </w:t>
      </w:r>
      <w:r w:rsidR="00BD6D9F">
        <w:t>consolidating</w:t>
      </w:r>
      <w:r w:rsidRPr="00A3437D">
        <w:t xml:space="preserve"> study areas will be included in rate bands reflecting comparable cost groupings, per section 51.909(a) of the </w:t>
      </w:r>
      <w:r w:rsidR="0068424E">
        <w:t xml:space="preserve">Commission’s </w:t>
      </w:r>
      <w:r w:rsidRPr="00A3437D">
        <w:t>rules.</w:t>
      </w:r>
      <w:r>
        <w:rPr>
          <w:rStyle w:val="FootnoteReference"/>
        </w:rPr>
        <w:footnoteReference w:id="44"/>
      </w:r>
      <w:r w:rsidRPr="00A3437D">
        <w:t xml:space="preserve">  </w:t>
      </w:r>
      <w:r w:rsidR="0068424E">
        <w:t>Post-</w:t>
      </w:r>
      <w:r w:rsidR="00AE1599">
        <w:t>consolidation</w:t>
      </w:r>
      <w:r w:rsidR="0068424E">
        <w:t xml:space="preserve">, the combined </w:t>
      </w:r>
      <w:r w:rsidR="004E6BB0">
        <w:t>study area</w:t>
      </w:r>
      <w:r w:rsidR="0068424E">
        <w:t xml:space="preserve"> </w:t>
      </w:r>
      <w:r w:rsidRPr="00A3437D">
        <w:t xml:space="preserve">must charge a single rate for each rate element.  </w:t>
      </w:r>
      <w:r w:rsidR="009B13E4">
        <w:t xml:space="preserve">Combining the </w:t>
      </w:r>
      <w:r w:rsidR="005658B3">
        <w:t xml:space="preserve">Ace </w:t>
      </w:r>
      <w:r w:rsidR="004E6BB0">
        <w:t>study areas</w:t>
      </w:r>
      <w:r w:rsidR="009B13E4">
        <w:t xml:space="preserve"> in this way </w:t>
      </w:r>
      <w:r>
        <w:t xml:space="preserve">may </w:t>
      </w:r>
      <w:r w:rsidRPr="00A3437D">
        <w:t xml:space="preserve">warrant one or more rates being included in different rate bands after the </w:t>
      </w:r>
      <w:r w:rsidR="004E6BB0">
        <w:t>consolidation</w:t>
      </w:r>
      <w:r w:rsidRPr="00A3437D">
        <w:t xml:space="preserve">.  </w:t>
      </w:r>
    </w:p>
    <w:p w:rsidR="00A00577" w:rsidP="00806C05" w14:paraId="52A12074" w14:textId="1D75137E">
      <w:pPr>
        <w:pStyle w:val="ParaNum"/>
      </w:pPr>
      <w:r>
        <w:t>T</w:t>
      </w:r>
      <w:r w:rsidRPr="00A3437D" w:rsidR="00FD4263">
        <w:t xml:space="preserve">he changes </w:t>
      </w:r>
      <w:r>
        <w:t>caused by the</w:t>
      </w:r>
      <w:r w:rsidR="00535A35">
        <w:t xml:space="preserve"> study area</w:t>
      </w:r>
      <w:r>
        <w:t xml:space="preserve"> </w:t>
      </w:r>
      <w:r w:rsidR="00BD6D9F">
        <w:t>consolidation</w:t>
      </w:r>
      <w:r>
        <w:t xml:space="preserve"> </w:t>
      </w:r>
      <w:r w:rsidRPr="00A3437D" w:rsidR="00FD4263">
        <w:t xml:space="preserve">will result in some traffic being assessed at a higher rate, while other traffic </w:t>
      </w:r>
      <w:r w:rsidR="00FD4263">
        <w:t xml:space="preserve">will be </w:t>
      </w:r>
      <w:r w:rsidRPr="00A3437D" w:rsidR="00FD4263">
        <w:t>assessed at a lower rate</w:t>
      </w:r>
      <w:r>
        <w:t>,</w:t>
      </w:r>
      <w:r w:rsidRPr="00A3437D" w:rsidR="00FD4263">
        <w:t xml:space="preserve"> than it was prior to the </w:t>
      </w:r>
      <w:r w:rsidR="00BD6D9F">
        <w:t>consolidation</w:t>
      </w:r>
      <w:r w:rsidRPr="00A3437D" w:rsidR="00FD4263">
        <w:t>.</w:t>
      </w:r>
      <w:r>
        <w:rPr>
          <w:rStyle w:val="FootnoteReference"/>
          <w:color w:val="000000"/>
        </w:rPr>
        <w:footnoteReference w:id="45"/>
      </w:r>
      <w:r w:rsidRPr="00A3437D" w:rsidR="00FD4263">
        <w:t xml:space="preserve">  This banding process is the pooling equivalent of composite rate development approved in the </w:t>
      </w:r>
      <w:r w:rsidRPr="00A3437D" w:rsidR="00FD4263">
        <w:rPr>
          <w:i/>
        </w:rPr>
        <w:t>2012 Average Schedule Conversion Order</w:t>
      </w:r>
      <w:r w:rsidRPr="00A3437D" w:rsidR="00FD4263">
        <w:t>.</w:t>
      </w:r>
      <w:r>
        <w:rPr>
          <w:rStyle w:val="FootnoteReference"/>
        </w:rPr>
        <w:footnoteReference w:id="46"/>
      </w:r>
      <w:r w:rsidRPr="00A3437D" w:rsidR="00FD4263">
        <w:t xml:space="preserve">  The new rates for </w:t>
      </w:r>
      <w:r w:rsidR="007D595A">
        <w:t xml:space="preserve">Ace </w:t>
      </w:r>
      <w:r w:rsidRPr="00A3437D" w:rsidR="00FD4263">
        <w:t xml:space="preserve">become the rate caps for the affected rate elements.  We recognize that, depending on the traffic mix, this may alter slightly the </w:t>
      </w:r>
      <w:r w:rsidRPr="00A3437D" w:rsidR="00FD4263">
        <w:t xml:space="preserve">relative recovery between access revenues and Connect America Fund – Intercarrier Compensation support for </w:t>
      </w:r>
      <w:r w:rsidR="00840AB9">
        <w:t xml:space="preserve">the </w:t>
      </w:r>
      <w:r w:rsidRPr="00A3437D" w:rsidR="00FD4263">
        <w:t>Petitioner.</w:t>
      </w:r>
      <w:r>
        <w:rPr>
          <w:rStyle w:val="FootnoteReference"/>
        </w:rPr>
        <w:footnoteReference w:id="47"/>
      </w:r>
      <w:r w:rsidRPr="00A3437D" w:rsidR="00FD4263">
        <w:t xml:space="preserve">  We find these minimal differences to be more than offset by the public interest benefits </w:t>
      </w:r>
      <w:r>
        <w:t xml:space="preserve">from the </w:t>
      </w:r>
      <w:r w:rsidRPr="00A3437D" w:rsidR="00FD4263">
        <w:t xml:space="preserve">efficiencies gained </w:t>
      </w:r>
      <w:r w:rsidR="009347B8">
        <w:t>by</w:t>
      </w:r>
      <w:r w:rsidRPr="00A3437D" w:rsidR="00FD4263">
        <w:t xml:space="preserve"> </w:t>
      </w:r>
      <w:r w:rsidR="00BD6D9F">
        <w:t>consolidating</w:t>
      </w:r>
      <w:r w:rsidRPr="00A3437D" w:rsidR="00FD4263">
        <w:t xml:space="preserve"> </w:t>
      </w:r>
      <w:r>
        <w:t xml:space="preserve">the four </w:t>
      </w:r>
      <w:r w:rsidRPr="00A3437D" w:rsidR="00FD4263">
        <w:t xml:space="preserve">study areas.  We agree with Petitioner that the </w:t>
      </w:r>
      <w:r w:rsidR="00AE1599">
        <w:t>study area consolidation</w:t>
      </w:r>
      <w:r w:rsidRPr="00A3437D" w:rsidR="00FD4263">
        <w:t xml:space="preserve"> will</w:t>
      </w:r>
      <w:r w:rsidR="00BF5238">
        <w:t xml:space="preserve"> also</w:t>
      </w:r>
      <w:r w:rsidRPr="00A3437D" w:rsidR="00FD4263">
        <w:t xml:space="preserve"> serve the public interest</w:t>
      </w:r>
      <w:r>
        <w:rPr>
          <w:rStyle w:val="FootnoteReference"/>
        </w:rPr>
        <w:footnoteReference w:id="48"/>
      </w:r>
      <w:r w:rsidRPr="00A3437D" w:rsidR="00FD4263">
        <w:t xml:space="preserve"> by producing significant administrative cost savings and </w:t>
      </w:r>
      <w:r w:rsidR="00EE7136">
        <w:t>advancing</w:t>
      </w:r>
      <w:r w:rsidRPr="00A3437D" w:rsidR="00EE7136">
        <w:t xml:space="preserve"> </w:t>
      </w:r>
      <w:r w:rsidRPr="00A3437D" w:rsidR="00FD4263">
        <w:t>the Commission’s goal of encouraging carriers to become more efficient and to increase productivity,</w:t>
      </w:r>
      <w:r>
        <w:rPr>
          <w:rStyle w:val="FootnoteReference"/>
          <w:color w:val="000000"/>
        </w:rPr>
        <w:footnoteReference w:id="49"/>
      </w:r>
      <w:r w:rsidRPr="00A3437D" w:rsidR="00FD4263">
        <w:t xml:space="preserve"> which</w:t>
      </w:r>
      <w:r w:rsidR="00EE7136">
        <w:t>, in turn,</w:t>
      </w:r>
      <w:r w:rsidRPr="00A3437D" w:rsidR="00FD4263">
        <w:t xml:space="preserve"> will</w:t>
      </w:r>
      <w:r w:rsidR="00D45F38">
        <w:t xml:space="preserve">, over time, reduce the rates charged to consumers and demand on the high cost program, while </w:t>
      </w:r>
      <w:r w:rsidRPr="00A3437D" w:rsidR="00FD4263">
        <w:t>facilitat</w:t>
      </w:r>
      <w:r w:rsidR="00D45F38">
        <w:t>ing</w:t>
      </w:r>
      <w:r w:rsidRPr="00A3437D" w:rsidR="00FD4263">
        <w:t xml:space="preserve"> increased investment in broadband deployment.  </w:t>
      </w:r>
    </w:p>
    <w:p w:rsidR="00BD6F4A" w:rsidP="00F778E8" w14:paraId="38637846" w14:textId="1E23075C">
      <w:pPr>
        <w:pStyle w:val="ParaNum"/>
      </w:pPr>
      <w:r>
        <w:t xml:space="preserve">We also agree with </w:t>
      </w:r>
      <w:r w:rsidR="00115E8B">
        <w:t xml:space="preserve">the </w:t>
      </w:r>
      <w:r>
        <w:t>Petitioner that no waiver is necessary for Petitioner to withdraw the Ace – Allendale and Ace – Drenthe study areas from the TCA Tariff and re-enter those two study areas as full participants in the NECA Tariff F.C.C. No. 5 as of July 1, 2021, pursuant to the requirements provided in</w:t>
      </w:r>
      <w:r w:rsidR="00DB469F">
        <w:t xml:space="preserve"> section</w:t>
      </w:r>
      <w:r>
        <w:t xml:space="preserve"> 69.3</w:t>
      </w:r>
      <w:r w:rsidR="00DB469F">
        <w:t xml:space="preserve"> of the rules</w:t>
      </w:r>
      <w:r>
        <w:t>.</w:t>
      </w:r>
      <w:r>
        <w:rPr>
          <w:rStyle w:val="FootnoteReference"/>
        </w:rPr>
        <w:footnoteReference w:id="50"/>
      </w:r>
      <w:r>
        <w:t xml:space="preserve">  </w:t>
      </w:r>
      <w:r w:rsidR="004C64E2">
        <w:t>NECA will make several determinations, pursuant to section 51.909(a)(4) of the Commission’s rules, t</w:t>
      </w:r>
      <w:r w:rsidR="006113DA">
        <w:t>o reflect the inclusion of the Ace – Allendale and Ace – Drenthe study areas in the NECA traffic-sensitive tariff</w:t>
      </w:r>
      <w:r>
        <w:t>.</w:t>
      </w:r>
      <w:r>
        <w:rPr>
          <w:rStyle w:val="FootnoteReference"/>
        </w:rPr>
        <w:footnoteReference w:id="51"/>
      </w:r>
      <w:r>
        <w:t xml:space="preserve">  </w:t>
      </w:r>
    </w:p>
    <w:p w:rsidR="00A00577" w14:paraId="2106F080" w14:textId="42021963">
      <w:pPr>
        <w:pStyle w:val="Heading1"/>
      </w:pPr>
      <w:r>
        <w:t>Ordering Clauses</w:t>
      </w:r>
    </w:p>
    <w:p w:rsidR="00A00577" w:rsidRPr="00A3437D" w:rsidP="00A00577" w14:paraId="7C489B08" w14:textId="2A4AE6DC">
      <w:pPr>
        <w:pStyle w:val="ParaNum"/>
      </w:pPr>
      <w:r w:rsidRPr="00A3437D">
        <w:t>Accordingly, IT IS ORDERED, pursuant to sections 4(i), 5, 201-203</w:t>
      </w:r>
      <w:r>
        <w:t xml:space="preserve"> and 254(g)</w:t>
      </w:r>
      <w:r w:rsidRPr="00A3437D">
        <w:t xml:space="preserve"> of the Communications Act of 1934, as amended, 47 U.S.C. §§ 154(i), 155, 201-203, 254(g), and sections 0.91, 0.29</w:t>
      </w:r>
      <w:r>
        <w:t>1 and</w:t>
      </w:r>
      <w:r w:rsidRPr="00A3437D">
        <w:t xml:space="preserve"> 1.3 of the Commission’s rules, 47 CFR §§ 0.91, 0.291, 1.3, that the Petition for Waiver filed by </w:t>
      </w:r>
      <w:r w:rsidR="00315F5A">
        <w:t>Ace Telephone Company of Michigan</w:t>
      </w:r>
      <w:r w:rsidRPr="00A3437D">
        <w:t>,</w:t>
      </w:r>
      <w:r w:rsidR="00315F5A">
        <w:t xml:space="preserve"> Inc.</w:t>
      </w:r>
      <w:r w:rsidRPr="00A3437D">
        <w:t xml:space="preserve"> on </w:t>
      </w:r>
      <w:r w:rsidR="00315F5A">
        <w:t>November 2, 2020</w:t>
      </w:r>
      <w:r w:rsidRPr="00A3437D">
        <w:t xml:space="preserve"> IS GRANTED AS PROVIDED HEREIN.</w:t>
      </w:r>
    </w:p>
    <w:p w:rsidR="00A00577" w:rsidP="00A00577" w14:paraId="6594BCA2" w14:textId="0E7BD82A">
      <w:pPr>
        <w:pStyle w:val="ParaNum"/>
      </w:pPr>
      <w:r w:rsidRPr="00A3437D">
        <w:t>IT IS FURTHER ORDERED that pursuant to section 1.102(b)(1) of the Commission’s rules, 47 CFR § 1.102(b)(1), this Order SHALL BE EFFECTIVE upon release</w:t>
      </w:r>
      <w:r>
        <w:t>.</w:t>
      </w:r>
    </w:p>
    <w:p w:rsidR="00806C05" w:rsidP="00806C05" w14:paraId="40207B9B" w14:textId="3932B390">
      <w:pPr>
        <w:pStyle w:val="ParaNum"/>
        <w:numPr>
          <w:ilvl w:val="0"/>
          <w:numId w:val="0"/>
        </w:numPr>
        <w:ind w:left="720"/>
      </w:pPr>
    </w:p>
    <w:p w:rsidR="00F83B13" w:rsidP="00F83B13" w14:paraId="3B0B93F1" w14:textId="065042E4">
      <w:pPr>
        <w:pStyle w:val="ParaNum"/>
        <w:numPr>
          <w:ilvl w:val="0"/>
          <w:numId w:val="0"/>
        </w:numPr>
        <w:ind w:left="4320"/>
        <w:rPr>
          <w:color w:val="000000"/>
          <w:szCs w:val="22"/>
        </w:rPr>
      </w:pPr>
      <w:r>
        <w:rPr>
          <w:color w:val="000000"/>
          <w:szCs w:val="22"/>
        </w:rPr>
        <w:t>FEDERAL COMMUNICATIONS COMMISSION</w:t>
      </w:r>
    </w:p>
    <w:p w:rsidR="00F83B13" w:rsidP="00F83B13" w14:paraId="54835BA1" w14:textId="77777777">
      <w:pPr>
        <w:pStyle w:val="ParaNum"/>
        <w:numPr>
          <w:ilvl w:val="0"/>
          <w:numId w:val="0"/>
        </w:numPr>
        <w:rPr>
          <w:color w:val="000000"/>
          <w:szCs w:val="22"/>
        </w:rPr>
      </w:pPr>
    </w:p>
    <w:p w:rsidR="00F83B13" w:rsidP="00F83B13" w14:paraId="30D5B797" w14:textId="77777777">
      <w:pPr>
        <w:pStyle w:val="ParaNum"/>
        <w:numPr>
          <w:ilvl w:val="0"/>
          <w:numId w:val="0"/>
        </w:numPr>
        <w:rPr>
          <w:color w:val="000000"/>
          <w:szCs w:val="22"/>
        </w:rPr>
      </w:pPr>
    </w:p>
    <w:p w:rsidR="00F83B13" w:rsidP="00F83B13" w14:paraId="74982651" w14:textId="782170C2">
      <w:pPr>
        <w:pStyle w:val="ParaNum"/>
        <w:numPr>
          <w:ilvl w:val="0"/>
          <w:numId w:val="0"/>
        </w:numPr>
        <w:spacing w:after="0"/>
        <w:ind w:left="3600" w:firstLine="720"/>
        <w:rPr>
          <w:color w:val="000000"/>
          <w:szCs w:val="22"/>
        </w:rPr>
      </w:pPr>
      <w:r>
        <w:rPr>
          <w:color w:val="000000"/>
          <w:szCs w:val="22"/>
        </w:rPr>
        <w:t>Kris Anne Monteith</w:t>
      </w:r>
    </w:p>
    <w:p w:rsidR="00F83B13" w:rsidP="00F83B13" w14:paraId="35EFBBB6" w14:textId="24213D86">
      <w:pPr>
        <w:pStyle w:val="ParaNum"/>
        <w:numPr>
          <w:ilvl w:val="0"/>
          <w:numId w:val="0"/>
        </w:numPr>
        <w:spacing w:after="0"/>
        <w:ind w:left="3600" w:firstLine="720"/>
        <w:rPr>
          <w:color w:val="000000"/>
          <w:szCs w:val="22"/>
        </w:rPr>
      </w:pPr>
      <w:r>
        <w:rPr>
          <w:color w:val="000000"/>
          <w:szCs w:val="22"/>
        </w:rPr>
        <w:t>Chief</w:t>
      </w:r>
    </w:p>
    <w:p w:rsidR="00F83B13" w:rsidP="00F83B13" w14:paraId="2A420610" w14:textId="18687474">
      <w:pPr>
        <w:pStyle w:val="ParaNum"/>
        <w:numPr>
          <w:ilvl w:val="0"/>
          <w:numId w:val="0"/>
        </w:numPr>
        <w:spacing w:after="0"/>
        <w:ind w:left="3600" w:firstLine="720"/>
        <w:rPr>
          <w:color w:val="000000"/>
          <w:szCs w:val="22"/>
        </w:rPr>
      </w:pPr>
      <w:r>
        <w:rPr>
          <w:color w:val="000000"/>
          <w:szCs w:val="22"/>
        </w:rPr>
        <w:t>Wireline Competition Bureau</w:t>
      </w:r>
    </w:p>
    <w:p w:rsidR="00F83B13" w:rsidRPr="00A00577" w:rsidP="00F83B13" w14:paraId="1CFE9223" w14:textId="77777777">
      <w:pPr>
        <w:pStyle w:val="ParaNum"/>
        <w:numPr>
          <w:ilvl w:val="0"/>
          <w:numId w:val="0"/>
        </w:numPr>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Noto Serif Thai"/>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3CE5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2F21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DCA4D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51BF8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2CFC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023" w14:paraId="15F94AAD" w14:textId="77777777">
      <w:r>
        <w:separator/>
      </w:r>
    </w:p>
  </w:footnote>
  <w:footnote w:type="continuationSeparator" w:id="1">
    <w:p w:rsidR="007E5023" w:rsidP="00C721AC" w14:paraId="36AE96C8" w14:textId="77777777">
      <w:pPr>
        <w:spacing w:before="120"/>
        <w:rPr>
          <w:sz w:val="20"/>
        </w:rPr>
      </w:pPr>
      <w:r>
        <w:rPr>
          <w:sz w:val="20"/>
        </w:rPr>
        <w:t xml:space="preserve">(Continued from previous page)  </w:t>
      </w:r>
      <w:r>
        <w:rPr>
          <w:sz w:val="20"/>
        </w:rPr>
        <w:separator/>
      </w:r>
    </w:p>
  </w:footnote>
  <w:footnote w:type="continuationNotice" w:id="2">
    <w:p w:rsidR="007E5023" w:rsidP="00C721AC" w14:paraId="1183D722" w14:textId="77777777">
      <w:pPr>
        <w:jc w:val="right"/>
        <w:rPr>
          <w:sz w:val="20"/>
        </w:rPr>
      </w:pPr>
      <w:r>
        <w:rPr>
          <w:sz w:val="20"/>
        </w:rPr>
        <w:t>(continued….)</w:t>
      </w:r>
    </w:p>
  </w:footnote>
  <w:footnote w:id="3">
    <w:p w:rsidR="006C0E3F" w:rsidRPr="006C0E3F" w:rsidP="006C0E3F" w14:paraId="1081741F" w14:textId="3993176E">
      <w:pPr>
        <w:pStyle w:val="FootnoteText"/>
        <w:rPr>
          <w:color w:val="000000"/>
        </w:rPr>
      </w:pPr>
      <w:r>
        <w:rPr>
          <w:rStyle w:val="FootnoteReference"/>
        </w:rPr>
        <w:footnoteRef/>
      </w:r>
      <w:r>
        <w:t xml:space="preserve"> </w:t>
      </w:r>
      <w:r w:rsidRPr="00822619">
        <w:rPr>
          <w:i/>
          <w:color w:val="000000"/>
        </w:rPr>
        <w:t>See e</w:t>
      </w:r>
      <w:r w:rsidRPr="00822619">
        <w:rPr>
          <w:color w:val="000000"/>
        </w:rPr>
        <w:t>.</w:t>
      </w:r>
      <w:r w:rsidRPr="00822619">
        <w:rPr>
          <w:i/>
          <w:color w:val="000000"/>
        </w:rPr>
        <w:t>g</w:t>
      </w:r>
      <w:r w:rsidRPr="00822619">
        <w:rPr>
          <w:color w:val="000000"/>
        </w:rPr>
        <w:t xml:space="preserve">., </w:t>
      </w:r>
      <w:r w:rsidR="00EF7040">
        <w:rPr>
          <w:i/>
        </w:rPr>
        <w:t>Connect America Fund et al</w:t>
      </w:r>
      <w:r w:rsidR="00EF7040">
        <w:rPr>
          <w:iCs/>
        </w:rPr>
        <w:t>.</w:t>
      </w:r>
      <w:r w:rsidRPr="00B1510B">
        <w:t>, WC Docket No</w:t>
      </w:r>
      <w:r w:rsidR="00EF7040">
        <w:t>.</w:t>
      </w:r>
      <w:r w:rsidRPr="00B1510B">
        <w:t xml:space="preserve"> 10-90</w:t>
      </w:r>
      <w:r w:rsidR="00EF7040">
        <w:t xml:space="preserve"> et al.</w:t>
      </w:r>
      <w:r w:rsidRPr="00B1510B">
        <w:t>, 33 FCC Rcd 1152</w:t>
      </w:r>
      <w:r w:rsidRPr="00822619">
        <w:rPr>
          <w:color w:val="000000"/>
        </w:rPr>
        <w:t xml:space="preserve">, 1157-58, paras. 15-16 </w:t>
      </w:r>
      <w:r w:rsidRPr="00B1510B">
        <w:t>(WCB 2018) (</w:t>
      </w:r>
      <w:r w:rsidRPr="00B1510B">
        <w:rPr>
          <w:i/>
        </w:rPr>
        <w:t>Butler-Panora Order</w:t>
      </w:r>
      <w:r w:rsidRPr="00B1510B">
        <w:t>) (</w:t>
      </w:r>
      <w:r w:rsidR="00AD785C">
        <w:t xml:space="preserve">granting </w:t>
      </w:r>
      <w:r w:rsidRPr="00B1510B">
        <w:t>two rate-of-return study area waiver petitions</w:t>
      </w:r>
      <w:r w:rsidRPr="00B1510B">
        <w:rPr>
          <w:iCs/>
        </w:rPr>
        <w:t xml:space="preserve">); </w:t>
      </w:r>
      <w:r w:rsidRPr="00822619">
        <w:rPr>
          <w:i/>
          <w:color w:val="000000"/>
        </w:rPr>
        <w:t>CenturyLink Petition for Conversion of Average Schedule Affiliates to Price Cap Regulation and for Limited Waiver Relief</w:t>
      </w:r>
      <w:r w:rsidRPr="00822619">
        <w:rPr>
          <w:color w:val="000000"/>
        </w:rPr>
        <w:t>,</w:t>
      </w:r>
      <w:r w:rsidRPr="00822619">
        <w:rPr>
          <w:i/>
          <w:color w:val="000000"/>
        </w:rPr>
        <w:t xml:space="preserve"> </w:t>
      </w:r>
      <w:r w:rsidRPr="00822619">
        <w:rPr>
          <w:color w:val="000000"/>
        </w:rPr>
        <w:t>WC Docket No. 14-23, Order, 29 FCC Rcd 5140, 5146, para. 15 (WCB 2014) (</w:t>
      </w:r>
      <w:r w:rsidRPr="00822619">
        <w:rPr>
          <w:color w:val="000000"/>
          <w:szCs w:val="22"/>
        </w:rPr>
        <w:t>allowing CenturyLink to establish a single interstate access tariff with blended switched and special access rates for three consolidating study areas and simultaneously allowing the three affiliates requesting the waiver to withdraw from the NECA pool)</w:t>
      </w:r>
      <w:r w:rsidRPr="00822619">
        <w:rPr>
          <w:color w:val="000000"/>
        </w:rPr>
        <w:t xml:space="preserve">.  </w:t>
      </w:r>
    </w:p>
  </w:footnote>
  <w:footnote w:id="4">
    <w:p w:rsidR="004F08BD" w:rsidRPr="006C0E3F" w:rsidP="004F08BD" w14:paraId="5F5A3495" w14:textId="77777777">
      <w:pPr>
        <w:widowControl/>
        <w:autoSpaceDE w:val="0"/>
        <w:autoSpaceDN w:val="0"/>
        <w:adjustRightInd w:val="0"/>
        <w:spacing w:after="120"/>
        <w:rPr>
          <w:snapToGrid/>
          <w:kern w:val="0"/>
          <w:sz w:val="20"/>
        </w:rPr>
      </w:pPr>
      <w:r>
        <w:rPr>
          <w:rStyle w:val="FootnoteReference"/>
        </w:rPr>
        <w:footnoteRef/>
      </w:r>
      <w:r>
        <w:t xml:space="preserve"> </w:t>
      </w:r>
      <w:r w:rsidRPr="006C0E3F">
        <w:rPr>
          <w:i/>
          <w:iCs/>
          <w:sz w:val="20"/>
        </w:rPr>
        <w:t xml:space="preserve">See </w:t>
      </w:r>
      <w:r w:rsidRPr="006C0E3F">
        <w:rPr>
          <w:iCs/>
          <w:sz w:val="20"/>
        </w:rPr>
        <w:t xml:space="preserve">Ace Telephone Company of Michigan, Inc. Petition for Waiver of Sections </w:t>
      </w:r>
      <w:r w:rsidRPr="006C0E3F">
        <w:rPr>
          <w:snapToGrid/>
          <w:kern w:val="0"/>
          <w:sz w:val="20"/>
        </w:rPr>
        <w:t xml:space="preserve">51.909(a), 51.917(b)(1) and 51.917(b)(7) of the Commission’s </w:t>
      </w:r>
      <w:r>
        <w:rPr>
          <w:snapToGrid/>
          <w:kern w:val="0"/>
          <w:sz w:val="20"/>
        </w:rPr>
        <w:t>R</w:t>
      </w:r>
      <w:r w:rsidRPr="006C0E3F">
        <w:rPr>
          <w:snapToGrid/>
          <w:kern w:val="0"/>
          <w:sz w:val="20"/>
        </w:rPr>
        <w:t>ules to modify access rate bands and charges, and 2011 Switched Access Revenue Requirement and 2011 Base Period Revenue in connection with the merger of affiliated study areas in Michigan</w:t>
      </w:r>
      <w:r>
        <w:rPr>
          <w:snapToGrid/>
          <w:kern w:val="0"/>
          <w:sz w:val="20"/>
        </w:rPr>
        <w:t>, WC Docket No. 20-358 (filed Nov. 2, 2020) (Ace Petition or Petition).</w:t>
      </w:r>
    </w:p>
  </w:footnote>
  <w:footnote w:id="5">
    <w:p w:rsidR="00566FB6" w:rsidRPr="00566FB6" w:rsidP="00566FB6" w14:paraId="568C5CF4" w14:textId="68156AD3">
      <w:pPr>
        <w:pStyle w:val="FootnoteText"/>
      </w:pPr>
      <w:r>
        <w:rPr>
          <w:rStyle w:val="FootnoteReference"/>
        </w:rPr>
        <w:footnoteRef/>
      </w:r>
      <w:r>
        <w:t xml:space="preserve"> A study area is the geographic territory of an incumbent local exchange carrier</w:t>
      </w:r>
      <w:r w:rsidR="00ED2249">
        <w:t>’</w:t>
      </w:r>
      <w:r>
        <w:t>s telephone operations.</w:t>
      </w:r>
      <w:r w:rsidR="000A35AF">
        <w:t xml:space="preserve"> </w:t>
      </w:r>
      <w:r>
        <w:t xml:space="preserve"> </w:t>
      </w:r>
      <w:r w:rsidR="00F3613F">
        <w:rPr>
          <w:i/>
          <w:iCs/>
        </w:rPr>
        <w:t xml:space="preserve">See </w:t>
      </w:r>
      <w:r w:rsidR="00F3613F">
        <w:t>47</w:t>
      </w:r>
      <w:r>
        <w:t xml:space="preserve"> CFR Part 36 App; </w:t>
      </w:r>
      <w:r>
        <w:rPr>
          <w:i/>
          <w:iCs/>
        </w:rPr>
        <w:t>US West Communications, Inc. &amp; Eagle Telecommunications, Inc. Joint Petition for Waiver of the Definition of “Study Area” Contained in Part 36, Appendix</w:t>
      </w:r>
      <w:r w:rsidR="00ED2249">
        <w:rPr>
          <w:i/>
          <w:iCs/>
        </w:rPr>
        <w:t>—</w:t>
      </w:r>
      <w:r w:rsidR="00F3613F">
        <w:rPr>
          <w:i/>
          <w:iCs/>
        </w:rPr>
        <w:t>Glossary of</w:t>
      </w:r>
      <w:r>
        <w:rPr>
          <w:i/>
          <w:iCs/>
        </w:rPr>
        <w:t xml:space="preserve"> the Commission’s Rules, </w:t>
      </w:r>
      <w:r>
        <w:t>Memorandum Opinion and Order, 10 FCC Rcd 1771, 1772, para. 5 (1995).</w:t>
      </w:r>
    </w:p>
  </w:footnote>
  <w:footnote w:id="6">
    <w:p w:rsidR="00566FB6" w:rsidRPr="00566FB6" w:rsidP="00566FB6" w14:paraId="4B8ADEAA" w14:textId="298CF268">
      <w:pPr>
        <w:pStyle w:val="FootnoteText"/>
        <w:rPr>
          <w:i/>
          <w:color w:val="000000"/>
        </w:rPr>
      </w:pPr>
      <w:r>
        <w:rPr>
          <w:rStyle w:val="FootnoteReference"/>
        </w:rPr>
        <w:footnoteRef/>
      </w:r>
      <w:r>
        <w:t xml:space="preserve"> </w:t>
      </w:r>
      <w:r w:rsidRPr="00822619">
        <w:rPr>
          <w:i/>
          <w:color w:val="000000"/>
        </w:rPr>
        <w:t>Connect America Fund et al.</w:t>
      </w:r>
      <w:r w:rsidRPr="00822619">
        <w:rPr>
          <w:color w:val="000000"/>
        </w:rPr>
        <w:t>, WC Docket No. 10-90 et al., Report and Order and Further Notice of Proposed Rulemaking, 26 FCC Rcd 17663 (2011) (</w:t>
      </w:r>
      <w:r w:rsidRPr="00822619">
        <w:rPr>
          <w:i/>
          <w:color w:val="000000"/>
        </w:rPr>
        <w:t xml:space="preserve">USF/ICC Transformation </w:t>
      </w:r>
      <w:bookmarkStart w:id="0" w:name="_Hlk523848279"/>
      <w:r w:rsidRPr="00822619">
        <w:rPr>
          <w:i/>
          <w:color w:val="000000"/>
        </w:rPr>
        <w:t>Order</w:t>
      </w:r>
      <w:bookmarkEnd w:id="0"/>
      <w:r w:rsidRPr="00822619">
        <w:rPr>
          <w:color w:val="000000"/>
        </w:rPr>
        <w:t xml:space="preserve">) </w:t>
      </w:r>
      <w:r w:rsidRPr="00822619">
        <w:rPr>
          <w:i/>
          <w:color w:val="000000"/>
        </w:rPr>
        <w:t>aff’d, In re</w:t>
      </w:r>
      <w:r w:rsidRPr="00822619">
        <w:rPr>
          <w:color w:val="000000"/>
        </w:rPr>
        <w:t xml:space="preserve"> </w:t>
      </w:r>
      <w:r w:rsidRPr="00822619">
        <w:rPr>
          <w:i/>
          <w:color w:val="000000"/>
        </w:rPr>
        <w:t>FCC 11-161</w:t>
      </w:r>
      <w:r w:rsidRPr="00822619">
        <w:rPr>
          <w:color w:val="000000"/>
        </w:rPr>
        <w:t>, 753 F.3d 1015 (10th Cir. 2014).</w:t>
      </w:r>
      <w:r w:rsidRPr="00822619">
        <w:rPr>
          <w:i/>
          <w:color w:val="000000"/>
        </w:rPr>
        <w:t xml:space="preserve">  </w:t>
      </w:r>
    </w:p>
  </w:footnote>
  <w:footnote w:id="7">
    <w:p w:rsidR="00566FB6" w14:paraId="001C165A" w14:textId="1577A52D">
      <w:pPr>
        <w:pStyle w:val="FootnoteText"/>
      </w:pPr>
      <w:r>
        <w:rPr>
          <w:rStyle w:val="FootnoteReference"/>
        </w:rPr>
        <w:footnoteRef/>
      </w:r>
      <w:r>
        <w:t xml:space="preserve"> </w:t>
      </w:r>
      <w:r w:rsidRPr="00822619">
        <w:rPr>
          <w:i/>
          <w:color w:val="000000"/>
        </w:rPr>
        <w:t xml:space="preserve">See </w:t>
      </w:r>
      <w:r w:rsidRPr="00822619">
        <w:rPr>
          <w:color w:val="000000"/>
        </w:rPr>
        <w:t xml:space="preserve">47 CFR § 51.909(a).  Originating intrastate switched access rates for rate-of-return carriers were exempt from the rate cap.  </w:t>
      </w:r>
    </w:p>
  </w:footnote>
  <w:footnote w:id="8">
    <w:p w:rsidR="000A5F6A" w:rsidRPr="0012386D" w:rsidP="006C0E3F" w14:paraId="0637C021" w14:textId="7A0E1A97">
      <w:pPr>
        <w:pStyle w:val="FootnoteText"/>
        <w:rPr>
          <w:b/>
          <w:bCs/>
        </w:rPr>
      </w:pPr>
      <w:r>
        <w:rPr>
          <w:rStyle w:val="FootnoteReference"/>
        </w:rPr>
        <w:footnoteRef/>
      </w:r>
      <w:r>
        <w:t xml:space="preserve"> </w:t>
      </w:r>
      <w:r w:rsidRPr="00822619">
        <w:rPr>
          <w:i/>
          <w:color w:val="000000"/>
        </w:rPr>
        <w:t>USF/ICC Transformation Order</w:t>
      </w:r>
      <w:r w:rsidRPr="00822619">
        <w:rPr>
          <w:color w:val="000000"/>
        </w:rPr>
        <w:t>, 26 FCC Rcd at 17934-</w:t>
      </w:r>
      <w:r w:rsidRPr="001B2721">
        <w:rPr>
          <w:color w:val="000000"/>
        </w:rPr>
        <w:t xml:space="preserve">36, </w:t>
      </w:r>
      <w:r w:rsidRPr="0060141A">
        <w:rPr>
          <w:color w:val="000000"/>
        </w:rPr>
        <w:t>para. 801 &amp; fig. 9.</w:t>
      </w:r>
      <w:r w:rsidR="00A37BFF">
        <w:rPr>
          <w:color w:val="000000"/>
        </w:rPr>
        <w:t xml:space="preserve"> </w:t>
      </w:r>
      <w:r w:rsidR="0012386D">
        <w:rPr>
          <w:color w:val="000000"/>
        </w:rPr>
        <w:t xml:space="preserve"> “Under bill-and-keep, carriers look first to their subscribers to cover the costs of the network, then to explicit universal service support where necessary.”  </w:t>
      </w:r>
      <w:r w:rsidR="0012386D">
        <w:rPr>
          <w:i/>
          <w:iCs/>
          <w:color w:val="000000"/>
        </w:rPr>
        <w:t>Id</w:t>
      </w:r>
      <w:r w:rsidR="0012386D">
        <w:rPr>
          <w:color w:val="000000"/>
        </w:rPr>
        <w:t>. at 17676, para. 34</w:t>
      </w:r>
      <w:r w:rsidR="00823A9F">
        <w:rPr>
          <w:color w:val="000000"/>
        </w:rPr>
        <w:t>.</w:t>
      </w:r>
      <w:r w:rsidR="0012386D">
        <w:rPr>
          <w:color w:val="000000"/>
        </w:rPr>
        <w:t xml:space="preserve"> </w:t>
      </w:r>
    </w:p>
  </w:footnote>
  <w:footnote w:id="9">
    <w:p w:rsidR="000A5F6A" w:rsidP="000A5F6A" w14:paraId="23D266E4" w14:textId="1AD8ABE9">
      <w:pPr>
        <w:pStyle w:val="FootnoteText"/>
      </w:pPr>
      <w:r>
        <w:rPr>
          <w:rStyle w:val="FootnoteReference"/>
        </w:rPr>
        <w:footnoteRef/>
      </w:r>
      <w:r>
        <w:t xml:space="preserve"> </w:t>
      </w:r>
      <w:r w:rsidRPr="00822619">
        <w:rPr>
          <w:i/>
          <w:color w:val="000000"/>
        </w:rPr>
        <w:t>See id</w:t>
      </w:r>
      <w:r w:rsidRPr="00822619">
        <w:rPr>
          <w:color w:val="000000"/>
        </w:rPr>
        <w:t>. at 17956</w:t>
      </w:r>
      <w:r>
        <w:rPr>
          <w:color w:val="000000"/>
        </w:rPr>
        <w:t>-57</w:t>
      </w:r>
      <w:r w:rsidRPr="00822619">
        <w:rPr>
          <w:color w:val="000000"/>
        </w:rPr>
        <w:t>, para</w:t>
      </w:r>
      <w:r w:rsidR="002C474B">
        <w:rPr>
          <w:color w:val="000000"/>
        </w:rPr>
        <w:t>s</w:t>
      </w:r>
      <w:r w:rsidRPr="00822619">
        <w:rPr>
          <w:color w:val="000000"/>
        </w:rPr>
        <w:t>. 847</w:t>
      </w:r>
      <w:r w:rsidR="002C474B">
        <w:rPr>
          <w:color w:val="000000"/>
        </w:rPr>
        <w:t xml:space="preserve"> &amp; 850</w:t>
      </w:r>
      <w:r w:rsidRPr="00822619">
        <w:rPr>
          <w:color w:val="000000"/>
        </w:rPr>
        <w:t>.</w:t>
      </w:r>
    </w:p>
  </w:footnote>
  <w:footnote w:id="10">
    <w:p w:rsidR="000A5F6A" w:rsidRPr="00822619" w:rsidP="000A5F6A" w14:paraId="59C1F572" w14:textId="71DB47FD">
      <w:pPr>
        <w:pStyle w:val="FootnoteText"/>
        <w:rPr>
          <w:color w:val="000000"/>
        </w:rPr>
      </w:pPr>
      <w:r w:rsidRPr="00822619">
        <w:rPr>
          <w:rStyle w:val="FootnoteReference"/>
          <w:color w:val="000000"/>
        </w:rPr>
        <w:footnoteRef/>
      </w:r>
      <w:r w:rsidRPr="00822619">
        <w:rPr>
          <w:i/>
          <w:color w:val="000000"/>
        </w:rPr>
        <w:t xml:space="preserve"> Id</w:t>
      </w:r>
      <w:r w:rsidRPr="00822619">
        <w:rPr>
          <w:color w:val="000000"/>
        </w:rPr>
        <w:t>. at 179</w:t>
      </w:r>
      <w:r>
        <w:rPr>
          <w:color w:val="000000"/>
        </w:rPr>
        <w:t>57</w:t>
      </w:r>
      <w:r w:rsidRPr="00822619">
        <w:rPr>
          <w:color w:val="000000"/>
        </w:rPr>
        <w:t>, para. 850.</w:t>
      </w:r>
    </w:p>
  </w:footnote>
  <w:footnote w:id="11">
    <w:p w:rsidR="000A5F6A" w:rsidRPr="00822619" w:rsidP="000A5F6A" w14:paraId="00F1EE3C"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at 17958-61, para. 852; 47 CFR §§ 51.917(d)-(e)</w:t>
      </w:r>
      <w:r>
        <w:rPr>
          <w:color w:val="000000"/>
        </w:rPr>
        <w:t>.</w:t>
      </w:r>
    </w:p>
  </w:footnote>
  <w:footnote w:id="12">
    <w:p w:rsidR="000A5F6A" w:rsidRPr="00822619" w:rsidP="000A5F6A" w14:paraId="5C4D22C7" w14:textId="77777777">
      <w:pPr>
        <w:pStyle w:val="FootnoteText"/>
        <w:rPr>
          <w:color w:val="000000"/>
        </w:rPr>
      </w:pPr>
      <w:r w:rsidRPr="00822619">
        <w:rPr>
          <w:rStyle w:val="FootnoteReference"/>
          <w:color w:val="000000"/>
        </w:rPr>
        <w:footnoteRef/>
      </w:r>
      <w:r w:rsidRPr="00822619">
        <w:rPr>
          <w:i/>
          <w:color w:val="000000"/>
        </w:rPr>
        <w:t xml:space="preserve"> USF/ICC Transformation Order</w:t>
      </w:r>
      <w:r w:rsidRPr="00822619">
        <w:rPr>
          <w:color w:val="000000"/>
        </w:rPr>
        <w:t>, 26 FCC Rcd at 17994-95, para. 918; 47 CFR § 51.917(f).</w:t>
      </w:r>
    </w:p>
  </w:footnote>
  <w:footnote w:id="13">
    <w:p w:rsidR="000A5F6A" w:rsidRPr="00822619" w:rsidP="000A5F6A" w14:paraId="163C01DD"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14">
    <w:p w:rsidR="000A5F6A" w:rsidRPr="00822619" w:rsidP="000A5F6A" w14:paraId="17204ADD" w14:textId="77777777">
      <w:pPr>
        <w:pStyle w:val="FootnoteText"/>
        <w:rPr>
          <w:color w:val="000000"/>
        </w:rPr>
      </w:pPr>
      <w:r w:rsidRPr="00822619">
        <w:rPr>
          <w:rStyle w:val="FootnoteReference"/>
          <w:color w:val="000000"/>
        </w:rPr>
        <w:footnoteRef/>
      </w:r>
      <w:r w:rsidRPr="00822619">
        <w:rPr>
          <w:color w:val="000000"/>
        </w:rPr>
        <w:t xml:space="preserve"> For purposes of the recovery mechanism, FY 2011 is defined as Oct. 1, 2010 through Sept. 30, 2011.  </w:t>
      </w:r>
      <w:r w:rsidRPr="00822619">
        <w:rPr>
          <w:i/>
          <w:color w:val="000000"/>
        </w:rPr>
        <w:t xml:space="preserve">See </w:t>
      </w:r>
      <w:r w:rsidRPr="00822619">
        <w:rPr>
          <w:color w:val="000000"/>
        </w:rPr>
        <w:t>47 CFR § 51.903(e).</w:t>
      </w:r>
    </w:p>
  </w:footnote>
  <w:footnote w:id="15">
    <w:p w:rsidR="000A5F6A" w:rsidRPr="00822619" w:rsidP="000A5F6A" w14:paraId="4CE4B004" w14:textId="6B403563">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w:t>
      </w:r>
      <w:r w:rsidR="00761092">
        <w:rPr>
          <w:color w:val="000000"/>
        </w:rPr>
        <w:t xml:space="preserve"> (</w:t>
      </w:r>
      <w:r w:rsidR="00761092">
        <w:t>specifying the revenues to be used to determine BPR)</w:t>
      </w:r>
      <w:r w:rsidRPr="00822619">
        <w:rPr>
          <w:color w:val="000000"/>
        </w:rPr>
        <w:t>.  The 2011-2012 tariff period was July 1, 2011 through June 30, 2012.</w:t>
      </w:r>
    </w:p>
  </w:footnote>
  <w:footnote w:id="16">
    <w:p w:rsidR="000A5F6A" w:rsidRPr="00822619" w:rsidP="000A5F6A" w14:paraId="7C4157FA"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51.917(b)(3).</w:t>
      </w:r>
    </w:p>
  </w:footnote>
  <w:footnote w:id="17">
    <w:p w:rsidR="000A5F6A" w:rsidRPr="00822619" w:rsidP="000A5F6A" w14:paraId="2BE66C59"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18">
    <w:p w:rsidR="001C6753" w:rsidRPr="00F53829" w14:paraId="3655FE0C" w14:textId="29A76921">
      <w:pPr>
        <w:pStyle w:val="FootnoteText"/>
      </w:pPr>
      <w:r>
        <w:rPr>
          <w:rStyle w:val="FootnoteReference"/>
        </w:rPr>
        <w:footnoteRef/>
      </w:r>
      <w:r>
        <w:t xml:space="preserve"> </w:t>
      </w:r>
      <w:r w:rsidRPr="00822619" w:rsidR="003D43A7">
        <w:rPr>
          <w:color w:val="000000"/>
        </w:rPr>
        <w:t>47 CFR §§ 51.917(d)-(e)</w:t>
      </w:r>
      <w:r w:rsidR="001C1A0B">
        <w:rPr>
          <w:color w:val="000000"/>
        </w:rPr>
        <w:t xml:space="preserve">.  </w:t>
      </w:r>
      <w:r w:rsidR="001C1A0B">
        <w:rPr>
          <w:i/>
          <w:iCs/>
          <w:color w:val="000000"/>
        </w:rPr>
        <w:t>See e.g.</w:t>
      </w:r>
      <w:r w:rsidR="001C1A0B">
        <w:rPr>
          <w:color w:val="000000"/>
        </w:rPr>
        <w:t>,</w:t>
      </w:r>
      <w:r w:rsidR="00F53829">
        <w:rPr>
          <w:color w:val="000000"/>
        </w:rPr>
        <w:t xml:space="preserve"> </w:t>
      </w:r>
      <w:r w:rsidR="00F53829">
        <w:rPr>
          <w:i/>
          <w:iCs/>
          <w:color w:val="000000"/>
        </w:rPr>
        <w:t>Butler-Panora Order</w:t>
      </w:r>
      <w:r w:rsidR="00F53829">
        <w:rPr>
          <w:color w:val="000000"/>
        </w:rPr>
        <w:t xml:space="preserve">, 33 FCC Rcd at </w:t>
      </w:r>
      <w:r w:rsidR="001C1A0B">
        <w:rPr>
          <w:color w:val="000000"/>
        </w:rPr>
        <w:t xml:space="preserve">1155, </w:t>
      </w:r>
      <w:r w:rsidR="00F53829">
        <w:rPr>
          <w:color w:val="000000"/>
        </w:rPr>
        <w:t>1157, para</w:t>
      </w:r>
      <w:r w:rsidR="001C1A0B">
        <w:rPr>
          <w:color w:val="000000"/>
        </w:rPr>
        <w:t>s</w:t>
      </w:r>
      <w:r w:rsidR="00F53829">
        <w:rPr>
          <w:color w:val="000000"/>
        </w:rPr>
        <w:t>.</w:t>
      </w:r>
      <w:r w:rsidR="001C1A0B">
        <w:rPr>
          <w:color w:val="000000"/>
        </w:rPr>
        <w:t xml:space="preserve"> 10 &amp;</w:t>
      </w:r>
      <w:r w:rsidR="00F53829">
        <w:rPr>
          <w:color w:val="000000"/>
        </w:rPr>
        <w:t xml:space="preserve"> 15 (</w:t>
      </w:r>
      <w:r w:rsidR="001C1A0B">
        <w:rPr>
          <w:color w:val="000000"/>
        </w:rPr>
        <w:t xml:space="preserve">discussing relevant precedent and describing approach to calculating Eligible Recovery when study areas </w:t>
      </w:r>
      <w:r w:rsidR="00BD6D9F">
        <w:rPr>
          <w:color w:val="000000"/>
        </w:rPr>
        <w:t>consolidate</w:t>
      </w:r>
      <w:r w:rsidR="001C1A0B">
        <w:rPr>
          <w:color w:val="000000"/>
        </w:rPr>
        <w:t xml:space="preserve">). </w:t>
      </w:r>
    </w:p>
  </w:footnote>
  <w:footnote w:id="19">
    <w:p w:rsidR="001C6753" w14:paraId="27CDC64A" w14:textId="6980F4CA">
      <w:pPr>
        <w:pStyle w:val="FootnoteText"/>
      </w:pPr>
      <w:r>
        <w:rPr>
          <w:rStyle w:val="FootnoteReference"/>
        </w:rPr>
        <w:footnoteRef/>
      </w:r>
      <w:r>
        <w:t xml:space="preserve"> </w:t>
      </w:r>
      <w:r w:rsidR="001C1A0B">
        <w:t xml:space="preserve"> </w:t>
      </w:r>
      <w:r w:rsidR="000E3524">
        <w:rPr>
          <w:i/>
          <w:iCs/>
          <w:color w:val="000000"/>
        </w:rPr>
        <w:t>See e.g.</w:t>
      </w:r>
      <w:r w:rsidR="000E3524">
        <w:rPr>
          <w:color w:val="000000"/>
        </w:rPr>
        <w:t xml:space="preserve">, </w:t>
      </w:r>
      <w:r w:rsidR="000E3524">
        <w:rPr>
          <w:i/>
          <w:iCs/>
          <w:color w:val="000000"/>
        </w:rPr>
        <w:t>Butler-Panora Order</w:t>
      </w:r>
      <w:r w:rsidR="000E3524">
        <w:rPr>
          <w:color w:val="000000"/>
        </w:rPr>
        <w:t>, 33 FCC Rcd at 1155, 1157, paras. 10 &amp; 15.</w:t>
      </w:r>
    </w:p>
  </w:footnote>
  <w:footnote w:id="20">
    <w:p w:rsidR="001C6753" w:rsidRPr="00E9260B" w14:paraId="5EB0C718" w14:textId="2D4DFD27">
      <w:pPr>
        <w:pStyle w:val="FootnoteText"/>
      </w:pPr>
      <w:r>
        <w:rPr>
          <w:rStyle w:val="FootnoteReference"/>
        </w:rPr>
        <w:footnoteRef/>
      </w:r>
      <w:r>
        <w:t xml:space="preserve"> </w:t>
      </w:r>
      <w:r w:rsidR="001C1A0B">
        <w:t xml:space="preserve">47 CFR § </w:t>
      </w:r>
      <w:r w:rsidR="00E9260B">
        <w:t xml:space="preserve">51.917(b)(1); 47 CFR § 51.917(b)(7).  </w:t>
      </w:r>
      <w:r w:rsidR="00E9260B">
        <w:rPr>
          <w:i/>
          <w:iCs/>
        </w:rPr>
        <w:t>See e.g.</w:t>
      </w:r>
      <w:r w:rsidR="00E9260B">
        <w:t xml:space="preserve">, </w:t>
      </w:r>
      <w:r w:rsidR="00E9260B">
        <w:rPr>
          <w:i/>
          <w:iCs/>
          <w:color w:val="000000"/>
        </w:rPr>
        <w:t>Butler-Panora Order</w:t>
      </w:r>
      <w:r w:rsidR="00E9260B">
        <w:rPr>
          <w:color w:val="000000"/>
        </w:rPr>
        <w:t>, 33 FCC Rcd at 1157, para. 15.</w:t>
      </w:r>
    </w:p>
  </w:footnote>
  <w:footnote w:id="21">
    <w:p w:rsidR="008479A9" w14:paraId="445AC242" w14:textId="53B90539">
      <w:pPr>
        <w:pStyle w:val="FootnoteText"/>
      </w:pPr>
      <w:r>
        <w:rPr>
          <w:rStyle w:val="FootnoteReference"/>
        </w:rPr>
        <w:footnoteRef/>
      </w:r>
      <w:r>
        <w:t xml:space="preserve"> </w:t>
      </w:r>
      <w:r w:rsidRPr="003926E7">
        <w:t>Ace</w:t>
      </w:r>
      <w:r w:rsidRPr="003926E7" w:rsidR="00F3613F">
        <w:t xml:space="preserve"> </w:t>
      </w:r>
      <w:r w:rsidRPr="003926E7">
        <w:t>Petition</w:t>
      </w:r>
      <w:r w:rsidRPr="003926E7" w:rsidR="00F3613F">
        <w:t xml:space="preserve"> at 1. </w:t>
      </w:r>
      <w:r w:rsidR="00BE203A">
        <w:t xml:space="preserve"> </w:t>
      </w:r>
      <w:r w:rsidRPr="003926E7" w:rsidR="00F3613F">
        <w:t xml:space="preserve">The rules </w:t>
      </w:r>
      <w:r w:rsidR="00D6389D">
        <w:t xml:space="preserve">Ace asks us to waive </w:t>
      </w:r>
      <w:r w:rsidRPr="003926E7" w:rsidR="00F3613F">
        <w:t xml:space="preserve">can be found at 47 CFR </w:t>
      </w:r>
      <w:r w:rsidRPr="003926E7" w:rsidR="00F3613F">
        <w:rPr>
          <w:color w:val="000000"/>
        </w:rPr>
        <w:t>§§ 51.909(a), 51.917(b)(1), and 51.917(b)(7).</w:t>
      </w:r>
    </w:p>
  </w:footnote>
  <w:footnote w:id="22">
    <w:p w:rsidR="00DB3E78" w14:paraId="76271C11" w14:textId="3931BD1C">
      <w:pPr>
        <w:pStyle w:val="FootnoteText"/>
      </w:pPr>
      <w:r>
        <w:rPr>
          <w:rStyle w:val="FootnoteReference"/>
        </w:rPr>
        <w:footnoteRef/>
      </w:r>
      <w:r>
        <w:t xml:space="preserve"> Ace</w:t>
      </w:r>
      <w:r w:rsidR="00F3613F">
        <w:t xml:space="preserve"> </w:t>
      </w:r>
      <w:r>
        <w:t xml:space="preserve">Petition at </w:t>
      </w:r>
      <w:r w:rsidR="009A1BBC">
        <w:t>1-</w:t>
      </w:r>
      <w:r w:rsidR="00F07D59">
        <w:t>2</w:t>
      </w:r>
      <w:r>
        <w:t>.</w:t>
      </w:r>
    </w:p>
  </w:footnote>
  <w:footnote w:id="23">
    <w:p w:rsidR="00AD5FAB" w14:paraId="0F932B7D" w14:textId="679801D6">
      <w:pPr>
        <w:pStyle w:val="FootnoteText"/>
      </w:pPr>
      <w:r>
        <w:rPr>
          <w:rStyle w:val="FootnoteReference"/>
        </w:rPr>
        <w:footnoteRef/>
      </w:r>
      <w:r>
        <w:t xml:space="preserve"> </w:t>
      </w:r>
      <w:r w:rsidR="00112B25">
        <w:rPr>
          <w:i/>
          <w:iCs/>
        </w:rPr>
        <w:t>Id</w:t>
      </w:r>
      <w:r w:rsidR="00112B25">
        <w:t>.</w:t>
      </w:r>
      <w:r w:rsidR="004F08BD">
        <w:t xml:space="preserve"> at 2.  </w:t>
      </w:r>
      <w:r>
        <w:t>Letter from Gerard J. Duffy, Counsel to Ace Telephone Company of Michigan, Inc., to Marlene H. Dortch, Secretary, FCC, WC Docket No. 20-358 (filed Feb. 5, 2021).</w:t>
      </w:r>
    </w:p>
  </w:footnote>
  <w:footnote w:id="24">
    <w:p w:rsidR="00EF7040" w14:paraId="45A7319C" w14:textId="771489D7">
      <w:pPr>
        <w:pStyle w:val="FootnoteText"/>
      </w:pPr>
      <w:r>
        <w:rPr>
          <w:rStyle w:val="FootnoteReference"/>
        </w:rPr>
        <w:footnoteRef/>
      </w:r>
      <w:r>
        <w:t xml:space="preserve"> Ace Petition at 2.</w:t>
      </w:r>
    </w:p>
  </w:footnote>
  <w:footnote w:id="25">
    <w:p w:rsidR="00A83E2A" w14:paraId="09ECF05C" w14:textId="71398D09">
      <w:pPr>
        <w:pStyle w:val="FootnoteText"/>
      </w:pPr>
      <w:r>
        <w:rPr>
          <w:rStyle w:val="FootnoteReference"/>
        </w:rPr>
        <w:footnoteRef/>
      </w:r>
      <w:r>
        <w:t xml:space="preserve"> </w:t>
      </w:r>
      <w:r w:rsidR="00112B25">
        <w:rPr>
          <w:i/>
          <w:iCs/>
        </w:rPr>
        <w:t>Id</w:t>
      </w:r>
      <w:r w:rsidR="00112B25">
        <w:t>.</w:t>
      </w:r>
      <w:r>
        <w:t xml:space="preserve"> at 2.</w:t>
      </w:r>
      <w:r w:rsidR="0005382F">
        <w:t xml:space="preserve">  </w:t>
      </w:r>
    </w:p>
  </w:footnote>
  <w:footnote w:id="26">
    <w:p w:rsidR="00DB170B" w14:paraId="23215BB4" w14:textId="2EC00051">
      <w:pPr>
        <w:pStyle w:val="FootnoteText"/>
      </w:pPr>
      <w:r>
        <w:rPr>
          <w:rStyle w:val="FootnoteReference"/>
        </w:rPr>
        <w:footnoteRef/>
      </w:r>
      <w:r>
        <w:t xml:space="preserve"> </w:t>
      </w:r>
      <w:r w:rsidR="00112B25">
        <w:rPr>
          <w:i/>
          <w:iCs/>
        </w:rPr>
        <w:t>Id</w:t>
      </w:r>
      <w:r w:rsidR="00112B25">
        <w:t>.</w:t>
      </w:r>
      <w:r>
        <w:t xml:space="preserve"> at 2.  </w:t>
      </w:r>
    </w:p>
  </w:footnote>
  <w:footnote w:id="27">
    <w:p w:rsidR="00702383" w14:paraId="1141640A" w14:textId="024C1B9C">
      <w:pPr>
        <w:pStyle w:val="FootnoteText"/>
      </w:pPr>
      <w:r>
        <w:rPr>
          <w:rStyle w:val="FootnoteReference"/>
        </w:rPr>
        <w:footnoteRef/>
      </w:r>
      <w:r>
        <w:t xml:space="preserve"> </w:t>
      </w:r>
      <w:r w:rsidR="003C2B0A">
        <w:t xml:space="preserve">“These rate band assignments are appropriate and consistent with the rates and rate band assignments of other NECA tariff participants that have cost characteristics similar to those of the consolidated Ace Michigan study area.”  </w:t>
      </w:r>
      <w:r w:rsidR="00112B25">
        <w:rPr>
          <w:i/>
          <w:iCs/>
        </w:rPr>
        <w:t>Id</w:t>
      </w:r>
      <w:r w:rsidR="00112B25">
        <w:t>.</w:t>
      </w:r>
      <w:r>
        <w:t xml:space="preserve"> at </w:t>
      </w:r>
      <w:r w:rsidR="0052158D">
        <w:t>7</w:t>
      </w:r>
      <w:r w:rsidR="003C2B0A">
        <w:t>; Exh. A</w:t>
      </w:r>
      <w:r>
        <w:t>.</w:t>
      </w:r>
      <w:r w:rsidR="00F3613F">
        <w:t xml:space="preserve"> </w:t>
      </w:r>
    </w:p>
  </w:footnote>
  <w:footnote w:id="28">
    <w:p w:rsidR="002C28FA" w14:paraId="3496506C" w14:textId="2E7B29A7">
      <w:pPr>
        <w:pStyle w:val="FootnoteText"/>
      </w:pPr>
      <w:r>
        <w:rPr>
          <w:rStyle w:val="FootnoteReference"/>
        </w:rPr>
        <w:footnoteRef/>
      </w:r>
      <w:r>
        <w:t xml:space="preserve"> </w:t>
      </w:r>
      <w:r w:rsidR="00112B25">
        <w:rPr>
          <w:i/>
          <w:iCs/>
        </w:rPr>
        <w:t>Id</w:t>
      </w:r>
      <w:r w:rsidR="00112B25">
        <w:t>.</w:t>
      </w:r>
      <w:r w:rsidR="00FB765F">
        <w:t xml:space="preserve"> at 8-9.</w:t>
      </w:r>
      <w:r w:rsidR="00707D18">
        <w:t xml:space="preserve"> </w:t>
      </w:r>
      <w:r w:rsidR="00FB765F">
        <w:t xml:space="preserve"> </w:t>
      </w:r>
      <w:r w:rsidR="00266824">
        <w:t xml:space="preserve">Ace argues that any impact on access revenues is minor and will be “more than offset” by various public interest benefits. </w:t>
      </w:r>
      <w:r w:rsidR="00707D18">
        <w:t xml:space="preserve"> </w:t>
      </w:r>
      <w:r w:rsidR="00266824">
        <w:rPr>
          <w:i/>
          <w:iCs/>
        </w:rPr>
        <w:t>Id.</w:t>
      </w:r>
      <w:r w:rsidR="00266824">
        <w:t xml:space="preserve">   </w:t>
      </w:r>
      <w:r w:rsidR="00FB765F">
        <w:t xml:space="preserve"> </w:t>
      </w:r>
    </w:p>
  </w:footnote>
  <w:footnote w:id="29">
    <w:p w:rsidR="006C5D31" w14:paraId="16954B3D" w14:textId="3087FE10">
      <w:pPr>
        <w:pStyle w:val="FootnoteText"/>
      </w:pPr>
      <w:r>
        <w:rPr>
          <w:rStyle w:val="FootnoteReference"/>
        </w:rPr>
        <w:footnoteRef/>
      </w:r>
      <w:r>
        <w:t xml:space="preserve"> </w:t>
      </w:r>
      <w:r w:rsidRPr="00A3437D">
        <w:rPr>
          <w:i/>
        </w:rPr>
        <w:t>See</w:t>
      </w:r>
      <w:r w:rsidRPr="00BD6960">
        <w:t xml:space="preserve"> </w:t>
      </w:r>
      <w:r w:rsidRPr="003D6A7C">
        <w:rPr>
          <w:i/>
        </w:rPr>
        <w:t xml:space="preserve">Wireline Competition Bureau Seeks Comment on </w:t>
      </w:r>
      <w:r>
        <w:rPr>
          <w:i/>
        </w:rPr>
        <w:t>Ace Telephone Company of Michigan, Inc</w:t>
      </w:r>
      <w:r w:rsidRPr="003D6A7C">
        <w:rPr>
          <w:i/>
        </w:rPr>
        <w:t>. Petition for Waiver of Commission Rules in Order to Merge Study Areas and Modify</w:t>
      </w:r>
      <w:r>
        <w:rPr>
          <w:i/>
        </w:rPr>
        <w:t xml:space="preserve"> Access Rate Bands and Charges and</w:t>
      </w:r>
      <w:r w:rsidRPr="003D6A7C">
        <w:rPr>
          <w:i/>
        </w:rPr>
        <w:t xml:space="preserve"> 2011 Revenue Requirement and Base Period Revenue</w:t>
      </w:r>
      <w:r w:rsidRPr="00BD6960">
        <w:t xml:space="preserve">, Public Notice, WC </w:t>
      </w:r>
      <w:r>
        <w:t>Docket</w:t>
      </w:r>
      <w:r w:rsidRPr="00BD6960">
        <w:t xml:space="preserve"> No. </w:t>
      </w:r>
      <w:r>
        <w:t>20</w:t>
      </w:r>
      <w:r w:rsidRPr="00BD6960">
        <w:t>-</w:t>
      </w:r>
      <w:r>
        <w:t>358</w:t>
      </w:r>
      <w:r w:rsidR="002A7D20">
        <w:t>, DA</w:t>
      </w:r>
      <w:r w:rsidRPr="00BD6960" w:rsidR="002A7D20">
        <w:t xml:space="preserve"> </w:t>
      </w:r>
      <w:r w:rsidR="002A7D20">
        <w:t>20</w:t>
      </w:r>
      <w:r w:rsidRPr="00BD6960" w:rsidR="002A7D20">
        <w:t>-</w:t>
      </w:r>
      <w:r w:rsidR="002A7D20">
        <w:t>1332</w:t>
      </w:r>
      <w:r w:rsidRPr="00BD6960">
        <w:t xml:space="preserve"> (WCB </w:t>
      </w:r>
      <w:r>
        <w:t>Nov</w:t>
      </w:r>
      <w:r w:rsidRPr="00BD6960">
        <w:t xml:space="preserve">. </w:t>
      </w:r>
      <w:r>
        <w:t>9</w:t>
      </w:r>
      <w:r w:rsidRPr="00BD6960">
        <w:t>, 20</w:t>
      </w:r>
      <w:r>
        <w:t>20</w:t>
      </w:r>
      <w:r w:rsidRPr="00BD6960">
        <w:t>).</w:t>
      </w:r>
    </w:p>
  </w:footnote>
  <w:footnote w:id="30">
    <w:p w:rsidR="0035752D" w14:paraId="7CF3CCF8" w14:textId="77777777">
      <w:pPr>
        <w:pStyle w:val="FootnoteText"/>
      </w:pPr>
      <w:r>
        <w:rPr>
          <w:rStyle w:val="FootnoteReference"/>
        </w:rPr>
        <w:footnoteRef/>
      </w:r>
      <w:r>
        <w:t xml:space="preserve"> 47 CFR </w:t>
      </w:r>
      <w:r w:rsidRPr="00822619">
        <w:rPr>
          <w:color w:val="000000"/>
        </w:rPr>
        <w:t>§</w:t>
      </w:r>
      <w:r>
        <w:rPr>
          <w:color w:val="000000"/>
        </w:rPr>
        <w:t xml:space="preserve"> 1.3.</w:t>
      </w:r>
    </w:p>
  </w:footnote>
  <w:footnote w:id="31">
    <w:p w:rsidR="0035752D" w14:paraId="300B38A9" w14:textId="77777777">
      <w:pPr>
        <w:pStyle w:val="FootnoteText"/>
      </w:pPr>
      <w:r>
        <w:rPr>
          <w:rStyle w:val="FootnoteReference"/>
        </w:rPr>
        <w:footnoteRef/>
      </w:r>
      <w:r>
        <w:t xml:space="preserve"> </w:t>
      </w:r>
      <w:r w:rsidRPr="00822619">
        <w:rPr>
          <w:i/>
          <w:color w:val="000000"/>
        </w:rPr>
        <w:t>Northeast Cellular Telephone Co. L.P. v. FCC</w:t>
      </w:r>
      <w:r w:rsidRPr="00822619">
        <w:rPr>
          <w:color w:val="000000"/>
        </w:rPr>
        <w:t>, 897 F.2d 1164, 1166 (D.C. Cir. 1990) (</w:t>
      </w:r>
      <w:r w:rsidRPr="00822619">
        <w:rPr>
          <w:i/>
          <w:color w:val="000000"/>
        </w:rPr>
        <w:t>Northeast Cellular</w:t>
      </w:r>
      <w:r w:rsidRPr="00822619">
        <w:rPr>
          <w:color w:val="000000"/>
        </w:rPr>
        <w:t xml:space="preserve">).  </w:t>
      </w:r>
    </w:p>
  </w:footnote>
  <w:footnote w:id="32">
    <w:p w:rsidR="0035752D" w14:paraId="39897AE5" w14:textId="403C6192">
      <w:pPr>
        <w:pStyle w:val="FootnoteText"/>
      </w:pPr>
      <w:r>
        <w:rPr>
          <w:rStyle w:val="FootnoteReference"/>
        </w:rPr>
        <w:footnoteRef/>
      </w:r>
      <w:r>
        <w:t xml:space="preserve"> </w:t>
      </w:r>
      <w:r w:rsidRPr="00822619">
        <w:rPr>
          <w:color w:val="000000"/>
          <w:szCs w:val="22"/>
        </w:rPr>
        <w:t xml:space="preserve">The Commission may, on an individual basis, </w:t>
      </w:r>
      <w:r w:rsidRPr="00822619">
        <w:rPr>
          <w:color w:val="000000"/>
          <w:szCs w:val="22"/>
        </w:rPr>
        <w:t>take into account</w:t>
      </w:r>
      <w:r w:rsidRPr="00822619">
        <w:rPr>
          <w:color w:val="000000"/>
          <w:szCs w:val="22"/>
        </w:rPr>
        <w:t xml:space="preserve"> considerations of hardship, equity, or more effective implementation of overall policy.</w:t>
      </w:r>
      <w:r w:rsidR="002A7D20">
        <w:rPr>
          <w:color w:val="000000"/>
          <w:szCs w:val="22"/>
        </w:rPr>
        <w:t xml:space="preserve"> </w:t>
      </w:r>
      <w:r w:rsidRPr="00822619">
        <w:rPr>
          <w:color w:val="000000"/>
          <w:szCs w:val="22"/>
        </w:rPr>
        <w:t xml:space="preserve"> </w:t>
      </w:r>
      <w:r w:rsidRPr="00822619">
        <w:rPr>
          <w:i/>
          <w:color w:val="000000"/>
        </w:rPr>
        <w:t>See WAIT Radio v. FCC</w:t>
      </w:r>
      <w:r w:rsidRPr="00822619">
        <w:rPr>
          <w:color w:val="000000"/>
        </w:rPr>
        <w:t xml:space="preserve">, 418 F.2d 1153, 1159 (D.C. Cir. 1969); </w:t>
      </w:r>
      <w:r w:rsidRPr="00822619">
        <w:rPr>
          <w:i/>
          <w:color w:val="000000"/>
        </w:rPr>
        <w:t>Northeast Cellular</w:t>
      </w:r>
      <w:r w:rsidRPr="00822619">
        <w:rPr>
          <w:color w:val="000000"/>
        </w:rPr>
        <w:t>, 897 F.2d at 1166.</w:t>
      </w:r>
    </w:p>
  </w:footnote>
  <w:footnote w:id="33">
    <w:p w:rsidR="00E160B0" w:rsidRPr="000100C2" w:rsidP="00E160B0" w14:paraId="21369D96" w14:textId="5A38E2E9">
      <w:pPr>
        <w:pStyle w:val="FootnoteText"/>
        <w:rPr>
          <w:iCs/>
        </w:rPr>
      </w:pPr>
      <w:r w:rsidRPr="00B1510B">
        <w:rPr>
          <w:rStyle w:val="FootnoteReference"/>
        </w:rPr>
        <w:footnoteRef/>
      </w:r>
      <w:r w:rsidRPr="00B1510B">
        <w:rPr>
          <w:i/>
        </w:rPr>
        <w:t xml:space="preserve"> See</w:t>
      </w:r>
      <w:r w:rsidR="003A0D35">
        <w:rPr>
          <w:i/>
        </w:rPr>
        <w:t>,</w:t>
      </w:r>
      <w:r w:rsidRPr="00B1510B">
        <w:rPr>
          <w:i/>
        </w:rPr>
        <w:t xml:space="preserve"> </w:t>
      </w:r>
      <w:r>
        <w:rPr>
          <w:i/>
        </w:rPr>
        <w:t xml:space="preserve">e.g., </w:t>
      </w:r>
      <w:r w:rsidR="009717A7">
        <w:rPr>
          <w:i/>
        </w:rPr>
        <w:t>Connect America Fund et al</w:t>
      </w:r>
      <w:r w:rsidR="009717A7">
        <w:rPr>
          <w:iCs/>
        </w:rPr>
        <w:t>.,</w:t>
      </w:r>
      <w:r w:rsidRPr="00F16ABD" w:rsidR="00232370">
        <w:rPr>
          <w:i/>
        </w:rPr>
        <w:t xml:space="preserve"> </w:t>
      </w:r>
      <w:r w:rsidR="00CB4AE8">
        <w:rPr>
          <w:iCs/>
        </w:rPr>
        <w:t>WC Docket No. 10-90</w:t>
      </w:r>
      <w:r w:rsidR="009717A7">
        <w:rPr>
          <w:iCs/>
        </w:rPr>
        <w:t xml:space="preserve"> et al.,</w:t>
      </w:r>
      <w:r w:rsidR="00CB4AE8">
        <w:rPr>
          <w:iCs/>
        </w:rPr>
        <w:t xml:space="preserve"> </w:t>
      </w:r>
      <w:r w:rsidRPr="00F16ABD" w:rsidR="004E047E">
        <w:rPr>
          <w:iCs/>
        </w:rPr>
        <w:t xml:space="preserve">Order, </w:t>
      </w:r>
      <w:r w:rsidRPr="00F16ABD" w:rsidR="00F16ABD">
        <w:rPr>
          <w:iCs/>
        </w:rPr>
        <w:t>DA 20-217</w:t>
      </w:r>
      <w:r w:rsidR="009717A7">
        <w:rPr>
          <w:iCs/>
        </w:rPr>
        <w:t xml:space="preserve"> </w:t>
      </w:r>
      <w:r w:rsidRPr="00F16ABD" w:rsidR="00F16ABD">
        <w:rPr>
          <w:iCs/>
          <w:shd w:val="clear" w:color="auto" w:fill="FFFFFF"/>
        </w:rPr>
        <w:t>(WCB Mar. 3, 2020)</w:t>
      </w:r>
      <w:r w:rsidR="001F6563">
        <w:rPr>
          <w:iCs/>
          <w:shd w:val="clear" w:color="auto" w:fill="FFFFFF"/>
        </w:rPr>
        <w:t xml:space="preserve"> (</w:t>
      </w:r>
      <w:r w:rsidRPr="001F6563" w:rsidR="001F6563">
        <w:rPr>
          <w:i/>
          <w:shd w:val="clear" w:color="auto" w:fill="FFFFFF"/>
        </w:rPr>
        <w:t>TrioTel-Farmers-ICTC Order</w:t>
      </w:r>
      <w:r w:rsidR="001F6563">
        <w:rPr>
          <w:iCs/>
          <w:shd w:val="clear" w:color="auto" w:fill="FFFFFF"/>
        </w:rPr>
        <w:t>)</w:t>
      </w:r>
      <w:r w:rsidR="00CE4E60">
        <w:rPr>
          <w:iCs/>
          <w:shd w:val="clear" w:color="auto" w:fill="FFFFFF"/>
        </w:rPr>
        <w:t xml:space="preserve">; </w:t>
      </w:r>
      <w:r w:rsidRPr="0094215C" w:rsidR="00CE4E60">
        <w:rPr>
          <w:rFonts w:ascii="TimesNewRomanPS-ItalicMT" w:hAnsi="TimesNewRomanPS-ItalicMT" w:cs="TimesNewRomanPS-ItalicMT"/>
          <w:i/>
          <w:iCs/>
        </w:rPr>
        <w:t>Connect</w:t>
      </w:r>
      <w:r w:rsidR="00CE4E60">
        <w:rPr>
          <w:rFonts w:ascii="TimesNewRomanPS-ItalicMT" w:hAnsi="TimesNewRomanPS-ItalicMT" w:cs="TimesNewRomanPS-ItalicMT"/>
          <w:i/>
          <w:iCs/>
        </w:rPr>
        <w:t xml:space="preserve"> America Fund et al</w:t>
      </w:r>
      <w:r w:rsidRPr="0094215C" w:rsidR="00CE4E60">
        <w:rPr>
          <w:rFonts w:ascii="TimesNewRomanPS-ItalicMT" w:hAnsi="TimesNewRomanPS-ItalicMT" w:cs="TimesNewRomanPS-ItalicMT"/>
          <w:i/>
          <w:iCs/>
        </w:rPr>
        <w:t xml:space="preserve">., </w:t>
      </w:r>
      <w:r w:rsidRPr="0094215C" w:rsidR="00CE4E60">
        <w:rPr>
          <w:rFonts w:ascii="TimesNewRomanPS-ItalicMT" w:hAnsi="TimesNewRomanPS-ItalicMT" w:cs="TimesNewRomanPS-ItalicMT"/>
        </w:rPr>
        <w:t>WC Docket No. 10-90 et al., Order, 34 FCC Rcd 9617</w:t>
      </w:r>
      <w:r w:rsidR="0069789F">
        <w:rPr>
          <w:rFonts w:ascii="TimesNewRomanPS-ItalicMT" w:hAnsi="TimesNewRomanPS-ItalicMT" w:cs="TimesNewRomanPS-ItalicMT"/>
        </w:rPr>
        <w:t xml:space="preserve"> </w:t>
      </w:r>
      <w:r w:rsidRPr="0094215C" w:rsidR="00CE4E60">
        <w:rPr>
          <w:rFonts w:ascii="TimesNewRomanPS-ItalicMT" w:hAnsi="TimesNewRomanPS-ItalicMT" w:cs="TimesNewRomanPS-ItalicMT"/>
        </w:rPr>
        <w:t>(WCB 2019)</w:t>
      </w:r>
      <w:r w:rsidR="00CE4E60">
        <w:rPr>
          <w:rFonts w:ascii="TimesNewRomanPS-ItalicMT" w:hAnsi="TimesNewRomanPS-ItalicMT" w:cs="TimesNewRomanPS-ItalicMT"/>
          <w:i/>
          <w:iCs/>
        </w:rPr>
        <w:t xml:space="preserve"> </w:t>
      </w:r>
      <w:r w:rsidRPr="0094215C" w:rsidR="00CE4E60">
        <w:rPr>
          <w:rFonts w:ascii="TimesNewRomanPS-ItalicMT" w:hAnsi="TimesNewRomanPS-ItalicMT" w:cs="TimesNewRomanPS-ItalicMT"/>
        </w:rPr>
        <w:t>(</w:t>
      </w:r>
      <w:r w:rsidR="00CE4E60">
        <w:rPr>
          <w:rFonts w:ascii="TimesNewRomanPS-ItalicMT" w:hAnsi="TimesNewRomanPS-ItalicMT" w:cs="TimesNewRomanPS-ItalicMT"/>
          <w:i/>
          <w:iCs/>
        </w:rPr>
        <w:t>Sunflower-Lakeland Order</w:t>
      </w:r>
      <w:r w:rsidRPr="0094215C" w:rsidR="00CE4E60">
        <w:rPr>
          <w:rFonts w:ascii="TimesNewRomanPS-ItalicMT" w:hAnsi="TimesNewRomanPS-ItalicMT" w:cs="TimesNewRomanPS-ItalicMT"/>
        </w:rPr>
        <w:t>)</w:t>
      </w:r>
      <w:r w:rsidR="0069789F">
        <w:rPr>
          <w:iCs/>
          <w:shd w:val="clear" w:color="auto" w:fill="FFFFFF"/>
        </w:rPr>
        <w:t xml:space="preserve">; </w:t>
      </w:r>
      <w:r w:rsidR="0069789F">
        <w:rPr>
          <w:rFonts w:ascii="TimesNewRomanPS-ItalicMT" w:hAnsi="TimesNewRomanPS-ItalicMT" w:cs="TimesNewRomanPS-ItalicMT"/>
          <w:i/>
          <w:iCs/>
        </w:rPr>
        <w:t>Connect America Fund et al.</w:t>
      </w:r>
      <w:r w:rsidR="0069789F">
        <w:rPr>
          <w:rFonts w:ascii="TimesNewRomanPSMT" w:hAnsi="TimesNewRomanPSMT" w:cs="TimesNewRomanPSMT"/>
        </w:rPr>
        <w:t>, WC Docket No. 10-90 et al., Order</w:t>
      </w:r>
      <w:r w:rsidR="0069789F">
        <w:t>, 34 FCC Rcd at 4777</w:t>
      </w:r>
      <w:r w:rsidR="0069789F">
        <w:rPr>
          <w:rFonts w:ascii="TimesNewRomanPSMT" w:hAnsi="TimesNewRomanPSMT" w:cs="TimesNewRomanPSMT"/>
        </w:rPr>
        <w:t xml:space="preserve"> (WCB 2019) (</w:t>
      </w:r>
      <w:r w:rsidR="0069789F">
        <w:rPr>
          <w:rFonts w:ascii="TimesNewRomanPS-ItalicMT" w:hAnsi="TimesNewRomanPS-ItalicMT" w:cs="TimesNewRomanPS-ItalicMT"/>
          <w:i/>
          <w:iCs/>
        </w:rPr>
        <w:t>Titonka-ITC-Northeast Order</w:t>
      </w:r>
      <w:r w:rsidR="0069789F">
        <w:rPr>
          <w:rFonts w:ascii="TimesNewRomanPSMT" w:hAnsi="TimesNewRomanPSMT" w:cs="TimesNewRomanPSMT"/>
        </w:rPr>
        <w:t>).</w:t>
      </w:r>
    </w:p>
  </w:footnote>
  <w:footnote w:id="34">
    <w:p w:rsidR="00E160B0" w:rsidRPr="0094215C" w:rsidP="00E160B0" w14:paraId="4748505E" w14:textId="5DF7E2F6">
      <w:pPr>
        <w:pStyle w:val="FootnoteText"/>
      </w:pPr>
      <w:r>
        <w:rPr>
          <w:rStyle w:val="FootnoteReference"/>
        </w:rPr>
        <w:footnoteRef/>
      </w:r>
      <w:r>
        <w:t xml:space="preserve"> </w:t>
      </w:r>
      <w:r>
        <w:rPr>
          <w:i/>
        </w:rPr>
        <w:t>See</w:t>
      </w:r>
      <w:r w:rsidR="003A0D35">
        <w:rPr>
          <w:i/>
        </w:rPr>
        <w:t>,</w:t>
      </w:r>
      <w:r>
        <w:t xml:space="preserve"> </w:t>
      </w:r>
      <w:r w:rsidRPr="007403F5" w:rsidR="003D6A8E">
        <w:rPr>
          <w:i/>
          <w:iCs/>
        </w:rPr>
        <w:t>e.g.</w:t>
      </w:r>
      <w:r w:rsidR="003D6A8E">
        <w:t xml:space="preserve">, </w:t>
      </w:r>
      <w:r w:rsidR="0094215C">
        <w:rPr>
          <w:i/>
          <w:iCs/>
        </w:rPr>
        <w:t>id</w:t>
      </w:r>
      <w:r w:rsidR="0094215C">
        <w:t>.</w:t>
      </w:r>
    </w:p>
  </w:footnote>
  <w:footnote w:id="35">
    <w:p w:rsidR="00FD4263" w:rsidRPr="0042353B" w:rsidP="00FD4263" w14:paraId="31201C75" w14:textId="4CA654DD">
      <w:pPr>
        <w:pStyle w:val="FootnoteText"/>
        <w:rPr>
          <w:iCs/>
          <w:color w:val="000000"/>
        </w:rPr>
      </w:pPr>
      <w:r>
        <w:rPr>
          <w:rStyle w:val="FootnoteReference"/>
        </w:rPr>
        <w:footnoteRef/>
      </w:r>
      <w:r>
        <w:t xml:space="preserve"> </w:t>
      </w:r>
      <w:r w:rsidRPr="00822619" w:rsidR="0042353B">
        <w:rPr>
          <w:i/>
          <w:color w:val="000000"/>
        </w:rPr>
        <w:t>Joint Petition of Price Cap Holding Companies for Conversion of Average Schedule Affiliates to Price Cap Regulation and for Limited Waiver Relief</w:t>
      </w:r>
      <w:r w:rsidRPr="00822619" w:rsidR="0042353B">
        <w:rPr>
          <w:color w:val="000000"/>
        </w:rPr>
        <w:t>;</w:t>
      </w:r>
      <w:r w:rsidRPr="00822619" w:rsidR="0042353B">
        <w:rPr>
          <w:i/>
          <w:color w:val="000000"/>
        </w:rPr>
        <w:t xml:space="preserve"> Consolidated Communications Companies Tariff F.C.C. No. 2; Frontier Telephone Companies Tariff F.C.C. No. 10</w:t>
      </w:r>
      <w:r w:rsidRPr="00822619" w:rsidR="0042353B">
        <w:rPr>
          <w:color w:val="000000"/>
        </w:rPr>
        <w:t>;</w:t>
      </w:r>
      <w:r w:rsidRPr="00822619" w:rsidR="0042353B">
        <w:rPr>
          <w:i/>
          <w:color w:val="000000"/>
        </w:rPr>
        <w:t xml:space="preserve"> Windstream Telephone System Tariff F.C.C. No. 7</w:t>
      </w:r>
      <w:r w:rsidRPr="00822619" w:rsidR="0042353B">
        <w:rPr>
          <w:color w:val="000000"/>
        </w:rPr>
        <w:t>, WC Docket No. 12-63, Order, 27 FCC Rcd 15753</w:t>
      </w:r>
      <w:r w:rsidR="0042353B">
        <w:rPr>
          <w:color w:val="000000"/>
        </w:rPr>
        <w:t xml:space="preserve"> at 1576</w:t>
      </w:r>
      <w:r w:rsidR="00C05341">
        <w:rPr>
          <w:color w:val="000000"/>
        </w:rPr>
        <w:t>4</w:t>
      </w:r>
      <w:r w:rsidR="0042353B">
        <w:rPr>
          <w:color w:val="000000"/>
        </w:rPr>
        <w:t>, para. 3</w:t>
      </w:r>
      <w:r w:rsidR="00C05341">
        <w:rPr>
          <w:color w:val="000000"/>
        </w:rPr>
        <w:t>2</w:t>
      </w:r>
      <w:r w:rsidRPr="00822619" w:rsidR="0042353B">
        <w:rPr>
          <w:color w:val="000000"/>
        </w:rPr>
        <w:t xml:space="preserve"> (2012) (</w:t>
      </w:r>
      <w:r w:rsidRPr="00822619" w:rsidR="0042353B">
        <w:rPr>
          <w:i/>
          <w:color w:val="000000"/>
        </w:rPr>
        <w:t>2012 Average Schedule Conversion Order</w:t>
      </w:r>
      <w:r w:rsidR="0042353B">
        <w:rPr>
          <w:iCs/>
          <w:color w:val="000000"/>
        </w:rPr>
        <w:t>).</w:t>
      </w:r>
    </w:p>
  </w:footnote>
  <w:footnote w:id="36">
    <w:p w:rsidR="00FD4263" w:rsidRPr="00822619" w:rsidP="00FD4263" w14:paraId="37F08CEC" w14:textId="01615FA1">
      <w:pPr>
        <w:pStyle w:val="FootnoteText"/>
        <w:rPr>
          <w:color w:val="000000"/>
        </w:rPr>
      </w:pPr>
      <w:r>
        <w:rPr>
          <w:rStyle w:val="FootnoteReference"/>
        </w:rPr>
        <w:footnoteRef/>
      </w:r>
      <w:r>
        <w:t xml:space="preserve"> </w:t>
      </w:r>
      <w:r>
        <w:rPr>
          <w:i/>
          <w:iCs/>
        </w:rPr>
        <w:t>See</w:t>
      </w:r>
      <w:r w:rsidR="003D6A8E">
        <w:t xml:space="preserve">, </w:t>
      </w:r>
      <w:r w:rsidRPr="007403F5" w:rsidR="003D6A8E">
        <w:rPr>
          <w:i/>
          <w:iCs/>
        </w:rPr>
        <w:t>e.g.</w:t>
      </w:r>
      <w:r w:rsidR="003D6A8E">
        <w:t xml:space="preserve">, </w:t>
      </w:r>
      <w:r>
        <w:rPr>
          <w:i/>
          <w:iCs/>
        </w:rPr>
        <w:t>Butler-Panora Order</w:t>
      </w:r>
      <w:r>
        <w:t>, 33 FCC Rcd at 1157-58, para. 16.</w:t>
      </w:r>
    </w:p>
  </w:footnote>
  <w:footnote w:id="37">
    <w:p w:rsidR="00FD4263" w:rsidP="00FD4263" w14:paraId="225AFA1A" w14:textId="77777777">
      <w:pPr>
        <w:pStyle w:val="FootnoteText"/>
      </w:pPr>
      <w:r>
        <w:rPr>
          <w:rStyle w:val="FootnoteReference"/>
        </w:rPr>
        <w:footnoteRef/>
      </w:r>
      <w:r>
        <w:t xml:space="preserve"> </w:t>
      </w:r>
      <w:r>
        <w:rPr>
          <w:i/>
        </w:rPr>
        <w:t>Id</w:t>
      </w:r>
      <w:r>
        <w:t>.; 47 CFR § 51.909(a).</w:t>
      </w:r>
    </w:p>
  </w:footnote>
  <w:footnote w:id="38">
    <w:p w:rsidR="00FD4263" w:rsidRPr="0094215C" w:rsidP="0094215C" w14:paraId="17396C0C" w14:textId="25F388DE">
      <w:pPr>
        <w:pStyle w:val="FootnoteText"/>
        <w:rPr>
          <w:rFonts w:ascii="TimesNewRomanPSMT" w:hAnsi="TimesNewRomanPSMT" w:cs="TimesNewRomanPSMT"/>
        </w:rPr>
      </w:pPr>
      <w:r>
        <w:rPr>
          <w:rStyle w:val="FootnoteReference"/>
        </w:rPr>
        <w:footnoteRef/>
      </w:r>
      <w:r>
        <w:t xml:space="preserve"> </w:t>
      </w:r>
      <w:r>
        <w:rPr>
          <w:i/>
        </w:rPr>
        <w:t>See</w:t>
      </w:r>
      <w:r w:rsidRPr="00620614">
        <w:t>,</w:t>
      </w:r>
      <w:r>
        <w:rPr>
          <w:i/>
        </w:rPr>
        <w:t xml:space="preserve"> e</w:t>
      </w:r>
      <w:r w:rsidRPr="00620614">
        <w:t>.</w:t>
      </w:r>
      <w:r>
        <w:rPr>
          <w:i/>
        </w:rPr>
        <w:t>g</w:t>
      </w:r>
      <w:r w:rsidRPr="00620614">
        <w:t>.</w:t>
      </w:r>
      <w:r>
        <w:t xml:space="preserve">, </w:t>
      </w:r>
      <w:r w:rsidR="0069789F">
        <w:rPr>
          <w:rFonts w:ascii="TimesNewRomanPS-ItalicMT" w:hAnsi="TimesNewRomanPS-ItalicMT" w:cs="TimesNewRomanPS-ItalicMT"/>
          <w:i/>
          <w:iCs/>
        </w:rPr>
        <w:t>Titonka-ITC-Northeast Order</w:t>
      </w:r>
      <w:r w:rsidR="0069789F">
        <w:rPr>
          <w:rFonts w:ascii="TimesNewRomanPS-ItalicMT" w:hAnsi="TimesNewRomanPS-ItalicMT" w:cs="TimesNewRomanPS-ItalicMT"/>
        </w:rPr>
        <w:t>,</w:t>
      </w:r>
      <w:r w:rsidR="0069789F">
        <w:t xml:space="preserve"> </w:t>
      </w:r>
      <w:r w:rsidR="00664581">
        <w:t>34 FCC Rcd at 4781-</w:t>
      </w:r>
      <w:r w:rsidR="00E02E50">
        <w:t>82, para</w:t>
      </w:r>
      <w:r>
        <w:t>. 10</w:t>
      </w:r>
      <w:r w:rsidR="0069789F">
        <w:rPr>
          <w:rFonts w:ascii="TimesNewRomanPSMT" w:hAnsi="TimesNewRomanPSMT" w:cs="TimesNewRomanPSMT"/>
        </w:rPr>
        <w:t>.</w:t>
      </w:r>
      <w:r w:rsidR="002271D7">
        <w:rPr>
          <w:rFonts w:ascii="TimesNewRomanPSMT" w:hAnsi="TimesNewRomanPSMT" w:cs="TimesNewRomanPSMT"/>
        </w:rPr>
        <w:t xml:space="preserve">  </w:t>
      </w:r>
      <w:r w:rsidRPr="002271D7" w:rsidR="002271D7">
        <w:rPr>
          <w:rFonts w:ascii="TimesNewRomanPSMT" w:hAnsi="TimesNewRomanPSMT" w:cs="TimesNewRomanPSMT"/>
        </w:rPr>
        <w:t>Ace indicates that if the requested waivers are granted, the four study areas will all participate in the NECA traffic sensitive tariff as of July 1, 2021.</w:t>
      </w:r>
      <w:r w:rsidR="002271D7">
        <w:rPr>
          <w:rFonts w:ascii="TimesNewRomanPSMT" w:hAnsi="TimesNewRomanPSMT" w:cs="TimesNewRomanPSMT"/>
        </w:rPr>
        <w:t xml:space="preserve">  Ace Petition at 4.</w:t>
      </w:r>
    </w:p>
  </w:footnote>
  <w:footnote w:id="39">
    <w:p w:rsidR="00BD6F4A" w:rsidRPr="0094215C" w:rsidP="0094215C" w14:paraId="4A9A977D" w14:textId="3BF79276">
      <w:pPr>
        <w:pStyle w:val="FootnoteText"/>
        <w:rPr>
          <w:rFonts w:ascii="TimesNewRomanPS-ItalicMT" w:hAnsi="TimesNewRomanPS-ItalicMT" w:cs="TimesNewRomanPS-ItalicMT"/>
          <w:i/>
          <w:iCs/>
        </w:rPr>
      </w:pPr>
      <w:r>
        <w:rPr>
          <w:rStyle w:val="FootnoteReference"/>
        </w:rPr>
        <w:footnoteRef/>
      </w:r>
      <w:r>
        <w:t xml:space="preserve"> </w:t>
      </w:r>
      <w:r w:rsidRPr="0094215C" w:rsidR="0094215C">
        <w:rPr>
          <w:i/>
          <w:iCs/>
        </w:rPr>
        <w:t>See</w:t>
      </w:r>
      <w:r w:rsidR="0094215C">
        <w:t xml:space="preserve">, </w:t>
      </w:r>
      <w:r w:rsidRPr="0094215C" w:rsidR="0094215C">
        <w:rPr>
          <w:i/>
          <w:iCs/>
        </w:rPr>
        <w:t>e.g</w:t>
      </w:r>
      <w:r w:rsidR="0094215C">
        <w:t xml:space="preserve">., </w:t>
      </w:r>
      <w:r w:rsidR="0069789F">
        <w:rPr>
          <w:rFonts w:ascii="TimesNewRomanPS-ItalicMT" w:hAnsi="TimesNewRomanPS-ItalicMT" w:cs="TimesNewRomanPS-ItalicMT"/>
          <w:i/>
          <w:iCs/>
        </w:rPr>
        <w:t>Sunflower-Lakeland Order</w:t>
      </w:r>
      <w:r w:rsidR="0069789F">
        <w:rPr>
          <w:rFonts w:ascii="TimesNewRomanPS-ItalicMT" w:hAnsi="TimesNewRomanPS-ItalicMT" w:cs="TimesNewRomanPS-ItalicMT"/>
        </w:rPr>
        <w:t>,</w:t>
      </w:r>
      <w:r w:rsidRPr="0094215C" w:rsidR="0069789F">
        <w:rPr>
          <w:rFonts w:ascii="TimesNewRomanPS-ItalicMT" w:hAnsi="TimesNewRomanPS-ItalicMT" w:cs="TimesNewRomanPS-ItalicMT"/>
        </w:rPr>
        <w:t xml:space="preserve"> </w:t>
      </w:r>
      <w:r w:rsidRPr="0094215C" w:rsidR="0094215C">
        <w:rPr>
          <w:rFonts w:ascii="TimesNewRomanPS-ItalicMT" w:hAnsi="TimesNewRomanPS-ItalicMT" w:cs="TimesNewRomanPS-ItalicMT"/>
        </w:rPr>
        <w:t xml:space="preserve">34 FCC Rcd </w:t>
      </w:r>
      <w:r w:rsidR="0069789F">
        <w:rPr>
          <w:rFonts w:ascii="TimesNewRomanPS-ItalicMT" w:hAnsi="TimesNewRomanPS-ItalicMT" w:cs="TimesNewRomanPS-ItalicMT"/>
        </w:rPr>
        <w:t>at</w:t>
      </w:r>
      <w:r w:rsidRPr="0094215C" w:rsidR="0094215C">
        <w:rPr>
          <w:rFonts w:ascii="TimesNewRomanPS-ItalicMT" w:hAnsi="TimesNewRomanPS-ItalicMT" w:cs="TimesNewRomanPS-ItalicMT"/>
        </w:rPr>
        <w:t xml:space="preserve"> 9621, para. 10</w:t>
      </w:r>
      <w:r w:rsidR="0069789F">
        <w:rPr>
          <w:rFonts w:ascii="TimesNewRomanPS-ItalicMT" w:hAnsi="TimesNewRomanPS-ItalicMT" w:cs="TimesNewRomanPS-ItalicMT"/>
        </w:rPr>
        <w:t>.</w:t>
      </w:r>
    </w:p>
  </w:footnote>
  <w:footnote w:id="40">
    <w:p w:rsidR="00CA5B7F" w:rsidRPr="003A0D35" w14:paraId="53C6DBDC" w14:textId="1567BD8C">
      <w:pPr>
        <w:pStyle w:val="FootnoteText"/>
      </w:pPr>
      <w:r>
        <w:rPr>
          <w:rStyle w:val="FootnoteReference"/>
        </w:rPr>
        <w:footnoteRef/>
      </w:r>
      <w:r>
        <w:t xml:space="preserve"> </w:t>
      </w:r>
      <w:r w:rsidR="003A0D35">
        <w:rPr>
          <w:i/>
          <w:iCs/>
        </w:rPr>
        <w:t xml:space="preserve">See supra </w:t>
      </w:r>
      <w:r w:rsidR="003A0D35">
        <w:t>paras. 9-10.</w:t>
      </w:r>
    </w:p>
  </w:footnote>
  <w:footnote w:id="41">
    <w:p w:rsidR="00CA5B7F" w14:paraId="1C551EA0" w14:textId="0E58FC8F">
      <w:pPr>
        <w:pStyle w:val="FootnoteText"/>
      </w:pPr>
      <w:r>
        <w:rPr>
          <w:rStyle w:val="FootnoteReference"/>
        </w:rPr>
        <w:footnoteRef/>
      </w:r>
      <w:r>
        <w:t xml:space="preserve"> </w:t>
      </w:r>
      <w:r w:rsidR="007403F5">
        <w:t>Ace Petition at 6.</w:t>
      </w:r>
    </w:p>
  </w:footnote>
  <w:footnote w:id="42">
    <w:p w:rsidR="00EE12BE" w:rsidP="00EE12BE" w14:paraId="633DB829" w14:textId="2196AE63">
      <w:pPr>
        <w:pStyle w:val="FootnoteText"/>
      </w:pPr>
      <w:r w:rsidRPr="004C362E">
        <w:rPr>
          <w:rStyle w:val="FootnoteReference"/>
        </w:rPr>
        <w:footnoteRef/>
      </w:r>
      <w:r w:rsidRPr="004C362E">
        <w:t xml:space="preserve"> </w:t>
      </w:r>
      <w:r w:rsidR="00112B25">
        <w:rPr>
          <w:i/>
          <w:iCs/>
        </w:rPr>
        <w:t>Id</w:t>
      </w:r>
      <w:r w:rsidR="00112B25">
        <w:t>.</w:t>
      </w:r>
      <w:r w:rsidRPr="004C362E" w:rsidR="00315F5A">
        <w:t xml:space="preserve"> </w:t>
      </w:r>
      <w:r w:rsidRPr="004C362E">
        <w:t>at 4-5</w:t>
      </w:r>
      <w:r w:rsidR="00F31758">
        <w:t xml:space="preserve">; </w:t>
      </w:r>
      <w:r w:rsidR="00326A9A">
        <w:rPr>
          <w:i/>
          <w:iCs/>
        </w:rPr>
        <w:t>see also id</w:t>
      </w:r>
      <w:r w:rsidR="00326A9A">
        <w:t>. at 4-9 (further describing why the requested waivers should be granted)</w:t>
      </w:r>
      <w:r w:rsidR="004C362E">
        <w:t>.</w:t>
      </w:r>
      <w:r>
        <w:t xml:space="preserve"> </w:t>
      </w:r>
    </w:p>
  </w:footnote>
  <w:footnote w:id="43">
    <w:p w:rsidR="00BD6F4A" w:rsidRPr="007709A4" w:rsidP="00BD6F4A" w14:paraId="13D7593B" w14:textId="4775A7A8">
      <w:pPr>
        <w:pStyle w:val="FootnoteText"/>
      </w:pPr>
      <w:r w:rsidRPr="007709A4">
        <w:rPr>
          <w:rStyle w:val="FootnoteReference"/>
        </w:rPr>
        <w:footnoteRef/>
      </w:r>
      <w:r w:rsidRPr="007709A4">
        <w:t xml:space="preserve"> </w:t>
      </w:r>
      <w:r w:rsidRPr="007709A4">
        <w:rPr>
          <w:i/>
        </w:rPr>
        <w:t>See supra</w:t>
      </w:r>
      <w:r w:rsidRPr="007709A4">
        <w:t xml:space="preserve"> para. </w:t>
      </w:r>
      <w:r w:rsidRPr="00E60801">
        <w:t>6</w:t>
      </w:r>
      <w:r w:rsidRPr="007709A4">
        <w:t>.</w:t>
      </w:r>
    </w:p>
  </w:footnote>
  <w:footnote w:id="44">
    <w:p w:rsidR="00A00577" w:rsidP="00A00577" w14:paraId="536E1439" w14:textId="1A4B4831">
      <w:pPr>
        <w:pStyle w:val="FootnoteText"/>
        <w:rPr>
          <w:color w:val="FF0000"/>
        </w:rPr>
      </w:pPr>
      <w:r>
        <w:rPr>
          <w:rStyle w:val="FootnoteReference"/>
        </w:rPr>
        <w:footnoteRef/>
      </w:r>
      <w:r>
        <w:t xml:space="preserve"> </w:t>
      </w:r>
      <w:r w:rsidRPr="00822619" w:rsidR="00C05341">
        <w:rPr>
          <w:i/>
          <w:color w:val="000000"/>
        </w:rPr>
        <w:t>2012 Average Schedule Conversion Order</w:t>
      </w:r>
      <w:r w:rsidR="00C05341">
        <w:rPr>
          <w:iCs/>
          <w:color w:val="000000"/>
        </w:rPr>
        <w:t>,</w:t>
      </w:r>
      <w:r w:rsidRPr="00822619" w:rsidR="00C05341">
        <w:rPr>
          <w:color w:val="000000"/>
        </w:rPr>
        <w:t xml:space="preserve"> </w:t>
      </w:r>
      <w:r w:rsidRPr="00822619" w:rsidR="003C2B0A">
        <w:rPr>
          <w:color w:val="000000"/>
        </w:rPr>
        <w:t>27 FCC Rcd</w:t>
      </w:r>
      <w:r w:rsidR="003C2B0A">
        <w:rPr>
          <w:color w:val="000000"/>
        </w:rPr>
        <w:t xml:space="preserve"> at 15765, para. 33</w:t>
      </w:r>
      <w:r w:rsidRPr="00822619" w:rsidR="003C2B0A">
        <w:rPr>
          <w:color w:val="000000"/>
        </w:rPr>
        <w:t xml:space="preserve"> (</w:t>
      </w:r>
      <w:r w:rsidRPr="00822619" w:rsidR="003C2B0A">
        <w:rPr>
          <w:color w:val="000000"/>
          <w:szCs w:val="22"/>
        </w:rPr>
        <w:t xml:space="preserve">approving a methodology for establishing initial interstate switched and special access rates for the study areas in new tariff filings </w:t>
      </w:r>
      <w:r w:rsidRPr="00822619" w:rsidR="003C2B0A">
        <w:rPr>
          <w:color w:val="000000"/>
          <w:szCs w:val="22"/>
        </w:rPr>
        <w:t>in order to</w:t>
      </w:r>
      <w:r w:rsidRPr="00822619" w:rsidR="003C2B0A">
        <w:rPr>
          <w:color w:val="000000"/>
          <w:szCs w:val="22"/>
        </w:rPr>
        <w:t xml:space="preserve"> allow the requesting carriers to operate more efficiently post waiver</w:t>
      </w:r>
      <w:r w:rsidRPr="00822619" w:rsidR="003C2B0A">
        <w:rPr>
          <w:color w:val="000000"/>
        </w:rPr>
        <w:t>)</w:t>
      </w:r>
      <w:r w:rsidRPr="00822619">
        <w:rPr>
          <w:color w:val="000000"/>
        </w:rPr>
        <w:t xml:space="preserve">; </w:t>
      </w:r>
      <w:r>
        <w:t>47 CFR § </w:t>
      </w:r>
      <w:r w:rsidRPr="00822619">
        <w:rPr>
          <w:color w:val="000000"/>
        </w:rPr>
        <w:t>51.909(a).</w:t>
      </w:r>
    </w:p>
  </w:footnote>
  <w:footnote w:id="45">
    <w:p w:rsidR="00FD4263" w:rsidRPr="00822619" w:rsidP="00FD4263" w14:paraId="5E9EA607" w14:textId="394A6DD6">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2012 Average Schedule Conversion Order</w:t>
      </w:r>
      <w:r w:rsidRPr="00822619">
        <w:rPr>
          <w:color w:val="000000"/>
        </w:rPr>
        <w:t xml:space="preserve">, 27 FCC Rcd at 15764, para. 32.  </w:t>
      </w:r>
    </w:p>
  </w:footnote>
  <w:footnote w:id="46">
    <w:p w:rsidR="00FD4263" w:rsidRPr="00A3437D" w:rsidP="00FD4263" w14:paraId="4481643D" w14:textId="20A9D1AA">
      <w:pPr>
        <w:pStyle w:val="FootnoteText"/>
        <w:rPr>
          <w:i/>
        </w:rPr>
      </w:pPr>
      <w:r w:rsidRPr="007709A4">
        <w:rPr>
          <w:rStyle w:val="FootnoteReference"/>
        </w:rPr>
        <w:footnoteRef/>
      </w:r>
      <w:r w:rsidRPr="007709A4">
        <w:t xml:space="preserve"> </w:t>
      </w:r>
      <w:r w:rsidR="005C3C6F">
        <w:rPr>
          <w:i/>
          <w:iCs/>
        </w:rPr>
        <w:t>See generally 2012 Average Schedule Conversion Order</w:t>
      </w:r>
      <w:r w:rsidR="005C3C6F">
        <w:t xml:space="preserve">; </w:t>
      </w:r>
      <w:r w:rsidR="005C3C6F">
        <w:rPr>
          <w:i/>
          <w:iCs/>
        </w:rPr>
        <w:t xml:space="preserve">see also </w:t>
      </w:r>
      <w:r w:rsidRPr="005C3C6F">
        <w:rPr>
          <w:i/>
          <w:iCs/>
        </w:rPr>
        <w:t>Butler</w:t>
      </w:r>
      <w:r w:rsidRPr="007709A4">
        <w:rPr>
          <w:i/>
          <w:iCs/>
        </w:rPr>
        <w:t>-Panora Order</w:t>
      </w:r>
      <w:r w:rsidRPr="007709A4">
        <w:t>, 33 FCC</w:t>
      </w:r>
      <w:r>
        <w:t xml:space="preserve"> Rcd at 1157-58, para. 16; </w:t>
      </w:r>
      <w:r>
        <w:rPr>
          <w:i/>
        </w:rPr>
        <w:t>Titonka-ITC-</w:t>
      </w:r>
      <w:r w:rsidRPr="00620614">
        <w:rPr>
          <w:i/>
        </w:rPr>
        <w:t>Northeast Order</w:t>
      </w:r>
      <w:r>
        <w:t xml:space="preserve">, </w:t>
      </w:r>
      <w:r w:rsidR="00664581">
        <w:t xml:space="preserve">34 FCC Rcd </w:t>
      </w:r>
      <w:r>
        <w:rPr>
          <w:rStyle w:val="item-value"/>
        </w:rPr>
        <w:t xml:space="preserve">at </w:t>
      </w:r>
      <w:r w:rsidR="00664581">
        <w:rPr>
          <w:rStyle w:val="item-value"/>
        </w:rPr>
        <w:t>4783</w:t>
      </w:r>
      <w:r>
        <w:t xml:space="preserve">, para. 13.  </w:t>
      </w:r>
    </w:p>
  </w:footnote>
  <w:footnote w:id="47">
    <w:p w:rsidR="00832879" w14:paraId="54944C21" w14:textId="207A2F55">
      <w:pPr>
        <w:pStyle w:val="FootnoteText"/>
      </w:pPr>
      <w:r>
        <w:rPr>
          <w:rStyle w:val="FootnoteReference"/>
        </w:rPr>
        <w:footnoteRef/>
      </w:r>
      <w:r>
        <w:t xml:space="preserve"> Ace Petition at 9.</w:t>
      </w:r>
    </w:p>
  </w:footnote>
  <w:footnote w:id="48">
    <w:p w:rsidR="00FD4263" w:rsidP="00FD4263" w14:paraId="32EF56F2" w14:textId="525E09CE">
      <w:pPr>
        <w:pStyle w:val="FootnoteText"/>
      </w:pPr>
      <w:r w:rsidRPr="007709A4">
        <w:rPr>
          <w:rStyle w:val="FootnoteReference"/>
        </w:rPr>
        <w:footnoteRef/>
      </w:r>
      <w:r w:rsidRPr="007709A4">
        <w:t xml:space="preserve"> </w:t>
      </w:r>
      <w:r w:rsidRPr="00DA1163">
        <w:rPr>
          <w:i/>
        </w:rPr>
        <w:t xml:space="preserve">See </w:t>
      </w:r>
      <w:r w:rsidR="00112B25">
        <w:rPr>
          <w:i/>
          <w:iCs/>
        </w:rPr>
        <w:t>id</w:t>
      </w:r>
      <w:r w:rsidR="00112B25">
        <w:t>.</w:t>
      </w:r>
      <w:r w:rsidRPr="00DA1163">
        <w:t xml:space="preserve"> at 4-5.</w:t>
      </w:r>
    </w:p>
  </w:footnote>
  <w:footnote w:id="49">
    <w:p w:rsidR="00FD4263" w:rsidRPr="00822619" w:rsidP="00FD4263" w14:paraId="22E75323"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w:t>
      </w:r>
      <w:r w:rsidRPr="00822619">
        <w:rPr>
          <w:i/>
          <w:color w:val="000000"/>
        </w:rPr>
        <w:t xml:space="preserve"> e</w:t>
      </w:r>
      <w:r w:rsidRPr="00822619">
        <w:rPr>
          <w:color w:val="000000"/>
        </w:rPr>
        <w:t>.</w:t>
      </w:r>
      <w:r w:rsidRPr="00822619">
        <w:rPr>
          <w:i/>
          <w:color w:val="000000"/>
        </w:rPr>
        <w:t>g</w:t>
      </w:r>
      <w:r w:rsidRPr="00822619">
        <w:rPr>
          <w:color w:val="000000"/>
        </w:rPr>
        <w:t>.</w:t>
      </w:r>
      <w:r w:rsidRPr="00822619">
        <w:rPr>
          <w:i/>
          <w:color w:val="000000"/>
        </w:rPr>
        <w:t>, USF/ICC Transformation Order</w:t>
      </w:r>
      <w:r w:rsidRPr="00822619">
        <w:rPr>
          <w:color w:val="000000"/>
        </w:rPr>
        <w:t>, 26 FCC Rcd at 17984-85, para. 902.</w:t>
      </w:r>
    </w:p>
  </w:footnote>
  <w:footnote w:id="50">
    <w:p w:rsidR="00BD6F4A" w:rsidRPr="009E05DB" w:rsidP="00BD6F4A" w14:paraId="271BBC84" w14:textId="7CAAF521">
      <w:pPr>
        <w:pStyle w:val="FootnoteText"/>
      </w:pPr>
      <w:r>
        <w:rPr>
          <w:rStyle w:val="FootnoteReference"/>
        </w:rPr>
        <w:footnoteRef/>
      </w:r>
      <w:r>
        <w:t xml:space="preserve"> Ace Petition at 4.  “Ace Michigan – Allendale and Ace Michigan – Drenthe will file any and all further documents and information necessary to participate in NECA Tariff F.C.C. No. 5 in a timely manner pursuant to the procedure and schedule in Section 69.3 of the Commission’s Rules.”  </w:t>
      </w:r>
      <w:r>
        <w:rPr>
          <w:i/>
          <w:iCs/>
        </w:rPr>
        <w:t>Id</w:t>
      </w:r>
      <w:r>
        <w:t>. at 2.</w:t>
      </w:r>
      <w:r w:rsidR="00112B25">
        <w:t xml:space="preserve"> </w:t>
      </w:r>
      <w:r w:rsidR="00DB469F">
        <w:t xml:space="preserve"> </w:t>
      </w:r>
      <w:r w:rsidR="00DB469F">
        <w:rPr>
          <w:i/>
          <w:iCs/>
        </w:rPr>
        <w:t>See also</w:t>
      </w:r>
      <w:r w:rsidR="00DB469F">
        <w:t xml:space="preserve"> 47 CFR § 69.3.</w:t>
      </w:r>
      <w:r>
        <w:t xml:space="preserve"> </w:t>
      </w:r>
    </w:p>
  </w:footnote>
  <w:footnote w:id="51">
    <w:p w:rsidR="00BD6F4A" w:rsidP="00BD6F4A" w14:paraId="6E1BDFB4" w14:textId="77777777">
      <w:pPr>
        <w:pStyle w:val="FootnoteText"/>
      </w:pPr>
      <w:r>
        <w:rPr>
          <w:rStyle w:val="FootnoteReference"/>
        </w:rPr>
        <w:footnoteRef/>
      </w:r>
      <w:r>
        <w:t xml:space="preserve"> 47 CFR § 51.909(a)(4).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BBF39E" w14:textId="34B8196F">
    <w:pPr>
      <w:pStyle w:val="Header"/>
      <w:rPr>
        <w:b w:val="0"/>
      </w:rPr>
    </w:pPr>
    <w:r>
      <w:tab/>
      <w:t>Federal Communications Commission</w:t>
    </w:r>
    <w:r>
      <w:tab/>
    </w:r>
    <w:r w:rsidR="00765D6B">
      <w:t>DA 21-</w:t>
    </w:r>
    <w:r w:rsidR="00CE028B">
      <w:t>325</w:t>
    </w:r>
  </w:p>
  <w:p w:rsidR="00D25FB5" w14:paraId="117DD210" w14:textId="0C4B93D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2F065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7C6730" w14:textId="2958C3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00505E">
      <w:t xml:space="preserve"> </w:t>
    </w:r>
    <w:r>
      <w:tab/>
      <w:t>Federal Communications Commission</w:t>
    </w:r>
    <w:r>
      <w:tab/>
    </w:r>
    <w:r w:rsidR="005A6473">
      <w:rPr>
        <w:spacing w:val="-2"/>
      </w:rPr>
      <w:t xml:space="preserve">DA </w:t>
    </w:r>
    <w:r w:rsidR="00765D6B">
      <w:rPr>
        <w:spacing w:val="-2"/>
      </w:rPr>
      <w:t>21</w:t>
    </w:r>
    <w:r w:rsidR="005A6473">
      <w:rPr>
        <w:spacing w:val="-2"/>
      </w:rPr>
      <w:t>-</w:t>
    </w:r>
    <w:r w:rsidR="00CE028B">
      <w:rPr>
        <w:spacing w:val="-2"/>
      </w:rPr>
      <w:t>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73"/>
    <w:rsid w:val="00001D64"/>
    <w:rsid w:val="0000505E"/>
    <w:rsid w:val="000100C2"/>
    <w:rsid w:val="00035FC6"/>
    <w:rsid w:val="00036039"/>
    <w:rsid w:val="00037F90"/>
    <w:rsid w:val="0004116A"/>
    <w:rsid w:val="0005039E"/>
    <w:rsid w:val="00052AF4"/>
    <w:rsid w:val="0005382F"/>
    <w:rsid w:val="000875BF"/>
    <w:rsid w:val="00090D25"/>
    <w:rsid w:val="00096D8C"/>
    <w:rsid w:val="000A35AF"/>
    <w:rsid w:val="000A5A80"/>
    <w:rsid w:val="000A5F6A"/>
    <w:rsid w:val="000C0B65"/>
    <w:rsid w:val="000D2ABD"/>
    <w:rsid w:val="000D2CA1"/>
    <w:rsid w:val="000D615D"/>
    <w:rsid w:val="000E05FE"/>
    <w:rsid w:val="000E3524"/>
    <w:rsid w:val="000E3D42"/>
    <w:rsid w:val="000F4AE1"/>
    <w:rsid w:val="00100764"/>
    <w:rsid w:val="001012B9"/>
    <w:rsid w:val="001022A0"/>
    <w:rsid w:val="00112B25"/>
    <w:rsid w:val="00115E8B"/>
    <w:rsid w:val="00122BD5"/>
    <w:rsid w:val="0012386D"/>
    <w:rsid w:val="00133F79"/>
    <w:rsid w:val="0014612B"/>
    <w:rsid w:val="00154C45"/>
    <w:rsid w:val="001644C9"/>
    <w:rsid w:val="00174DF1"/>
    <w:rsid w:val="0018022C"/>
    <w:rsid w:val="001848F1"/>
    <w:rsid w:val="00194A66"/>
    <w:rsid w:val="001A65A4"/>
    <w:rsid w:val="001B2721"/>
    <w:rsid w:val="001C1A0B"/>
    <w:rsid w:val="001C6753"/>
    <w:rsid w:val="001D6BCF"/>
    <w:rsid w:val="001E01CA"/>
    <w:rsid w:val="001F461C"/>
    <w:rsid w:val="001F6563"/>
    <w:rsid w:val="00211A2B"/>
    <w:rsid w:val="0022054B"/>
    <w:rsid w:val="002271D7"/>
    <w:rsid w:val="00232370"/>
    <w:rsid w:val="002500FC"/>
    <w:rsid w:val="00251AB7"/>
    <w:rsid w:val="0026678E"/>
    <w:rsid w:val="00266824"/>
    <w:rsid w:val="00275CF5"/>
    <w:rsid w:val="00282C01"/>
    <w:rsid w:val="0028301F"/>
    <w:rsid w:val="00285017"/>
    <w:rsid w:val="002A2D2E"/>
    <w:rsid w:val="002A7D20"/>
    <w:rsid w:val="002B3027"/>
    <w:rsid w:val="002B4704"/>
    <w:rsid w:val="002C00E8"/>
    <w:rsid w:val="002C28FA"/>
    <w:rsid w:val="002C474B"/>
    <w:rsid w:val="002E5692"/>
    <w:rsid w:val="002F67EE"/>
    <w:rsid w:val="003064D6"/>
    <w:rsid w:val="00310156"/>
    <w:rsid w:val="00315F5A"/>
    <w:rsid w:val="00326A9A"/>
    <w:rsid w:val="003277FC"/>
    <w:rsid w:val="003335BB"/>
    <w:rsid w:val="00343749"/>
    <w:rsid w:val="00346E5A"/>
    <w:rsid w:val="0035752D"/>
    <w:rsid w:val="0036010E"/>
    <w:rsid w:val="003660ED"/>
    <w:rsid w:val="0036651C"/>
    <w:rsid w:val="00367410"/>
    <w:rsid w:val="0038124C"/>
    <w:rsid w:val="0038492E"/>
    <w:rsid w:val="003870A1"/>
    <w:rsid w:val="003912CB"/>
    <w:rsid w:val="003926E7"/>
    <w:rsid w:val="003A0D35"/>
    <w:rsid w:val="003B0550"/>
    <w:rsid w:val="003B694F"/>
    <w:rsid w:val="003C086B"/>
    <w:rsid w:val="003C2B0A"/>
    <w:rsid w:val="003D43A7"/>
    <w:rsid w:val="003D6A7C"/>
    <w:rsid w:val="003D6A8E"/>
    <w:rsid w:val="003D6EC5"/>
    <w:rsid w:val="003E0EED"/>
    <w:rsid w:val="003F171C"/>
    <w:rsid w:val="00412FC5"/>
    <w:rsid w:val="004175D7"/>
    <w:rsid w:val="00422276"/>
    <w:rsid w:val="0042353B"/>
    <w:rsid w:val="004242F1"/>
    <w:rsid w:val="00436FA8"/>
    <w:rsid w:val="00445A00"/>
    <w:rsid w:val="0045059B"/>
    <w:rsid w:val="00451B0F"/>
    <w:rsid w:val="00485F19"/>
    <w:rsid w:val="00493A74"/>
    <w:rsid w:val="00494D92"/>
    <w:rsid w:val="004B4B64"/>
    <w:rsid w:val="004C2EE3"/>
    <w:rsid w:val="004C362E"/>
    <w:rsid w:val="004C64E2"/>
    <w:rsid w:val="004D57F5"/>
    <w:rsid w:val="004E047E"/>
    <w:rsid w:val="004E4A22"/>
    <w:rsid w:val="004E6BB0"/>
    <w:rsid w:val="004F08BD"/>
    <w:rsid w:val="00511968"/>
    <w:rsid w:val="00516D75"/>
    <w:rsid w:val="0052158D"/>
    <w:rsid w:val="00535A35"/>
    <w:rsid w:val="00541F37"/>
    <w:rsid w:val="00552364"/>
    <w:rsid w:val="0055614C"/>
    <w:rsid w:val="00562BEC"/>
    <w:rsid w:val="005658B3"/>
    <w:rsid w:val="00566D06"/>
    <w:rsid w:val="00566FB6"/>
    <w:rsid w:val="00575B39"/>
    <w:rsid w:val="0059009A"/>
    <w:rsid w:val="005A6473"/>
    <w:rsid w:val="005A6B35"/>
    <w:rsid w:val="005C3C6F"/>
    <w:rsid w:val="005C4C52"/>
    <w:rsid w:val="005E14C2"/>
    <w:rsid w:val="0060141A"/>
    <w:rsid w:val="00607BA5"/>
    <w:rsid w:val="006113DA"/>
    <w:rsid w:val="0061180A"/>
    <w:rsid w:val="00612364"/>
    <w:rsid w:val="00620614"/>
    <w:rsid w:val="00624A26"/>
    <w:rsid w:val="00626EB6"/>
    <w:rsid w:val="0063091D"/>
    <w:rsid w:val="00655D03"/>
    <w:rsid w:val="00664581"/>
    <w:rsid w:val="00673B65"/>
    <w:rsid w:val="00683388"/>
    <w:rsid w:val="00683F84"/>
    <w:rsid w:val="0068424E"/>
    <w:rsid w:val="00687E81"/>
    <w:rsid w:val="0069789F"/>
    <w:rsid w:val="006A6A81"/>
    <w:rsid w:val="006B5A9A"/>
    <w:rsid w:val="006C0E3F"/>
    <w:rsid w:val="006C2597"/>
    <w:rsid w:val="006C5D31"/>
    <w:rsid w:val="006E2ED4"/>
    <w:rsid w:val="006F7393"/>
    <w:rsid w:val="0070224F"/>
    <w:rsid w:val="00702383"/>
    <w:rsid w:val="00704434"/>
    <w:rsid w:val="00707D18"/>
    <w:rsid w:val="007115F7"/>
    <w:rsid w:val="007202A7"/>
    <w:rsid w:val="00720B21"/>
    <w:rsid w:val="00730A11"/>
    <w:rsid w:val="00731A49"/>
    <w:rsid w:val="007403F5"/>
    <w:rsid w:val="00742482"/>
    <w:rsid w:val="007572B0"/>
    <w:rsid w:val="00761092"/>
    <w:rsid w:val="00765D6B"/>
    <w:rsid w:val="007709A4"/>
    <w:rsid w:val="00785689"/>
    <w:rsid w:val="00793328"/>
    <w:rsid w:val="0079754B"/>
    <w:rsid w:val="007A1E6D"/>
    <w:rsid w:val="007A1FAD"/>
    <w:rsid w:val="007B0EB2"/>
    <w:rsid w:val="007D595A"/>
    <w:rsid w:val="007D676B"/>
    <w:rsid w:val="007D7282"/>
    <w:rsid w:val="007E0EA1"/>
    <w:rsid w:val="007E5023"/>
    <w:rsid w:val="0080450B"/>
    <w:rsid w:val="00806C05"/>
    <w:rsid w:val="00810B6F"/>
    <w:rsid w:val="00820014"/>
    <w:rsid w:val="00822619"/>
    <w:rsid w:val="00822CE0"/>
    <w:rsid w:val="00823A9F"/>
    <w:rsid w:val="00830902"/>
    <w:rsid w:val="00832879"/>
    <w:rsid w:val="00834255"/>
    <w:rsid w:val="00840AB9"/>
    <w:rsid w:val="00841AB1"/>
    <w:rsid w:val="008479A9"/>
    <w:rsid w:val="00852720"/>
    <w:rsid w:val="008762FE"/>
    <w:rsid w:val="008C68F1"/>
    <w:rsid w:val="008D234C"/>
    <w:rsid w:val="008F72FA"/>
    <w:rsid w:val="009139D6"/>
    <w:rsid w:val="00917B30"/>
    <w:rsid w:val="00921095"/>
    <w:rsid w:val="00921803"/>
    <w:rsid w:val="00926503"/>
    <w:rsid w:val="00926989"/>
    <w:rsid w:val="009338E5"/>
    <w:rsid w:val="009347B8"/>
    <w:rsid w:val="0094215C"/>
    <w:rsid w:val="00960D96"/>
    <w:rsid w:val="009717A7"/>
    <w:rsid w:val="009726D8"/>
    <w:rsid w:val="00992DDD"/>
    <w:rsid w:val="009A1BBC"/>
    <w:rsid w:val="009B13E4"/>
    <w:rsid w:val="009B3DFA"/>
    <w:rsid w:val="009D2A51"/>
    <w:rsid w:val="009D7308"/>
    <w:rsid w:val="009D7B9B"/>
    <w:rsid w:val="009E05DB"/>
    <w:rsid w:val="009E0B6C"/>
    <w:rsid w:val="009F76DB"/>
    <w:rsid w:val="009F7D63"/>
    <w:rsid w:val="00A00577"/>
    <w:rsid w:val="00A06FAC"/>
    <w:rsid w:val="00A26FD6"/>
    <w:rsid w:val="00A3028A"/>
    <w:rsid w:val="00A32C3B"/>
    <w:rsid w:val="00A3437D"/>
    <w:rsid w:val="00A34EE3"/>
    <w:rsid w:val="00A37BFF"/>
    <w:rsid w:val="00A45F4F"/>
    <w:rsid w:val="00A47B7E"/>
    <w:rsid w:val="00A5017D"/>
    <w:rsid w:val="00A53228"/>
    <w:rsid w:val="00A53ACF"/>
    <w:rsid w:val="00A55AD7"/>
    <w:rsid w:val="00A600A9"/>
    <w:rsid w:val="00A83E2A"/>
    <w:rsid w:val="00AA4785"/>
    <w:rsid w:val="00AA55B7"/>
    <w:rsid w:val="00AA5B9E"/>
    <w:rsid w:val="00AB2407"/>
    <w:rsid w:val="00AB53DF"/>
    <w:rsid w:val="00AB67BB"/>
    <w:rsid w:val="00AC6E23"/>
    <w:rsid w:val="00AD04C1"/>
    <w:rsid w:val="00AD5FAB"/>
    <w:rsid w:val="00AD785C"/>
    <w:rsid w:val="00AE1599"/>
    <w:rsid w:val="00AE3964"/>
    <w:rsid w:val="00AE4D56"/>
    <w:rsid w:val="00B07E5C"/>
    <w:rsid w:val="00B1510B"/>
    <w:rsid w:val="00B47ED5"/>
    <w:rsid w:val="00B53714"/>
    <w:rsid w:val="00B811F7"/>
    <w:rsid w:val="00B823A7"/>
    <w:rsid w:val="00B837E3"/>
    <w:rsid w:val="00B93913"/>
    <w:rsid w:val="00BA5DC6"/>
    <w:rsid w:val="00BA6196"/>
    <w:rsid w:val="00BA76F5"/>
    <w:rsid w:val="00BB3406"/>
    <w:rsid w:val="00BB6414"/>
    <w:rsid w:val="00BC6D8C"/>
    <w:rsid w:val="00BD6960"/>
    <w:rsid w:val="00BD6D9F"/>
    <w:rsid w:val="00BD6F4A"/>
    <w:rsid w:val="00BE203A"/>
    <w:rsid w:val="00BF4A16"/>
    <w:rsid w:val="00BF5238"/>
    <w:rsid w:val="00C03AA5"/>
    <w:rsid w:val="00C03F4A"/>
    <w:rsid w:val="00C05341"/>
    <w:rsid w:val="00C132BF"/>
    <w:rsid w:val="00C34006"/>
    <w:rsid w:val="00C36B4C"/>
    <w:rsid w:val="00C416E1"/>
    <w:rsid w:val="00C426B1"/>
    <w:rsid w:val="00C540DE"/>
    <w:rsid w:val="00C55C84"/>
    <w:rsid w:val="00C57332"/>
    <w:rsid w:val="00C573FD"/>
    <w:rsid w:val="00C6060B"/>
    <w:rsid w:val="00C66160"/>
    <w:rsid w:val="00C721AC"/>
    <w:rsid w:val="00C83130"/>
    <w:rsid w:val="00C85CD6"/>
    <w:rsid w:val="00C90D6A"/>
    <w:rsid w:val="00CA247E"/>
    <w:rsid w:val="00CA5B7F"/>
    <w:rsid w:val="00CA6D21"/>
    <w:rsid w:val="00CB4AE8"/>
    <w:rsid w:val="00CC72B6"/>
    <w:rsid w:val="00CE028B"/>
    <w:rsid w:val="00CE4E60"/>
    <w:rsid w:val="00CF397D"/>
    <w:rsid w:val="00D002EC"/>
    <w:rsid w:val="00D0218D"/>
    <w:rsid w:val="00D022BA"/>
    <w:rsid w:val="00D12B52"/>
    <w:rsid w:val="00D25FB5"/>
    <w:rsid w:val="00D44223"/>
    <w:rsid w:val="00D45F38"/>
    <w:rsid w:val="00D579FC"/>
    <w:rsid w:val="00D6389D"/>
    <w:rsid w:val="00DA1163"/>
    <w:rsid w:val="00DA2529"/>
    <w:rsid w:val="00DB130A"/>
    <w:rsid w:val="00DB170B"/>
    <w:rsid w:val="00DB17AB"/>
    <w:rsid w:val="00DB2EBB"/>
    <w:rsid w:val="00DB3E78"/>
    <w:rsid w:val="00DB469F"/>
    <w:rsid w:val="00DC10A1"/>
    <w:rsid w:val="00DC655F"/>
    <w:rsid w:val="00DD0B59"/>
    <w:rsid w:val="00DD7EBD"/>
    <w:rsid w:val="00DF2B9B"/>
    <w:rsid w:val="00DF62B6"/>
    <w:rsid w:val="00E02E50"/>
    <w:rsid w:val="00E0491A"/>
    <w:rsid w:val="00E05A8D"/>
    <w:rsid w:val="00E07225"/>
    <w:rsid w:val="00E129B6"/>
    <w:rsid w:val="00E160B0"/>
    <w:rsid w:val="00E219E8"/>
    <w:rsid w:val="00E307B1"/>
    <w:rsid w:val="00E3544F"/>
    <w:rsid w:val="00E35926"/>
    <w:rsid w:val="00E463CE"/>
    <w:rsid w:val="00E47D13"/>
    <w:rsid w:val="00E502F3"/>
    <w:rsid w:val="00E5409F"/>
    <w:rsid w:val="00E55F27"/>
    <w:rsid w:val="00E60801"/>
    <w:rsid w:val="00E6098F"/>
    <w:rsid w:val="00E9260B"/>
    <w:rsid w:val="00ED2249"/>
    <w:rsid w:val="00ED263F"/>
    <w:rsid w:val="00EE09A9"/>
    <w:rsid w:val="00EE12BE"/>
    <w:rsid w:val="00EE6488"/>
    <w:rsid w:val="00EE7136"/>
    <w:rsid w:val="00EF459B"/>
    <w:rsid w:val="00EF7040"/>
    <w:rsid w:val="00F021FA"/>
    <w:rsid w:val="00F07D59"/>
    <w:rsid w:val="00F16ABD"/>
    <w:rsid w:val="00F31758"/>
    <w:rsid w:val="00F339EE"/>
    <w:rsid w:val="00F3613F"/>
    <w:rsid w:val="00F45D09"/>
    <w:rsid w:val="00F53829"/>
    <w:rsid w:val="00F61E70"/>
    <w:rsid w:val="00F62E97"/>
    <w:rsid w:val="00F64209"/>
    <w:rsid w:val="00F669F2"/>
    <w:rsid w:val="00F670EC"/>
    <w:rsid w:val="00F778E8"/>
    <w:rsid w:val="00F837A7"/>
    <w:rsid w:val="00F83B13"/>
    <w:rsid w:val="00F93BF5"/>
    <w:rsid w:val="00F975E8"/>
    <w:rsid w:val="00FB765F"/>
    <w:rsid w:val="00FC1530"/>
    <w:rsid w:val="00FC71B8"/>
    <w:rsid w:val="00FD4263"/>
    <w:rsid w:val="00FE20BA"/>
    <w:rsid w:val="00FE3B78"/>
    <w:rsid w:val="00FE50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C467F2-BD10-457C-BA5D-3B45C454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4F"/>
    <w:pPr>
      <w:widowControl w:val="0"/>
    </w:pPr>
    <w:rPr>
      <w:snapToGrid w:val="0"/>
      <w:kern w:val="28"/>
      <w:sz w:val="22"/>
    </w:rPr>
  </w:style>
  <w:style w:type="paragraph" w:styleId="Heading1">
    <w:name w:val="heading 1"/>
    <w:basedOn w:val="Normal"/>
    <w:next w:val="ParaNum"/>
    <w:qFormat/>
    <w:rsid w:val="00E354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544F"/>
    <w:pPr>
      <w:keepNext/>
      <w:numPr>
        <w:ilvl w:val="1"/>
        <w:numId w:val="3"/>
      </w:numPr>
      <w:spacing w:after="120"/>
      <w:outlineLvl w:val="1"/>
    </w:pPr>
    <w:rPr>
      <w:b/>
    </w:rPr>
  </w:style>
  <w:style w:type="paragraph" w:styleId="Heading3">
    <w:name w:val="heading 3"/>
    <w:basedOn w:val="Normal"/>
    <w:next w:val="ParaNum"/>
    <w:qFormat/>
    <w:rsid w:val="00E3544F"/>
    <w:pPr>
      <w:keepNext/>
      <w:numPr>
        <w:ilvl w:val="2"/>
        <w:numId w:val="3"/>
      </w:numPr>
      <w:tabs>
        <w:tab w:val="left" w:pos="2160"/>
      </w:tabs>
      <w:spacing w:after="120"/>
      <w:outlineLvl w:val="2"/>
    </w:pPr>
    <w:rPr>
      <w:b/>
    </w:rPr>
  </w:style>
  <w:style w:type="paragraph" w:styleId="Heading4">
    <w:name w:val="heading 4"/>
    <w:basedOn w:val="Normal"/>
    <w:next w:val="ParaNum"/>
    <w:qFormat/>
    <w:rsid w:val="00E3544F"/>
    <w:pPr>
      <w:keepNext/>
      <w:numPr>
        <w:ilvl w:val="3"/>
        <w:numId w:val="3"/>
      </w:numPr>
      <w:tabs>
        <w:tab w:val="left" w:pos="2880"/>
      </w:tabs>
      <w:spacing w:after="120"/>
      <w:outlineLvl w:val="3"/>
    </w:pPr>
    <w:rPr>
      <w:b/>
    </w:rPr>
  </w:style>
  <w:style w:type="paragraph" w:styleId="Heading5">
    <w:name w:val="heading 5"/>
    <w:basedOn w:val="Normal"/>
    <w:next w:val="ParaNum"/>
    <w:qFormat/>
    <w:rsid w:val="00E354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544F"/>
    <w:pPr>
      <w:numPr>
        <w:ilvl w:val="5"/>
        <w:numId w:val="3"/>
      </w:numPr>
      <w:tabs>
        <w:tab w:val="left" w:pos="4320"/>
      </w:tabs>
      <w:spacing w:after="120"/>
      <w:outlineLvl w:val="5"/>
    </w:pPr>
    <w:rPr>
      <w:b/>
    </w:rPr>
  </w:style>
  <w:style w:type="paragraph" w:styleId="Heading7">
    <w:name w:val="heading 7"/>
    <w:basedOn w:val="Normal"/>
    <w:next w:val="ParaNum"/>
    <w:qFormat/>
    <w:rsid w:val="00E354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54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54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54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544F"/>
  </w:style>
  <w:style w:type="paragraph" w:customStyle="1" w:styleId="ParaNum">
    <w:name w:val="ParaNum"/>
    <w:basedOn w:val="Normal"/>
    <w:link w:val="ParaNumChar"/>
    <w:rsid w:val="00E3544F"/>
    <w:pPr>
      <w:numPr>
        <w:numId w:val="2"/>
      </w:numPr>
      <w:tabs>
        <w:tab w:val="clear" w:pos="1080"/>
        <w:tab w:val="num" w:pos="1440"/>
      </w:tabs>
      <w:spacing w:after="120"/>
    </w:pPr>
  </w:style>
  <w:style w:type="paragraph" w:styleId="EndnoteText">
    <w:name w:val="endnote text"/>
    <w:basedOn w:val="Normal"/>
    <w:semiHidden/>
    <w:rsid w:val="00E3544F"/>
    <w:rPr>
      <w:sz w:val="20"/>
    </w:rPr>
  </w:style>
  <w:style w:type="character" w:styleId="EndnoteReference">
    <w:name w:val="endnote reference"/>
    <w:semiHidden/>
    <w:rsid w:val="00E3544F"/>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E3544F"/>
    <w:pPr>
      <w:spacing w:after="120"/>
    </w:pPr>
  </w:style>
  <w:style w:type="character" w:styleId="FootnoteReference">
    <w:name w:val="footnote reference"/>
    <w:aliases w:val="(NECG) Footnote Reference,Appel note de bas de p,FR,Footnote Reference/,Style 12,Style 124,Style 13,Style 17,Style 3,Style 6,Style 7,fr,o"/>
    <w:rsid w:val="00E3544F"/>
    <w:rPr>
      <w:rFonts w:ascii="Times New Roman" w:hAnsi="Times New Roman"/>
      <w:dstrike w:val="0"/>
      <w:color w:val="auto"/>
      <w:sz w:val="20"/>
      <w:vertAlign w:val="superscript"/>
    </w:rPr>
  </w:style>
  <w:style w:type="paragraph" w:styleId="TOC1">
    <w:name w:val="toc 1"/>
    <w:basedOn w:val="Normal"/>
    <w:next w:val="Normal"/>
    <w:semiHidden/>
    <w:rsid w:val="00E354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544F"/>
    <w:pPr>
      <w:tabs>
        <w:tab w:val="left" w:pos="720"/>
        <w:tab w:val="right" w:leader="dot" w:pos="9360"/>
      </w:tabs>
      <w:suppressAutoHyphens/>
      <w:ind w:left="720" w:right="720" w:hanging="360"/>
    </w:pPr>
    <w:rPr>
      <w:noProof/>
    </w:rPr>
  </w:style>
  <w:style w:type="paragraph" w:styleId="TOC3">
    <w:name w:val="toc 3"/>
    <w:basedOn w:val="Normal"/>
    <w:next w:val="Normal"/>
    <w:semiHidden/>
    <w:rsid w:val="00E354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54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54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54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54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54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54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544F"/>
    <w:pPr>
      <w:tabs>
        <w:tab w:val="right" w:pos="9360"/>
      </w:tabs>
      <w:suppressAutoHyphens/>
    </w:pPr>
  </w:style>
  <w:style w:type="character" w:customStyle="1" w:styleId="EquationCaption">
    <w:name w:val="_Equation Caption"/>
    <w:rsid w:val="00E3544F"/>
  </w:style>
  <w:style w:type="paragraph" w:styleId="Header">
    <w:name w:val="header"/>
    <w:basedOn w:val="Normal"/>
    <w:autoRedefine/>
    <w:rsid w:val="00E3544F"/>
    <w:pPr>
      <w:tabs>
        <w:tab w:val="center" w:pos="4680"/>
        <w:tab w:val="right" w:pos="9360"/>
      </w:tabs>
    </w:pPr>
    <w:rPr>
      <w:b/>
    </w:rPr>
  </w:style>
  <w:style w:type="paragraph" w:styleId="Footer">
    <w:name w:val="footer"/>
    <w:basedOn w:val="Normal"/>
    <w:link w:val="FooterChar"/>
    <w:uiPriority w:val="99"/>
    <w:rsid w:val="00E3544F"/>
    <w:pPr>
      <w:tabs>
        <w:tab w:val="center" w:pos="4320"/>
        <w:tab w:val="right" w:pos="8640"/>
      </w:tabs>
    </w:pPr>
  </w:style>
  <w:style w:type="character" w:styleId="PageNumber">
    <w:name w:val="page number"/>
    <w:basedOn w:val="DefaultParagraphFont"/>
    <w:rsid w:val="00E3544F"/>
  </w:style>
  <w:style w:type="paragraph" w:styleId="BlockText">
    <w:name w:val="Block Text"/>
    <w:basedOn w:val="Normal"/>
    <w:rsid w:val="00E3544F"/>
    <w:pPr>
      <w:spacing w:after="240"/>
      <w:ind w:left="1440" w:right="1440"/>
    </w:pPr>
  </w:style>
  <w:style w:type="paragraph" w:customStyle="1" w:styleId="Paratitle">
    <w:name w:val="Para title"/>
    <w:basedOn w:val="Normal"/>
    <w:rsid w:val="00E3544F"/>
    <w:pPr>
      <w:tabs>
        <w:tab w:val="center" w:pos="9270"/>
      </w:tabs>
      <w:spacing w:after="240"/>
    </w:pPr>
    <w:rPr>
      <w:spacing w:val="-2"/>
    </w:rPr>
  </w:style>
  <w:style w:type="paragraph" w:customStyle="1" w:styleId="Bullet">
    <w:name w:val="Bullet"/>
    <w:basedOn w:val="Normal"/>
    <w:rsid w:val="00E3544F"/>
    <w:pPr>
      <w:tabs>
        <w:tab w:val="left" w:pos="2160"/>
      </w:tabs>
      <w:spacing w:after="220"/>
      <w:ind w:left="2160" w:hanging="720"/>
    </w:pPr>
  </w:style>
  <w:style w:type="paragraph" w:customStyle="1" w:styleId="TableFormat">
    <w:name w:val="TableFormat"/>
    <w:basedOn w:val="Bullet"/>
    <w:rsid w:val="00E3544F"/>
    <w:pPr>
      <w:tabs>
        <w:tab w:val="clear" w:pos="2160"/>
        <w:tab w:val="left" w:pos="5040"/>
      </w:tabs>
      <w:ind w:left="5040" w:hanging="3600"/>
    </w:pPr>
  </w:style>
  <w:style w:type="paragraph" w:customStyle="1" w:styleId="TOCTitle">
    <w:name w:val="TOC Title"/>
    <w:basedOn w:val="Normal"/>
    <w:rsid w:val="00E354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544F"/>
    <w:pPr>
      <w:jc w:val="center"/>
    </w:pPr>
    <w:rPr>
      <w:rFonts w:ascii="Times New Roman Bold" w:hAnsi="Times New Roman Bold"/>
      <w:b/>
      <w:bCs/>
      <w:caps/>
      <w:szCs w:val="22"/>
    </w:rPr>
  </w:style>
  <w:style w:type="character" w:styleId="Hyperlink">
    <w:name w:val="Hyperlink"/>
    <w:rsid w:val="00E3544F"/>
    <w:rPr>
      <w:color w:val="0000FF"/>
      <w:u w:val="single"/>
    </w:rPr>
  </w:style>
  <w:style w:type="character" w:customStyle="1" w:styleId="FooterChar">
    <w:name w:val="Footer Char"/>
    <w:link w:val="Footer"/>
    <w:uiPriority w:val="99"/>
    <w:rsid w:val="00E3544F"/>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0A5F6A"/>
  </w:style>
  <w:style w:type="character" w:customStyle="1" w:styleId="ParaNumChar">
    <w:name w:val="ParaNum Char"/>
    <w:link w:val="ParaNum"/>
    <w:locked/>
    <w:rsid w:val="000A5F6A"/>
    <w:rPr>
      <w:snapToGrid w:val="0"/>
      <w:kern w:val="28"/>
      <w:sz w:val="22"/>
    </w:rPr>
  </w:style>
  <w:style w:type="character" w:styleId="CommentReference">
    <w:name w:val="annotation reference"/>
    <w:rsid w:val="000A5F6A"/>
    <w:rPr>
      <w:sz w:val="16"/>
      <w:szCs w:val="16"/>
    </w:rPr>
  </w:style>
  <w:style w:type="paragraph" w:styleId="CommentText">
    <w:name w:val="annotation text"/>
    <w:basedOn w:val="Normal"/>
    <w:link w:val="CommentTextChar"/>
    <w:rsid w:val="000A5F6A"/>
    <w:rPr>
      <w:sz w:val="20"/>
    </w:rPr>
  </w:style>
  <w:style w:type="character" w:customStyle="1" w:styleId="CommentTextChar">
    <w:name w:val="Comment Text Char"/>
    <w:link w:val="CommentText"/>
    <w:rsid w:val="000A5F6A"/>
    <w:rPr>
      <w:snapToGrid w:val="0"/>
      <w:kern w:val="28"/>
    </w:rPr>
  </w:style>
  <w:style w:type="paragraph" w:styleId="CommentSubject">
    <w:name w:val="annotation subject"/>
    <w:basedOn w:val="CommentText"/>
    <w:next w:val="CommentText"/>
    <w:link w:val="CommentSubjectChar"/>
    <w:rsid w:val="000A5F6A"/>
    <w:rPr>
      <w:b/>
      <w:bCs/>
    </w:rPr>
  </w:style>
  <w:style w:type="character" w:customStyle="1" w:styleId="CommentSubjectChar">
    <w:name w:val="Comment Subject Char"/>
    <w:link w:val="CommentSubject"/>
    <w:rsid w:val="000A5F6A"/>
    <w:rPr>
      <w:b/>
      <w:bCs/>
      <w:snapToGrid w:val="0"/>
      <w:kern w:val="28"/>
    </w:rPr>
  </w:style>
  <w:style w:type="paragraph" w:styleId="BalloonText">
    <w:name w:val="Balloon Text"/>
    <w:basedOn w:val="Normal"/>
    <w:link w:val="BalloonTextChar"/>
    <w:rsid w:val="000A5F6A"/>
    <w:rPr>
      <w:rFonts w:ascii="Segoe UI" w:hAnsi="Segoe UI" w:cs="Segoe UI"/>
      <w:sz w:val="18"/>
      <w:szCs w:val="18"/>
    </w:rPr>
  </w:style>
  <w:style w:type="character" w:customStyle="1" w:styleId="BalloonTextChar">
    <w:name w:val="Balloon Text Char"/>
    <w:link w:val="BalloonText"/>
    <w:rsid w:val="000A5F6A"/>
    <w:rPr>
      <w:rFonts w:ascii="Segoe UI" w:hAnsi="Segoe UI" w:cs="Segoe UI"/>
      <w:snapToGrid w:val="0"/>
      <w:kern w:val="28"/>
      <w:sz w:val="18"/>
      <w:szCs w:val="18"/>
    </w:rPr>
  </w:style>
  <w:style w:type="character" w:customStyle="1" w:styleId="item-value">
    <w:name w:val="item-value"/>
    <w:rsid w:val="00E160B0"/>
  </w:style>
  <w:style w:type="paragraph" w:styleId="Revision">
    <w:name w:val="Revision"/>
    <w:hidden/>
    <w:uiPriority w:val="99"/>
    <w:semiHidden/>
    <w:rsid w:val="00FD4263"/>
    <w:rPr>
      <w:snapToGrid w:val="0"/>
      <w:kern w:val="28"/>
      <w:sz w:val="22"/>
    </w:rPr>
  </w:style>
  <w:style w:type="paragraph" w:styleId="NormalWeb">
    <w:name w:val="Normal (Web)"/>
    <w:basedOn w:val="Normal"/>
    <w:uiPriority w:val="99"/>
    <w:unhideWhenUsed/>
    <w:rsid w:val="00D579FC"/>
    <w:pPr>
      <w:widowControl/>
      <w:spacing w:before="100" w:beforeAutospacing="1" w:after="100" w:afterAutospacing="1"/>
    </w:pPr>
    <w:rPr>
      <w:snapToGrid/>
      <w:kern w:val="0"/>
      <w:sz w:val="24"/>
      <w:szCs w:val="24"/>
    </w:rPr>
  </w:style>
  <w:style w:type="character" w:customStyle="1" w:styleId="UnresolvedMention">
    <w:name w:val="Unresolved Mention"/>
    <w:basedOn w:val="DefaultParagraphFont"/>
    <w:uiPriority w:val="99"/>
    <w:semiHidden/>
    <w:unhideWhenUsed/>
    <w:rsid w:val="0076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