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75796D0F" w14:paraId="6107E6D8" w14:textId="77777777">
      <w:pPr>
        <w:jc w:val="right"/>
        <w:rPr>
          <w:sz w:val="24"/>
          <w:szCs w:val="24"/>
        </w:rPr>
      </w:pPr>
      <w:r w:rsidRPr="75796D0F">
        <w:rPr>
          <w:sz w:val="24"/>
          <w:szCs w:val="24"/>
        </w:rPr>
        <w:t xml:space="preserve"> </w:t>
      </w:r>
    </w:p>
    <w:p w:rsidR="005614FA" w:rsidP="005614FA" w14:paraId="072FCF9A" w14:textId="1E7D4A1F">
      <w:pPr>
        <w:widowControl/>
        <w:suppressAutoHyphens/>
        <w:jc w:val="right"/>
        <w:rPr>
          <w:b/>
          <w:color w:val="000000"/>
        </w:rPr>
      </w:pPr>
      <w:bookmarkStart w:id="0" w:name="_GoBack"/>
      <w:r>
        <w:rPr>
          <w:b/>
          <w:color w:val="000000"/>
        </w:rPr>
        <w:t>DA 2</w:t>
      </w:r>
      <w:r w:rsidR="001E397D">
        <w:rPr>
          <w:b/>
          <w:color w:val="000000"/>
        </w:rPr>
        <w:t>1-</w:t>
      </w:r>
      <w:r w:rsidR="00C509AC">
        <w:rPr>
          <w:b/>
          <w:color w:val="000000"/>
        </w:rPr>
        <w:t>333</w:t>
      </w:r>
    </w:p>
    <w:p w:rsidR="005614FA" w:rsidP="005614FA" w14:paraId="503C0656" w14:textId="0A833AB0">
      <w:pPr>
        <w:widowControl/>
        <w:suppressAutoHyphens/>
        <w:spacing w:after="240"/>
        <w:jc w:val="right"/>
        <w:rPr>
          <w:b/>
          <w:color w:val="000000"/>
        </w:rPr>
      </w:pPr>
      <w:r>
        <w:rPr>
          <w:b/>
          <w:color w:val="000000"/>
        </w:rPr>
        <w:t xml:space="preserve">Released:  </w:t>
      </w:r>
      <w:r w:rsidR="00801AAA">
        <w:rPr>
          <w:b/>
          <w:color w:val="000000"/>
        </w:rPr>
        <w:t>March</w:t>
      </w:r>
      <w:r w:rsidR="001E397D">
        <w:rPr>
          <w:b/>
          <w:color w:val="000000"/>
        </w:rPr>
        <w:t xml:space="preserve"> </w:t>
      </w:r>
      <w:r w:rsidR="003D2256">
        <w:rPr>
          <w:b/>
          <w:color w:val="000000"/>
        </w:rPr>
        <w:t>19</w:t>
      </w:r>
      <w:r>
        <w:rPr>
          <w:b/>
          <w:color w:val="000000"/>
        </w:rPr>
        <w:t>, 202</w:t>
      </w:r>
      <w:r w:rsidR="001E397D">
        <w:rPr>
          <w:b/>
          <w:color w:val="000000"/>
        </w:rPr>
        <w:t>1</w:t>
      </w:r>
    </w:p>
    <w:p w:rsidR="00242F44" w:rsidP="005614FA" w14:paraId="29CBDE58" w14:textId="77777777">
      <w:pPr>
        <w:autoSpaceDE w:val="0"/>
        <w:autoSpaceDN w:val="0"/>
        <w:adjustRightInd w:val="0"/>
        <w:jc w:val="center"/>
        <w:rPr>
          <w:b/>
          <w:szCs w:val="22"/>
        </w:rPr>
      </w:pPr>
      <w:r>
        <w:rPr>
          <w:b/>
          <w:szCs w:val="22"/>
        </w:rPr>
        <w:t xml:space="preserve">DOMESTIC 214 </w:t>
      </w:r>
      <w:r w:rsidRPr="00307030" w:rsidR="00C31891">
        <w:rPr>
          <w:b/>
          <w:szCs w:val="22"/>
        </w:rPr>
        <w:t>APPLICATION</w:t>
      </w:r>
      <w:r w:rsidR="0054043D">
        <w:rPr>
          <w:b/>
          <w:szCs w:val="22"/>
        </w:rPr>
        <w:t xml:space="preserve"> G</w:t>
      </w:r>
      <w:r w:rsidR="00C31891">
        <w:rPr>
          <w:b/>
          <w:szCs w:val="22"/>
        </w:rPr>
        <w:t>RANTED</w:t>
      </w:r>
      <w:r w:rsidRPr="00307030" w:rsidR="00C31891">
        <w:rPr>
          <w:b/>
          <w:szCs w:val="22"/>
        </w:rPr>
        <w:t xml:space="preserve"> FOR </w:t>
      </w:r>
    </w:p>
    <w:p w:rsidR="001E397D" w:rsidRPr="001E397D" w:rsidP="001E397D" w14:paraId="0D1DAC4A" w14:textId="65578DA0">
      <w:pPr>
        <w:autoSpaceDE w:val="0"/>
        <w:autoSpaceDN w:val="0"/>
        <w:adjustRightInd w:val="0"/>
        <w:jc w:val="center"/>
        <w:rPr>
          <w:b/>
          <w:szCs w:val="22"/>
        </w:rPr>
      </w:pPr>
      <w:r w:rsidRPr="00307030">
        <w:rPr>
          <w:b/>
          <w:szCs w:val="22"/>
        </w:rPr>
        <w:t xml:space="preserve">THE TRANSFER OF CONTROL OF </w:t>
      </w:r>
      <w:r w:rsidR="00A90ABC">
        <w:rPr>
          <w:b/>
          <w:szCs w:val="22"/>
        </w:rPr>
        <w:br/>
        <w:t>PRAIRIEBURG</w:t>
      </w:r>
      <w:r w:rsidRPr="001E397D">
        <w:rPr>
          <w:b/>
          <w:bCs/>
          <w:szCs w:val="22"/>
        </w:rPr>
        <w:t xml:space="preserve"> </w:t>
      </w:r>
      <w:r w:rsidR="00A90ABC">
        <w:rPr>
          <w:b/>
          <w:bCs/>
          <w:szCs w:val="22"/>
        </w:rPr>
        <w:t>TELEPHONE COMPANY, INCORPORATED</w:t>
      </w:r>
      <w:r w:rsidRPr="001E397D">
        <w:rPr>
          <w:b/>
          <w:bCs/>
          <w:szCs w:val="22"/>
        </w:rPr>
        <w:t xml:space="preserve"> </w:t>
      </w:r>
    </w:p>
    <w:p w:rsidR="005614FA" w:rsidRPr="00307030" w:rsidP="0084412A" w14:paraId="46674FF3" w14:textId="77777777">
      <w:pPr>
        <w:autoSpaceDE w:val="0"/>
        <w:autoSpaceDN w:val="0"/>
        <w:adjustRightInd w:val="0"/>
        <w:rPr>
          <w:b/>
          <w:szCs w:val="22"/>
        </w:rPr>
      </w:pPr>
    </w:p>
    <w:p w:rsidR="005614FA" w:rsidRPr="00307030" w:rsidP="005614FA" w14:paraId="0472F88B" w14:textId="04D89800">
      <w:pPr>
        <w:autoSpaceDE w:val="0"/>
        <w:autoSpaceDN w:val="0"/>
        <w:adjustRightInd w:val="0"/>
        <w:jc w:val="center"/>
        <w:rPr>
          <w:b/>
          <w:szCs w:val="22"/>
        </w:rPr>
      </w:pPr>
      <w:r w:rsidRPr="00307030">
        <w:rPr>
          <w:b/>
          <w:szCs w:val="22"/>
        </w:rPr>
        <w:t xml:space="preserve">WC Docket No. </w:t>
      </w:r>
      <w:r w:rsidR="00207939">
        <w:rPr>
          <w:b/>
          <w:szCs w:val="22"/>
        </w:rPr>
        <w:t>2</w:t>
      </w:r>
      <w:r w:rsidR="004F737A">
        <w:rPr>
          <w:b/>
          <w:szCs w:val="22"/>
        </w:rPr>
        <w:t>1</w:t>
      </w:r>
      <w:r w:rsidR="001E397D">
        <w:rPr>
          <w:b/>
          <w:szCs w:val="22"/>
        </w:rPr>
        <w:t>-</w:t>
      </w:r>
      <w:r w:rsidR="004F737A">
        <w:rPr>
          <w:b/>
          <w:szCs w:val="22"/>
        </w:rPr>
        <w:t>30</w:t>
      </w:r>
      <w:r>
        <w:rPr>
          <w:b/>
          <w:szCs w:val="22"/>
        </w:rPr>
        <w:t xml:space="preserve"> </w:t>
      </w:r>
    </w:p>
    <w:bookmarkEnd w:id="0"/>
    <w:p w:rsidR="005614FA" w:rsidP="005614FA" w14:paraId="49B5A91D" w14:textId="77777777">
      <w:pPr>
        <w:widowControl/>
        <w:suppressAutoHyphens/>
        <w:rPr>
          <w:b/>
          <w:color w:val="000000"/>
        </w:rPr>
      </w:pPr>
    </w:p>
    <w:p w:rsidR="005614FA" w:rsidRPr="00801AAA" w:rsidP="00801AAA" w14:paraId="11DF730B" w14:textId="2734C6AA">
      <w:pPr>
        <w:widowControl/>
        <w:autoSpaceDE w:val="0"/>
        <w:autoSpaceDN w:val="0"/>
        <w:adjustRightInd w:val="0"/>
        <w:spacing w:after="120"/>
        <w:ind w:firstLine="720"/>
        <w:rPr>
          <w:snapToGrid/>
          <w:kern w:val="0"/>
          <w:szCs w:val="22"/>
        </w:rPr>
      </w:pPr>
      <w:r w:rsidRPr="00B848FE">
        <w:rPr>
          <w:snapToGrid/>
          <w:kern w:val="0"/>
          <w:szCs w:val="22"/>
        </w:rPr>
        <w:t xml:space="preserve">By this Public Notice, the Wireline Competition Bureau </w:t>
      </w:r>
      <w:r>
        <w:rPr>
          <w:snapToGrid/>
          <w:kern w:val="0"/>
          <w:szCs w:val="22"/>
        </w:rPr>
        <w:t>(Bureau) grants</w:t>
      </w:r>
      <w:r w:rsidR="00524B7D">
        <w:rPr>
          <w:snapToGrid/>
          <w:kern w:val="0"/>
          <w:szCs w:val="22"/>
        </w:rPr>
        <w:t>, as conditioned,</w:t>
      </w:r>
      <w:r>
        <w:rPr>
          <w:snapToGrid/>
          <w:kern w:val="0"/>
          <w:szCs w:val="22"/>
        </w:rPr>
        <w:t xml:space="preserve"> the </w:t>
      </w:r>
      <w:r w:rsidRPr="00B848FE">
        <w:rPr>
          <w:snapToGrid/>
          <w:kern w:val="0"/>
          <w:szCs w:val="22"/>
        </w:rPr>
        <w:t>application filed by Prairieburg Telephone Company, Incorporated (PTCI) and Hilliary Acquisition Iowa, LLC (Hilliary) (collectively, Applicants), pursuant to section 214 of the Communications Act of 1934, as amended, and sections 63.03-04 of the Commission’s rules, requesting consent to transfer control of PTCI to Hilliary.</w:t>
      </w:r>
      <w:r>
        <w:rPr>
          <w:snapToGrid/>
          <w:kern w:val="0"/>
          <w:szCs w:val="22"/>
          <w:vertAlign w:val="superscript"/>
        </w:rPr>
        <w:footnoteReference w:id="3"/>
      </w:r>
      <w:r w:rsidRPr="00B848FE">
        <w:rPr>
          <w:snapToGrid/>
          <w:kern w:val="0"/>
          <w:szCs w:val="22"/>
        </w:rPr>
        <w:t xml:space="preserve">  </w:t>
      </w:r>
      <w:r w:rsidRPr="00A77268" w:rsidR="005053A7">
        <w:rPr>
          <w:color w:val="000000"/>
          <w:szCs w:val="22"/>
        </w:rPr>
        <w:t xml:space="preserve">On </w:t>
      </w:r>
      <w:r>
        <w:rPr>
          <w:color w:val="000000"/>
          <w:szCs w:val="22"/>
        </w:rPr>
        <w:t>February</w:t>
      </w:r>
      <w:r w:rsidRPr="00A77268" w:rsidR="009901F7">
        <w:rPr>
          <w:color w:val="000000"/>
          <w:szCs w:val="22"/>
        </w:rPr>
        <w:t xml:space="preserve"> </w:t>
      </w:r>
      <w:r>
        <w:rPr>
          <w:color w:val="000000"/>
          <w:szCs w:val="22"/>
        </w:rPr>
        <w:t>5</w:t>
      </w:r>
      <w:r w:rsidRPr="00A77268" w:rsidR="005053A7">
        <w:rPr>
          <w:color w:val="000000"/>
          <w:szCs w:val="22"/>
        </w:rPr>
        <w:t>, 20</w:t>
      </w:r>
      <w:r w:rsidRPr="00A77268" w:rsidR="00A51758">
        <w:rPr>
          <w:color w:val="000000"/>
          <w:szCs w:val="22"/>
        </w:rPr>
        <w:t>2</w:t>
      </w:r>
      <w:r>
        <w:rPr>
          <w:color w:val="000000"/>
          <w:szCs w:val="22"/>
        </w:rPr>
        <w:t>1</w:t>
      </w:r>
      <w:r w:rsidRPr="00A77268" w:rsidR="005053A7">
        <w:rPr>
          <w:color w:val="000000"/>
          <w:szCs w:val="22"/>
        </w:rPr>
        <w:t>, the Bureau released a public notice seeking comment on the Application.</w:t>
      </w:r>
      <w:r>
        <w:rPr>
          <w:rStyle w:val="FootnoteReference"/>
          <w:szCs w:val="22"/>
        </w:rPr>
        <w:footnoteReference w:id="4"/>
      </w:r>
      <w:r w:rsidRPr="00A77268" w:rsidR="005053A7">
        <w:rPr>
          <w:color w:val="000000"/>
          <w:szCs w:val="22"/>
        </w:rPr>
        <w:t xml:space="preserve">  </w:t>
      </w:r>
      <w:r w:rsidRPr="00A77268" w:rsidR="007C4371">
        <w:rPr>
          <w:color w:val="000000"/>
          <w:szCs w:val="22"/>
        </w:rPr>
        <w:t>We</w:t>
      </w:r>
      <w:r w:rsidRPr="00A77268" w:rsidR="005053A7">
        <w:rPr>
          <w:szCs w:val="22"/>
        </w:rPr>
        <w:t xml:space="preserve"> did not receive comments or petitions in opposition to the Application.</w:t>
      </w:r>
    </w:p>
    <w:p w:rsidR="004F737A" w:rsidRPr="004F737A" w:rsidP="004F737A" w14:paraId="6C1F8B23" w14:textId="10939CE6">
      <w:pPr>
        <w:widowControl/>
        <w:autoSpaceDE w:val="0"/>
        <w:autoSpaceDN w:val="0"/>
        <w:adjustRightInd w:val="0"/>
        <w:spacing w:after="120"/>
        <w:ind w:firstLine="720"/>
        <w:rPr>
          <w:rFonts w:ascii="TimesNewRomanPSMT" w:hAnsi="TimesNewRomanPSMT" w:cs="TimesNewRomanPSMT"/>
          <w:snapToGrid/>
          <w:kern w:val="0"/>
          <w:szCs w:val="22"/>
        </w:rPr>
      </w:pPr>
      <w:r w:rsidRPr="004F737A">
        <w:rPr>
          <w:rFonts w:ascii="TimesNewRomanPSMT" w:hAnsi="TimesNewRomanPSMT" w:cs="TimesNewRomanPSMT"/>
          <w:snapToGrid/>
          <w:kern w:val="0"/>
          <w:szCs w:val="22"/>
        </w:rPr>
        <w:t>PTCI</w:t>
      </w:r>
      <w:r w:rsidR="00EC0BF7">
        <w:rPr>
          <w:rFonts w:ascii="TimesNewRomanPSMT" w:hAnsi="TimesNewRomanPSMT" w:cs="TimesNewRomanPSMT"/>
          <w:snapToGrid/>
          <w:kern w:val="0"/>
          <w:szCs w:val="22"/>
        </w:rPr>
        <w:t>,</w:t>
      </w:r>
      <w:r w:rsidRPr="004F737A">
        <w:rPr>
          <w:rFonts w:ascii="TimesNewRomanPSMT" w:hAnsi="TimesNewRomanPSMT" w:cs="TimesNewRomanPSMT"/>
          <w:snapToGrid/>
          <w:kern w:val="0"/>
          <w:szCs w:val="22"/>
        </w:rPr>
        <w:t xml:space="preserve"> a privately held Iowa corporation</w:t>
      </w:r>
      <w:r w:rsidR="00EC0BF7">
        <w:rPr>
          <w:rFonts w:ascii="TimesNewRomanPSMT" w:hAnsi="TimesNewRomanPSMT" w:cs="TimesNewRomanPSMT"/>
          <w:snapToGrid/>
          <w:kern w:val="0"/>
          <w:szCs w:val="22"/>
        </w:rPr>
        <w:t>,</w:t>
      </w:r>
      <w:r w:rsidRPr="004F737A">
        <w:rPr>
          <w:rFonts w:ascii="TimesNewRomanPSMT" w:hAnsi="TimesNewRomanPSMT" w:cs="TimesNewRomanPSMT"/>
          <w:snapToGrid/>
          <w:kern w:val="0"/>
          <w:szCs w:val="22"/>
        </w:rPr>
        <w:t xml:space="preserve"> </w:t>
      </w:r>
      <w:r w:rsidR="000025FE">
        <w:rPr>
          <w:rFonts w:ascii="TimesNewRomanPSMT" w:hAnsi="TimesNewRomanPSMT" w:cs="TimesNewRomanPSMT"/>
          <w:snapToGrid/>
          <w:kern w:val="0"/>
          <w:szCs w:val="22"/>
        </w:rPr>
        <w:t>is an</w:t>
      </w:r>
      <w:r w:rsidRPr="004F737A">
        <w:rPr>
          <w:rFonts w:ascii="TimesNewRomanPSMT" w:hAnsi="TimesNewRomanPSMT" w:cs="TimesNewRomanPSMT"/>
          <w:snapToGrid/>
          <w:kern w:val="0"/>
          <w:szCs w:val="22"/>
        </w:rPr>
        <w:t xml:space="preserve"> incumbent local exchange carrier (LEC) </w:t>
      </w:r>
      <w:r w:rsidR="000025FE">
        <w:rPr>
          <w:rFonts w:ascii="TimesNewRomanPSMT" w:hAnsi="TimesNewRomanPSMT" w:cs="TimesNewRomanPSMT"/>
          <w:snapToGrid/>
          <w:kern w:val="0"/>
          <w:szCs w:val="22"/>
        </w:rPr>
        <w:t>serving</w:t>
      </w:r>
      <w:r w:rsidRPr="004F737A">
        <w:rPr>
          <w:rFonts w:ascii="TimesNewRomanPSMT" w:hAnsi="TimesNewRomanPSMT" w:cs="TimesNewRomanPSMT"/>
          <w:snapToGrid/>
          <w:kern w:val="0"/>
          <w:szCs w:val="22"/>
        </w:rPr>
        <w:t xml:space="preserve"> approximately 240 access lines in the Prairieburg, Iowa Exchange in Linn County, Iowa.</w:t>
      </w:r>
      <w:r>
        <w:rPr>
          <w:rStyle w:val="FootnoteReference"/>
          <w:rFonts w:cs="TimesNewRomanPSMT"/>
          <w:snapToGrid/>
          <w:kern w:val="0"/>
          <w:szCs w:val="22"/>
        </w:rPr>
        <w:footnoteReference w:id="5"/>
      </w:r>
      <w:r w:rsidRPr="004F737A">
        <w:rPr>
          <w:rFonts w:ascii="TimesNewRomanPSMT" w:hAnsi="TimesNewRomanPSMT" w:cs="TimesNewRomanPSMT"/>
          <w:snapToGrid/>
          <w:kern w:val="0"/>
          <w:szCs w:val="22"/>
        </w:rPr>
        <w:t xml:space="preserve">  </w:t>
      </w:r>
      <w:r w:rsidR="001F5903">
        <w:rPr>
          <w:rFonts w:ascii="TimesNewRomanPSMT" w:hAnsi="TimesNewRomanPSMT" w:cs="TimesNewRomanPSMT"/>
          <w:snapToGrid/>
          <w:kern w:val="0"/>
          <w:szCs w:val="22"/>
        </w:rPr>
        <w:t xml:space="preserve">PTCI </w:t>
      </w:r>
      <w:r w:rsidR="00801AAA">
        <w:rPr>
          <w:rFonts w:ascii="TimesNewRomanPSMT" w:hAnsi="TimesNewRomanPSMT" w:cs="TimesNewRomanPSMT"/>
        </w:rPr>
        <w:t>receives cost-based universal service support as an average schedule company.</w:t>
      </w:r>
      <w:r>
        <w:rPr>
          <w:rStyle w:val="FootnoteReference"/>
          <w:rFonts w:cs="TimesNewRomanPSMT"/>
        </w:rPr>
        <w:footnoteReference w:id="6"/>
      </w:r>
      <w:r w:rsidR="00801AAA">
        <w:rPr>
          <w:rFonts w:ascii="TimesNewRomanPSMT" w:hAnsi="TimesNewRomanPSMT" w:cs="TimesNewRomanPSMT"/>
          <w:szCs w:val="22"/>
        </w:rPr>
        <w:t xml:space="preserve">  </w:t>
      </w:r>
    </w:p>
    <w:p w:rsidR="004F737A" w:rsidP="004F737A" w14:paraId="36992AAD" w14:textId="397594C0">
      <w:pPr>
        <w:widowControl/>
        <w:autoSpaceDE w:val="0"/>
        <w:autoSpaceDN w:val="0"/>
        <w:adjustRightInd w:val="0"/>
        <w:spacing w:after="120"/>
        <w:ind w:firstLine="720"/>
        <w:rPr>
          <w:snapToGrid/>
          <w:kern w:val="0"/>
          <w:szCs w:val="22"/>
        </w:rPr>
      </w:pPr>
      <w:r w:rsidRPr="004F737A">
        <w:rPr>
          <w:snapToGrid/>
          <w:kern w:val="0"/>
          <w:szCs w:val="22"/>
        </w:rPr>
        <w:t>Hilliary</w:t>
      </w:r>
      <w:r w:rsidR="001F5903">
        <w:rPr>
          <w:snapToGrid/>
          <w:kern w:val="0"/>
          <w:szCs w:val="22"/>
        </w:rPr>
        <w:t>,</w:t>
      </w:r>
      <w:r w:rsidRPr="004F737A">
        <w:rPr>
          <w:snapToGrid/>
          <w:kern w:val="0"/>
          <w:szCs w:val="22"/>
        </w:rPr>
        <w:t xml:space="preserve"> an Oklahoma holding company, directly or indirectly hold</w:t>
      </w:r>
      <w:r w:rsidR="001F5903">
        <w:rPr>
          <w:snapToGrid/>
          <w:kern w:val="0"/>
          <w:szCs w:val="22"/>
        </w:rPr>
        <w:t>s</w:t>
      </w:r>
      <w:r w:rsidRPr="004F737A">
        <w:rPr>
          <w:snapToGrid/>
          <w:kern w:val="0"/>
          <w:szCs w:val="22"/>
        </w:rPr>
        <w:t xml:space="preserve"> ownership interests in the following entities that provide local exchange and interexchange services in Oklahoma:  (1) Medicine Park Telephone Company, Inc.</w:t>
      </w:r>
      <w:r w:rsidR="00615C48">
        <w:rPr>
          <w:snapToGrid/>
          <w:kern w:val="0"/>
          <w:szCs w:val="22"/>
        </w:rPr>
        <w:t xml:space="preserve"> (Medicine Park)</w:t>
      </w:r>
      <w:r w:rsidRPr="004F737A">
        <w:rPr>
          <w:snapToGrid/>
          <w:kern w:val="0"/>
          <w:szCs w:val="22"/>
        </w:rPr>
        <w:t>, an incumbent LEC; (2) Oklahoma Western Telephone Company, Inc.</w:t>
      </w:r>
      <w:r w:rsidR="00125C60">
        <w:rPr>
          <w:snapToGrid/>
          <w:kern w:val="0"/>
          <w:szCs w:val="22"/>
        </w:rPr>
        <w:t xml:space="preserve"> (Oklahoma Western)</w:t>
      </w:r>
      <w:r w:rsidRPr="004F737A">
        <w:rPr>
          <w:snapToGrid/>
          <w:kern w:val="0"/>
          <w:szCs w:val="22"/>
        </w:rPr>
        <w:t>, an incumbent LEC; (3) Phoenix Long Distance, Inc., an interexchange carrier; (4) Wichita Online, LLC, a competitive LEC; (5) Southern Plains Cable, LLC, a competitive LEC; and (6) Texhoma Fiber, LLC, an interexchange carrier.</w:t>
      </w:r>
      <w:r>
        <w:rPr>
          <w:rStyle w:val="FootnoteReference"/>
          <w:snapToGrid/>
          <w:kern w:val="0"/>
          <w:szCs w:val="22"/>
        </w:rPr>
        <w:footnoteReference w:id="7"/>
      </w:r>
      <w:r w:rsidRPr="004F737A">
        <w:rPr>
          <w:snapToGrid/>
          <w:kern w:val="0"/>
          <w:szCs w:val="22"/>
        </w:rPr>
        <w:t xml:space="preserve">  Hilliary and its owners directly or indirectly hold ownership interests in the following entities that provide local exchange and interexchange services in Texas:  (1) Tatum Telephone Company, Inc.</w:t>
      </w:r>
      <w:r w:rsidR="00615C48">
        <w:rPr>
          <w:snapToGrid/>
          <w:kern w:val="0"/>
          <w:szCs w:val="22"/>
        </w:rPr>
        <w:t xml:space="preserve"> (Tatum)</w:t>
      </w:r>
      <w:r w:rsidRPr="004F737A">
        <w:rPr>
          <w:snapToGrid/>
          <w:kern w:val="0"/>
          <w:szCs w:val="22"/>
        </w:rPr>
        <w:t xml:space="preserve">, an incumbent LEC; (2) </w:t>
      </w:r>
      <w:r w:rsidRPr="004F737A">
        <w:rPr>
          <w:snapToGrid/>
          <w:kern w:val="0"/>
          <w:szCs w:val="22"/>
        </w:rPr>
        <w:t>Electra Telephone Company, Inc.</w:t>
      </w:r>
      <w:r w:rsidR="00615C48">
        <w:rPr>
          <w:snapToGrid/>
          <w:kern w:val="0"/>
          <w:szCs w:val="22"/>
        </w:rPr>
        <w:t xml:space="preserve"> (Electra)</w:t>
      </w:r>
      <w:r w:rsidRPr="004F737A">
        <w:rPr>
          <w:snapToGrid/>
          <w:kern w:val="0"/>
          <w:szCs w:val="22"/>
        </w:rPr>
        <w:t>, an incumbent LEC, and (3) Border to Border Communications, Inc., an incumbent LEC.</w:t>
      </w:r>
      <w:r>
        <w:rPr>
          <w:rStyle w:val="FootnoteReference"/>
          <w:snapToGrid/>
          <w:kern w:val="0"/>
          <w:szCs w:val="22"/>
        </w:rPr>
        <w:footnoteReference w:id="8"/>
      </w:r>
      <w:r w:rsidRPr="004F737A">
        <w:rPr>
          <w:snapToGrid/>
          <w:kern w:val="0"/>
          <w:szCs w:val="22"/>
        </w:rPr>
        <w:t xml:space="preserve">  </w:t>
      </w:r>
      <w:r w:rsidR="001F5903">
        <w:rPr>
          <w:snapToGrid/>
          <w:kern w:val="0"/>
          <w:szCs w:val="22"/>
        </w:rPr>
        <w:t xml:space="preserve">Hilliary’s operating subsidiaries receive </w:t>
      </w:r>
      <w:r w:rsidR="00D84C22">
        <w:rPr>
          <w:snapToGrid/>
          <w:kern w:val="0"/>
          <w:szCs w:val="22"/>
        </w:rPr>
        <w:t>high-cost</w:t>
      </w:r>
      <w:r w:rsidR="00253923">
        <w:rPr>
          <w:snapToGrid/>
          <w:kern w:val="0"/>
          <w:szCs w:val="22"/>
        </w:rPr>
        <w:t xml:space="preserve"> support through different mechanisms of cost-based support and </w:t>
      </w:r>
      <w:r w:rsidR="006D6AFD">
        <w:rPr>
          <w:snapToGrid/>
          <w:kern w:val="0"/>
          <w:szCs w:val="22"/>
        </w:rPr>
        <w:t xml:space="preserve">fixed </w:t>
      </w:r>
      <w:r w:rsidR="00253923">
        <w:rPr>
          <w:snapToGrid/>
          <w:kern w:val="0"/>
          <w:szCs w:val="22"/>
        </w:rPr>
        <w:t>model-based support.</w:t>
      </w:r>
      <w:r>
        <w:rPr>
          <w:rStyle w:val="FootnoteReference"/>
          <w:snapToGrid/>
          <w:kern w:val="0"/>
          <w:szCs w:val="22"/>
        </w:rPr>
        <w:footnoteReference w:id="9"/>
      </w:r>
      <w:r w:rsidR="00253923">
        <w:rPr>
          <w:snapToGrid/>
          <w:kern w:val="0"/>
          <w:szCs w:val="22"/>
        </w:rPr>
        <w:t xml:space="preserve">  </w:t>
      </w:r>
      <w:r w:rsidRPr="004F737A">
        <w:rPr>
          <w:snapToGrid/>
          <w:kern w:val="0"/>
          <w:szCs w:val="22"/>
        </w:rPr>
        <w:t>Applicants state that the service territories of Hilliary’s incumbent LEC affiliates do not overlap</w:t>
      </w:r>
      <w:r w:rsidR="00EC0BF7">
        <w:rPr>
          <w:snapToGrid/>
          <w:kern w:val="0"/>
          <w:szCs w:val="22"/>
        </w:rPr>
        <w:t>,</w:t>
      </w:r>
      <w:r w:rsidRPr="004F737A">
        <w:rPr>
          <w:snapToGrid/>
          <w:kern w:val="0"/>
          <w:szCs w:val="22"/>
        </w:rPr>
        <w:t xml:space="preserve"> and are not adjacent to</w:t>
      </w:r>
      <w:r w:rsidR="00EC0BF7">
        <w:rPr>
          <w:snapToGrid/>
          <w:kern w:val="0"/>
          <w:szCs w:val="22"/>
        </w:rPr>
        <w:t>,</w:t>
      </w:r>
      <w:r w:rsidRPr="004F737A">
        <w:rPr>
          <w:snapToGrid/>
          <w:kern w:val="0"/>
          <w:szCs w:val="22"/>
        </w:rPr>
        <w:t xml:space="preserve"> the </w:t>
      </w:r>
      <w:r w:rsidR="00EC0BF7">
        <w:rPr>
          <w:snapToGrid/>
          <w:kern w:val="0"/>
          <w:szCs w:val="22"/>
        </w:rPr>
        <w:t xml:space="preserve">territories </w:t>
      </w:r>
      <w:r w:rsidRPr="004F737A">
        <w:rPr>
          <w:snapToGrid/>
          <w:kern w:val="0"/>
          <w:szCs w:val="22"/>
        </w:rPr>
        <w:t>served by PTCI.</w:t>
      </w:r>
      <w:r>
        <w:rPr>
          <w:rStyle w:val="FootnoteReference"/>
          <w:snapToGrid/>
          <w:kern w:val="0"/>
          <w:szCs w:val="22"/>
        </w:rPr>
        <w:footnoteReference w:id="10"/>
      </w:r>
      <w:r w:rsidR="001F5903">
        <w:rPr>
          <w:snapToGrid/>
          <w:kern w:val="0"/>
          <w:szCs w:val="22"/>
        </w:rPr>
        <w:t xml:space="preserve">  </w:t>
      </w:r>
    </w:p>
    <w:p w:rsidR="00524B7D" w:rsidP="00EF5C69" w14:paraId="11322443" w14:textId="43BCE021">
      <w:pPr>
        <w:widowControl/>
        <w:autoSpaceDE w:val="0"/>
        <w:autoSpaceDN w:val="0"/>
        <w:adjustRightInd w:val="0"/>
        <w:spacing w:after="120"/>
        <w:ind w:firstLine="720"/>
        <w:rPr>
          <w:szCs w:val="22"/>
        </w:rPr>
      </w:pPr>
      <w:r w:rsidRPr="00740AD9">
        <w:rPr>
          <w:szCs w:val="22"/>
        </w:rPr>
        <w:t>Pursuant to the terms of the proposed transaction, Hilliary’s wholly owned subsidiary, PTCI Acquisition Corp., an Iowa Corporation</w:t>
      </w:r>
      <w:r>
        <w:rPr>
          <w:szCs w:val="22"/>
        </w:rPr>
        <w:t>,</w:t>
      </w:r>
      <w:r w:rsidRPr="00740AD9">
        <w:rPr>
          <w:szCs w:val="22"/>
        </w:rPr>
        <w:t xml:space="preserve"> will merge with</w:t>
      </w:r>
      <w:r>
        <w:rPr>
          <w:szCs w:val="22"/>
        </w:rPr>
        <w:t xml:space="preserve"> </w:t>
      </w:r>
      <w:r w:rsidRPr="00740AD9">
        <w:rPr>
          <w:szCs w:val="22"/>
        </w:rPr>
        <w:t>and into PTCI with PTCI being the surviving corporation in the merger.</w:t>
      </w:r>
      <w:r>
        <w:rPr>
          <w:rStyle w:val="FootnoteReference"/>
          <w:szCs w:val="22"/>
        </w:rPr>
        <w:footnoteReference w:id="11"/>
      </w:r>
      <w:r w:rsidRPr="00740AD9">
        <w:rPr>
          <w:szCs w:val="22"/>
        </w:rPr>
        <w:t xml:space="preserve"> </w:t>
      </w:r>
      <w:r>
        <w:rPr>
          <w:szCs w:val="22"/>
        </w:rPr>
        <w:t xml:space="preserve"> </w:t>
      </w:r>
    </w:p>
    <w:p w:rsidR="00D74AEC" w:rsidRPr="005B5B7B" w:rsidP="00EF5C69" w14:paraId="6F6296C6" w14:textId="73BF125F">
      <w:pPr>
        <w:widowControl/>
        <w:autoSpaceDE w:val="0"/>
        <w:autoSpaceDN w:val="0"/>
        <w:adjustRightInd w:val="0"/>
        <w:spacing w:after="120"/>
        <w:ind w:firstLine="720"/>
        <w:rPr>
          <w:snapToGrid/>
          <w:kern w:val="0"/>
          <w:szCs w:val="22"/>
        </w:rPr>
      </w:pPr>
      <w:r w:rsidRPr="005B5B7B">
        <w:rPr>
          <w:szCs w:val="22"/>
        </w:rPr>
        <w:t xml:space="preserve">Similar to Hilliary’s prior acquisitions, </w:t>
      </w:r>
      <w:r w:rsidRPr="005B5B7B" w:rsidR="00524B7D">
        <w:rPr>
          <w:szCs w:val="22"/>
        </w:rPr>
        <w:t xml:space="preserve">Applicants request approval to consummate a transaction involving companies that receive high-cost universal service support under the different </w:t>
      </w:r>
      <w:r w:rsidR="005B5B7B">
        <w:rPr>
          <w:szCs w:val="22"/>
        </w:rPr>
        <w:t xml:space="preserve">support </w:t>
      </w:r>
      <w:r w:rsidRPr="005B5B7B" w:rsidR="00524B7D">
        <w:rPr>
          <w:szCs w:val="22"/>
        </w:rPr>
        <w:t>mechanisms of fixed model-based support and cost-based support</w:t>
      </w:r>
      <w:r w:rsidR="000418EE">
        <w:rPr>
          <w:szCs w:val="22"/>
        </w:rPr>
        <w:t xml:space="preserve"> (a mixed support transaction)</w:t>
      </w:r>
      <w:r w:rsidRPr="005B5B7B" w:rsidR="00524B7D">
        <w:rPr>
          <w:szCs w:val="22"/>
        </w:rPr>
        <w:t>.  Specifically, because Hilliary’s affiliate, Oklahoma Western, is a fixed model-based support company, the potential for a transaction-specific harm exists if PTCI converts from an average schedule company to a cost company, thereby triggering an incentive to shift costs from Hilliary’s model based support affiliates to PTCI.</w:t>
      </w:r>
      <w:r>
        <w:rPr>
          <w:rStyle w:val="FootnoteReference"/>
          <w:szCs w:val="22"/>
        </w:rPr>
        <w:footnoteReference w:id="12"/>
      </w:r>
      <w:r w:rsidRPr="005B5B7B" w:rsidR="00524B7D">
        <w:rPr>
          <w:szCs w:val="22"/>
        </w:rPr>
        <w:t xml:space="preserve">  </w:t>
      </w:r>
      <w:r w:rsidRPr="005B5B7B" w:rsidR="005B5B7B">
        <w:rPr>
          <w:szCs w:val="22"/>
        </w:rPr>
        <w:t xml:space="preserve">The Commission has directed the </w:t>
      </w:r>
      <w:r w:rsidRPr="005B5B7B" w:rsidR="005B5B7B">
        <w:rPr>
          <w:color w:val="3D3D3D"/>
          <w:szCs w:val="22"/>
          <w:shd w:val="clear" w:color="auto" w:fill="FFFFFF"/>
        </w:rPr>
        <w:t xml:space="preserve">Bureau to apply the </w:t>
      </w:r>
      <w:r w:rsidRPr="005B5B7B" w:rsidR="005B5B7B">
        <w:rPr>
          <w:i/>
          <w:iCs/>
          <w:color w:val="3D3D3D"/>
          <w:szCs w:val="22"/>
          <w:shd w:val="clear" w:color="auto" w:fill="FFFFFF"/>
        </w:rPr>
        <w:t xml:space="preserve">Hargray/ComSouth </w:t>
      </w:r>
      <w:r w:rsidRPr="005B5B7B" w:rsidR="005B5B7B">
        <w:rPr>
          <w:color w:val="3D3D3D"/>
          <w:szCs w:val="22"/>
          <w:shd w:val="clear" w:color="auto" w:fill="FFFFFF"/>
        </w:rPr>
        <w:t>condition where necessary to remedy a potential public interest harm caused by a mixed support transaction</w:t>
      </w:r>
      <w:r w:rsidR="005B5B7B">
        <w:rPr>
          <w:color w:val="3D3D3D"/>
          <w:szCs w:val="22"/>
          <w:shd w:val="clear" w:color="auto" w:fill="FFFFFF"/>
        </w:rPr>
        <w:t>, including for</w:t>
      </w:r>
      <w:r w:rsidRPr="005B5B7B" w:rsidR="005B5B7B">
        <w:rPr>
          <w:color w:val="3D3D3D"/>
          <w:szCs w:val="22"/>
          <w:shd w:val="clear" w:color="auto" w:fill="FFFFFF"/>
        </w:rPr>
        <w:t xml:space="preserve"> merger</w:t>
      </w:r>
      <w:r w:rsidR="005B5B7B">
        <w:rPr>
          <w:color w:val="3D3D3D"/>
          <w:szCs w:val="22"/>
          <w:shd w:val="clear" w:color="auto" w:fill="FFFFFF"/>
        </w:rPr>
        <w:t>s</w:t>
      </w:r>
      <w:r w:rsidRPr="005B5B7B" w:rsidR="005B5B7B">
        <w:rPr>
          <w:color w:val="3D3D3D"/>
          <w:szCs w:val="22"/>
          <w:shd w:val="clear" w:color="auto" w:fill="FFFFFF"/>
        </w:rPr>
        <w:t xml:space="preserve"> between an average schedule company and a model-based support company</w:t>
      </w:r>
      <w:r w:rsidR="005B5B7B">
        <w:rPr>
          <w:color w:val="3D3D3D"/>
          <w:szCs w:val="22"/>
          <w:shd w:val="clear" w:color="auto" w:fill="FFFFFF"/>
        </w:rPr>
        <w:t xml:space="preserve"> where</w:t>
      </w:r>
      <w:r w:rsidRPr="005B5B7B" w:rsidR="005B5B7B">
        <w:rPr>
          <w:color w:val="3D3D3D"/>
          <w:szCs w:val="22"/>
          <w:shd w:val="clear" w:color="auto" w:fill="FFFFFF"/>
        </w:rPr>
        <w:t xml:space="preserve"> the average schedule company converts to a cost company.</w:t>
      </w:r>
      <w:r>
        <w:rPr>
          <w:rStyle w:val="FootnoteReference"/>
          <w:szCs w:val="22"/>
          <w:shd w:val="clear" w:color="auto" w:fill="FFFFFF"/>
        </w:rPr>
        <w:footnoteReference w:id="13"/>
      </w:r>
      <w:r w:rsidRPr="005B5B7B" w:rsidR="005B5B7B">
        <w:rPr>
          <w:color w:val="3D3D3D"/>
          <w:szCs w:val="22"/>
          <w:shd w:val="clear" w:color="auto" w:fill="FFFFFF"/>
        </w:rPr>
        <w:t xml:space="preserve">  </w:t>
      </w:r>
      <w:r w:rsidRPr="005B5B7B" w:rsidR="00524B7D">
        <w:rPr>
          <w:szCs w:val="22"/>
        </w:rPr>
        <w:t xml:space="preserve">Accordingly, to mitigate the potential for cost shifting, we grant the Application subject to the following condition:  if PTCI converts to a non-average schedule cost company, that conversion will trigger application of the condition established in the </w:t>
      </w:r>
      <w:r w:rsidRPr="005B5B7B" w:rsidR="00524B7D">
        <w:rPr>
          <w:i/>
          <w:szCs w:val="22"/>
        </w:rPr>
        <w:t>Hargray/ComSouth Orde</w:t>
      </w:r>
      <w:r w:rsidR="005B5B7B">
        <w:rPr>
          <w:i/>
          <w:szCs w:val="22"/>
        </w:rPr>
        <w:t>r</w:t>
      </w:r>
      <w:r w:rsidRPr="005B5B7B" w:rsidR="00524B7D">
        <w:rPr>
          <w:szCs w:val="22"/>
        </w:rPr>
        <w:t xml:space="preserve"> and discussed in the </w:t>
      </w:r>
      <w:r w:rsidRPr="005B5B7B" w:rsidR="00524B7D">
        <w:rPr>
          <w:i/>
          <w:szCs w:val="22"/>
        </w:rPr>
        <w:t>Average Schedule Grant Public Notice</w:t>
      </w:r>
      <w:r w:rsidRPr="005B5B7B" w:rsidR="00524B7D">
        <w:rPr>
          <w:szCs w:val="22"/>
        </w:rPr>
        <w:t>.</w:t>
      </w:r>
      <w:r>
        <w:rPr>
          <w:rStyle w:val="FootnoteReference"/>
          <w:szCs w:val="22"/>
        </w:rPr>
        <w:footnoteReference w:id="14"/>
      </w:r>
      <w:r w:rsidRPr="005B5B7B" w:rsidR="00524B7D">
        <w:rPr>
          <w:szCs w:val="22"/>
        </w:rPr>
        <w:t xml:space="preserve">  If PTCI converts, the newly converted cost company’s operating expense would be capped at the average of the three previous years’ operating expense</w:t>
      </w:r>
      <w:r w:rsidRPr="005B5B7B" w:rsidR="003F0EF2">
        <w:rPr>
          <w:szCs w:val="22"/>
        </w:rPr>
        <w:t xml:space="preserve"> </w:t>
      </w:r>
      <w:r w:rsidRPr="005B5B7B" w:rsidR="00524B7D">
        <w:rPr>
          <w:szCs w:val="22"/>
        </w:rPr>
        <w:t>and combined with the inflation-adjusted operating expense data of any other affiliated cost companies.</w:t>
      </w:r>
      <w:r w:rsidRPr="005B5B7B" w:rsidR="003F0EF2">
        <w:rPr>
          <w:rStyle w:val="FootnoteReference"/>
          <w:szCs w:val="22"/>
        </w:rPr>
        <w:t xml:space="preserve"> </w:t>
      </w:r>
      <w:r>
        <w:rPr>
          <w:rStyle w:val="FootnoteReference"/>
          <w:szCs w:val="22"/>
        </w:rPr>
        <w:footnoteReference w:id="15"/>
      </w:r>
      <w:r w:rsidRPr="005B5B7B" w:rsidR="003F0EF2">
        <w:rPr>
          <w:szCs w:val="22"/>
        </w:rPr>
        <w:t xml:space="preserve"> </w:t>
      </w:r>
      <w:r w:rsidRPr="005B5B7B" w:rsidR="00BB2DCC">
        <w:rPr>
          <w:szCs w:val="22"/>
        </w:rPr>
        <w:t xml:space="preserve">  </w:t>
      </w:r>
    </w:p>
    <w:p w:rsidR="005A445D" w:rsidP="005A445D" w14:paraId="174BF5B9" w14:textId="7692DD8B">
      <w:pPr>
        <w:ind w:firstLine="720"/>
        <w:rPr>
          <w:color w:val="000000"/>
          <w:szCs w:val="22"/>
        </w:rPr>
      </w:pPr>
      <w:r>
        <w:rPr>
          <w:color w:val="212121"/>
          <w:szCs w:val="22"/>
        </w:rPr>
        <w:t>We find</w:t>
      </w:r>
      <w:r w:rsidRPr="002D7CCE">
        <w:rPr>
          <w:color w:val="212121"/>
          <w:szCs w:val="22"/>
        </w:rPr>
        <w:t xml:space="preserve">, upon consideration of the record, that </w:t>
      </w:r>
      <w:r>
        <w:rPr>
          <w:color w:val="212121"/>
          <w:szCs w:val="22"/>
        </w:rPr>
        <w:t xml:space="preserve">grant of </w:t>
      </w:r>
      <w:r>
        <w:rPr>
          <w:color w:val="212121"/>
          <w:szCs w:val="22"/>
        </w:rPr>
        <w:t xml:space="preserve">the </w:t>
      </w:r>
      <w:r w:rsidR="000157A9">
        <w:rPr>
          <w:color w:val="212121"/>
          <w:szCs w:val="22"/>
        </w:rPr>
        <w:t>A</w:t>
      </w:r>
      <w:r>
        <w:rPr>
          <w:color w:val="212121"/>
          <w:szCs w:val="22"/>
        </w:rPr>
        <w:t>pplication, subject to compliance with the condition,</w:t>
      </w:r>
      <w:r>
        <w:rPr>
          <w:color w:val="212121"/>
          <w:szCs w:val="22"/>
        </w:rPr>
        <w:t xml:space="preserve"> </w:t>
      </w:r>
      <w:r w:rsidRPr="002D7CCE">
        <w:rPr>
          <w:color w:val="212121"/>
          <w:szCs w:val="22"/>
        </w:rPr>
        <w:t>will serve the public interest, convenience, and necessity.</w:t>
      </w:r>
      <w:r>
        <w:rPr>
          <w:color w:val="212121"/>
          <w:szCs w:val="22"/>
          <w:vertAlign w:val="superscript"/>
        </w:rPr>
        <w:footnoteReference w:id="16"/>
      </w:r>
      <w:r w:rsidRPr="002D7CCE">
        <w:rPr>
          <w:color w:val="212121"/>
          <w:szCs w:val="22"/>
        </w:rPr>
        <w:t xml:space="preserve"> </w:t>
      </w:r>
      <w:r>
        <w:rPr>
          <w:color w:val="212121"/>
          <w:szCs w:val="22"/>
        </w:rPr>
        <w:t xml:space="preserve"> </w:t>
      </w:r>
      <w:r w:rsidRPr="005A445D">
        <w:rPr>
          <w:color w:val="000000"/>
          <w:szCs w:val="22"/>
        </w:rPr>
        <w:t xml:space="preserve">Therefore, pursuant to section 214 of the Act, 47 U.S.C. § 214, and sections 0.91, 0.291, </w:t>
      </w:r>
      <w:r w:rsidRPr="005A445D">
        <w:rPr>
          <w:snapToGrid/>
          <w:kern w:val="0"/>
          <w:szCs w:val="22"/>
        </w:rPr>
        <w:t>63.03, and 63.04</w:t>
      </w:r>
      <w:r w:rsidRPr="005A445D">
        <w:rPr>
          <w:color w:val="000000"/>
          <w:szCs w:val="22"/>
        </w:rPr>
        <w:t xml:space="preserve"> of the Commission’s rules, 47 CFR §§ 0.91, 0.291, 63.03, and 63.04, the Bureau hereby grants the Application discussed in this Public Notice subject to compliance with the condition described above.</w:t>
      </w:r>
      <w:r>
        <w:rPr>
          <w:szCs w:val="22"/>
          <w:vertAlign w:val="superscript"/>
        </w:rPr>
        <w:footnoteReference w:id="17"/>
      </w:r>
      <w:r w:rsidRPr="005A445D">
        <w:rPr>
          <w:color w:val="000000"/>
          <w:szCs w:val="22"/>
        </w:rPr>
        <w:t xml:space="preserve">  </w:t>
      </w:r>
    </w:p>
    <w:p w:rsidR="005A445D" w:rsidRPr="005A445D" w:rsidP="005A445D" w14:paraId="3C598F4B" w14:textId="77777777">
      <w:pPr>
        <w:ind w:firstLine="720"/>
        <w:rPr>
          <w:color w:val="000000"/>
          <w:szCs w:val="22"/>
        </w:rPr>
      </w:pPr>
    </w:p>
    <w:p w:rsidR="002D7CCE" w:rsidRPr="002D7CCE" w:rsidP="005C24D8" w14:paraId="152C8C87" w14:textId="581E77DF">
      <w:pPr>
        <w:pStyle w:val="Default"/>
        <w:spacing w:after="120"/>
        <w:ind w:firstLine="720"/>
        <w:rPr>
          <w:color w:val="212121"/>
          <w:sz w:val="22"/>
          <w:szCs w:val="22"/>
        </w:rPr>
      </w:pPr>
      <w:r w:rsidRPr="002D7CCE">
        <w:rPr>
          <w:color w:val="212121"/>
          <w:sz w:val="22"/>
          <w:szCs w:val="22"/>
        </w:rPr>
        <w:t xml:space="preserve"> Pursuant to section 1.103 of the Commission's rules, 47 C.F.R. § 1.103, the grant is effective upon release of this Public Notice.  Petitions for reconsideration under section 1.106 or applications for review under section 1.115 of the Commission's rules, 47 C.F.R. §§ 1.106, 1.115, may be filed within 30 days of the date of this Public Notice.</w:t>
      </w:r>
      <w:bookmarkStart w:id="3" w:name="FN[FN9]"/>
      <w:bookmarkStart w:id="4" w:name="sp_999_1"/>
      <w:bookmarkStart w:id="5" w:name="SDU_1"/>
      <w:bookmarkEnd w:id="3"/>
      <w:bookmarkEnd w:id="4"/>
      <w:bookmarkEnd w:id="5"/>
    </w:p>
    <w:p w:rsidR="002D7CCE" w:rsidRPr="002D7CCE" w:rsidP="00986B91" w14:paraId="6917DB3A" w14:textId="119F9B04">
      <w:pPr>
        <w:ind w:firstLine="720"/>
        <w:rPr>
          <w:color w:val="212121"/>
          <w:szCs w:val="22"/>
        </w:rPr>
      </w:pPr>
      <w:bookmarkStart w:id="6" w:name="sp_999_2"/>
      <w:bookmarkStart w:id="7" w:name="SDU_2"/>
      <w:bookmarkEnd w:id="6"/>
      <w:bookmarkEnd w:id="7"/>
      <w:r w:rsidRPr="002D7CCE">
        <w:rPr>
          <w:color w:val="212121"/>
          <w:szCs w:val="22"/>
        </w:rPr>
        <w:t xml:space="preserve">For further information, please contact </w:t>
      </w:r>
      <w:r w:rsidR="00AE3C92">
        <w:rPr>
          <w:color w:val="212121"/>
          <w:szCs w:val="22"/>
        </w:rPr>
        <w:t>Dennis Johnson</w:t>
      </w:r>
      <w:r w:rsidRPr="002D7CCE">
        <w:rPr>
          <w:color w:val="212121"/>
          <w:szCs w:val="22"/>
        </w:rPr>
        <w:t>, Wireline Competition Bureau, Competition Policy Division, (202) 418-0809.</w:t>
      </w:r>
    </w:p>
    <w:p w:rsidR="002D7CCE" w:rsidRPr="002D7CCE" w:rsidP="002D7CCE" w14:paraId="53422526" w14:textId="77777777">
      <w:pPr>
        <w:pStyle w:val="Default"/>
        <w:rPr>
          <w:color w:val="212121"/>
          <w:sz w:val="22"/>
          <w:szCs w:val="22"/>
        </w:rPr>
      </w:pPr>
    </w:p>
    <w:p w:rsidR="002D7CCE" w:rsidRPr="002D7CCE" w:rsidP="002D7CCE" w14:paraId="2B97FDEB" w14:textId="77777777">
      <w:pPr>
        <w:pStyle w:val="Default"/>
        <w:jc w:val="center"/>
        <w:rPr>
          <w:b/>
          <w:bCs/>
          <w:color w:val="212121"/>
          <w:sz w:val="22"/>
          <w:szCs w:val="22"/>
        </w:rPr>
      </w:pPr>
      <w:r w:rsidRPr="002D7CCE">
        <w:rPr>
          <w:b/>
          <w:bCs/>
          <w:color w:val="212121"/>
          <w:sz w:val="22"/>
          <w:szCs w:val="22"/>
        </w:rPr>
        <w:t>-FCC-</w:t>
      </w:r>
    </w:p>
    <w:p w:rsidR="002D7CCE" w:rsidRPr="006F4636" w:rsidP="006F4636" w14:paraId="00F4F56B" w14:textId="77777777">
      <w:pPr>
        <w:pStyle w:val="Default"/>
        <w:ind w:firstLine="720"/>
        <w:rPr>
          <w:color w:val="212121"/>
          <w:szCs w:val="22"/>
        </w:rPr>
      </w:pPr>
    </w:p>
    <w:p w:rsidR="006F4636" w:rsidP="00EC2DFD" w14:paraId="5077C391" w14:textId="77777777">
      <w:pPr>
        <w:pStyle w:val="Default"/>
        <w:ind w:firstLine="720"/>
        <w:rPr>
          <w:color w:val="212121"/>
          <w:sz w:val="22"/>
          <w:szCs w:val="22"/>
        </w:rPr>
      </w:pPr>
    </w:p>
    <w:p w:rsidR="00E61137" w:rsidP="002B0207" w14:paraId="1D966646" w14:textId="77777777">
      <w:pPr>
        <w:jc w:val="center"/>
        <w:rPr>
          <w:b/>
          <w:color w:val="000000"/>
          <w:szCs w:val="22"/>
        </w:rPr>
      </w:pPr>
    </w:p>
    <w:p w:rsidR="00E61137" w:rsidP="002B0207" w14:paraId="2DDE4D25" w14:textId="77777777">
      <w:pPr>
        <w:jc w:val="center"/>
        <w:rPr>
          <w:b/>
          <w:color w:val="000000"/>
          <w:szCs w:val="22"/>
        </w:rPr>
      </w:pPr>
    </w:p>
    <w:p w:rsidR="00B17B13" w:rsidRPr="00930ECF" w:rsidP="00E61137" w14:paraId="44424362"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P="0055614C" w14:paraId="3264816B" w14:textId="77777777">
    <w:pPr>
      <w:pStyle w:val="Footer"/>
      <w:framePr w:wrap="around" w:vAnchor="text" w:hAnchor="margin" w:xAlign="center" w:y="1"/>
    </w:pPr>
    <w:r>
      <w:fldChar w:fldCharType="begin"/>
    </w:r>
    <w:r>
      <w:instrText xml:space="preserve">PAGE  </w:instrText>
    </w:r>
    <w:r>
      <w:fldChar w:fldCharType="separate"/>
    </w:r>
    <w:r>
      <w:fldChar w:fldCharType="end"/>
    </w:r>
  </w:p>
  <w:p w:rsidR="00475AE7" w14:paraId="54C5A6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P="00910F12" w14:paraId="6173A1BA" w14:textId="77777777">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14:paraId="1DCB5E1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A4A23" w14:paraId="73326702" w14:textId="77777777">
      <w:r>
        <w:separator/>
      </w:r>
    </w:p>
  </w:footnote>
  <w:footnote w:type="continuationSeparator" w:id="1">
    <w:p w:rsidR="00BA4A23" w14:paraId="680DCCAC" w14:textId="77777777">
      <w:pPr>
        <w:rPr>
          <w:sz w:val="20"/>
        </w:rPr>
      </w:pPr>
      <w:r>
        <w:rPr>
          <w:sz w:val="20"/>
        </w:rPr>
        <w:t xml:space="preserve">(Continued from previous page)  </w:t>
      </w:r>
      <w:r>
        <w:rPr>
          <w:sz w:val="20"/>
        </w:rPr>
        <w:separator/>
      </w:r>
    </w:p>
  </w:footnote>
  <w:footnote w:type="continuationNotice" w:id="2">
    <w:p w:rsidR="00BA4A23" w:rsidP="00910F12" w14:paraId="50180B5A" w14:textId="77777777">
      <w:pPr>
        <w:jc w:val="right"/>
        <w:rPr>
          <w:sz w:val="20"/>
        </w:rPr>
      </w:pPr>
      <w:r>
        <w:rPr>
          <w:sz w:val="20"/>
        </w:rPr>
        <w:t>(continued….)</w:t>
      </w:r>
    </w:p>
  </w:footnote>
  <w:footnote w:id="3">
    <w:p w:rsidR="00475AE7" w:rsidRPr="00095E72" w:rsidP="00B848FE" w14:paraId="332A7A8E" w14:textId="48426296">
      <w:pPr>
        <w:spacing w:after="120"/>
        <w:rPr>
          <w:sz w:val="20"/>
        </w:rPr>
      </w:pPr>
      <w:r w:rsidRPr="00F13E8E">
        <w:rPr>
          <w:rStyle w:val="FootnoteReference"/>
          <w:sz w:val="20"/>
        </w:rPr>
        <w:footnoteRef/>
      </w:r>
      <w:r w:rsidRPr="00F13E8E">
        <w:rPr>
          <w:sz w:val="20"/>
        </w:rPr>
        <w:t xml:space="preserve"> </w:t>
      </w:r>
      <w:r w:rsidRPr="00F13E8E">
        <w:rPr>
          <w:i/>
          <w:sz w:val="20"/>
        </w:rPr>
        <w:t>Se</w:t>
      </w:r>
      <w:r w:rsidRPr="00095E72">
        <w:rPr>
          <w:i/>
          <w:sz w:val="20"/>
        </w:rPr>
        <w:t>e</w:t>
      </w:r>
      <w:r w:rsidRPr="00095E72">
        <w:rPr>
          <w:sz w:val="20"/>
        </w:rPr>
        <w:t xml:space="preserve"> 47 U.S.C. § 214; 47 CFR §§ 63.03-04</w:t>
      </w:r>
      <w:r>
        <w:rPr>
          <w:sz w:val="20"/>
        </w:rPr>
        <w:t>; Prairieburg Telephone Company, Incorporated and Hilliary Acquisition Iowa, LLC Application for Transfer of Control of Domestic Blanket Section 214 Authorizations, WC Docket No. 21-30 (filed Jan. 26, 2021) (Application)</w:t>
      </w:r>
      <w:r w:rsidRPr="00095E72">
        <w:rPr>
          <w:sz w:val="20"/>
        </w:rPr>
        <w:t xml:space="preserve">.  </w:t>
      </w:r>
      <w:r w:rsidRPr="00AE522A">
        <w:rPr>
          <w:sz w:val="20"/>
        </w:rPr>
        <w:t>Applicants</w:t>
      </w:r>
      <w:r>
        <w:rPr>
          <w:sz w:val="20"/>
        </w:rPr>
        <w:t xml:space="preserve"> also</w:t>
      </w:r>
      <w:r w:rsidRPr="00AE522A">
        <w:rPr>
          <w:sz w:val="20"/>
        </w:rPr>
        <w:t xml:space="preserve"> fil</w:t>
      </w:r>
      <w:r>
        <w:rPr>
          <w:sz w:val="20"/>
        </w:rPr>
        <w:t>ed</w:t>
      </w:r>
      <w:r w:rsidRPr="00AE522A">
        <w:rPr>
          <w:sz w:val="20"/>
        </w:rPr>
        <w:t xml:space="preserve"> </w:t>
      </w:r>
      <w:r>
        <w:rPr>
          <w:sz w:val="20"/>
        </w:rPr>
        <w:t>a</w:t>
      </w:r>
      <w:r w:rsidRPr="00AE522A">
        <w:rPr>
          <w:sz w:val="20"/>
        </w:rPr>
        <w:t>pplication</w:t>
      </w:r>
      <w:r>
        <w:rPr>
          <w:sz w:val="20"/>
        </w:rPr>
        <w:t>s</w:t>
      </w:r>
      <w:r w:rsidRPr="00AE522A">
        <w:rPr>
          <w:sz w:val="20"/>
        </w:rPr>
        <w:t xml:space="preserve"> for the transfer of control of international </w:t>
      </w:r>
      <w:r>
        <w:rPr>
          <w:sz w:val="20"/>
        </w:rPr>
        <w:t xml:space="preserve">and wireless </w:t>
      </w:r>
      <w:r w:rsidRPr="00AE522A">
        <w:rPr>
          <w:sz w:val="20"/>
        </w:rPr>
        <w:t>services.  Any action on this domestic section 214 application is without prejudice to Commission action on other related, pending applications.</w:t>
      </w:r>
      <w:r>
        <w:rPr>
          <w:sz w:val="20"/>
        </w:rPr>
        <w:t xml:space="preserve"> </w:t>
      </w:r>
    </w:p>
  </w:footnote>
  <w:footnote w:id="4">
    <w:p w:rsidR="00475AE7" w:rsidP="001F1CB2" w14:paraId="02E66316" w14:textId="34CA8E06">
      <w:pPr>
        <w:pStyle w:val="FootnoteText"/>
      </w:pPr>
      <w:r>
        <w:rPr>
          <w:rStyle w:val="FootnoteReference"/>
        </w:rPr>
        <w:footnoteRef/>
      </w:r>
      <w:r>
        <w:t xml:space="preserve"> </w:t>
      </w:r>
      <w:r>
        <w:rPr>
          <w:i/>
          <w:iCs/>
        </w:rPr>
        <w:t xml:space="preserve">Domestic Section 214 Application Filed for the Transfer of </w:t>
      </w:r>
      <w:r w:rsidRPr="00207939">
        <w:rPr>
          <w:i/>
          <w:iCs/>
        </w:rPr>
        <w:t>Control of</w:t>
      </w:r>
      <w:r>
        <w:rPr>
          <w:i/>
          <w:iCs/>
        </w:rPr>
        <w:t xml:space="preserve"> Prairieburg Telephone Company, Incorporated to Hilliary Acquisition Iowa, LLC</w:t>
      </w:r>
      <w:r w:rsidRPr="00207939">
        <w:t>, WC Docket No. 2</w:t>
      </w:r>
      <w:r>
        <w:t>1</w:t>
      </w:r>
      <w:r w:rsidRPr="00207939">
        <w:t>-</w:t>
      </w:r>
      <w:r w:rsidR="002B0351">
        <w:t>30</w:t>
      </w:r>
      <w:r>
        <w:t>, Public Notice, DA 21-128</w:t>
      </w:r>
      <w:r w:rsidRPr="008670A1">
        <w:t xml:space="preserve"> </w:t>
      </w:r>
      <w:r>
        <w:t xml:space="preserve">(WCB 2021).     </w:t>
      </w:r>
    </w:p>
  </w:footnote>
  <w:footnote w:id="5">
    <w:p w:rsidR="000157A9" w14:paraId="09F6EA5E" w14:textId="4CF48FD5">
      <w:pPr>
        <w:pStyle w:val="FootnoteText"/>
      </w:pPr>
      <w:r>
        <w:rPr>
          <w:rStyle w:val="FootnoteReference"/>
        </w:rPr>
        <w:footnoteRef/>
      </w:r>
      <w:r>
        <w:t xml:space="preserve"> Application at 2, 6.</w:t>
      </w:r>
    </w:p>
  </w:footnote>
  <w:footnote w:id="6">
    <w:p w:rsidR="00475AE7" w:rsidP="00801AAA" w14:paraId="06207AF2" w14:textId="61099B7B">
      <w:pPr>
        <w:pStyle w:val="FootnoteText"/>
      </w:pPr>
      <w:r>
        <w:rPr>
          <w:rStyle w:val="FootnoteReference"/>
        </w:rPr>
        <w:footnoteRef/>
      </w:r>
      <w:r>
        <w:t xml:space="preserve"> </w:t>
      </w:r>
      <w:r w:rsidR="003D2256">
        <w:rPr>
          <w:snapToGrid w:val="0"/>
        </w:rPr>
        <w:t xml:space="preserve">Universal Service Administrative Co., Tools, </w:t>
      </w:r>
      <w:hyperlink r:id="rId1" w:history="1">
        <w:r w:rsidR="003D2256">
          <w:rPr>
            <w:rStyle w:val="Hyperlink"/>
            <w:snapToGrid w:val="0"/>
          </w:rPr>
          <w:t>https://www.usac.org/high-cost/resources/tools/</w:t>
        </w:r>
      </w:hyperlink>
      <w:r w:rsidR="003D2256">
        <w:rPr>
          <w:snapToGrid w:val="0"/>
        </w:rPr>
        <w:t xml:space="preserve"> (ACAM, ACAM II and CAF BLS Buildout Requirements).</w:t>
      </w:r>
      <w:r w:rsidRPr="00437716">
        <w:t xml:space="preserve"> </w:t>
      </w:r>
      <w:r>
        <w:t xml:space="preserve"> Average schedule companies receive support based on formulas that use the reported costs of the companies.  </w:t>
      </w:r>
      <w:r w:rsidRPr="00F304C0">
        <w:rPr>
          <w:rFonts w:eastAsia="Calibri"/>
          <w:i/>
        </w:rPr>
        <w:t>See, e.g.</w:t>
      </w:r>
      <w:r w:rsidRPr="00171F2B">
        <w:rPr>
          <w:rFonts w:eastAsia="Calibri"/>
        </w:rPr>
        <w:t>,</w:t>
      </w:r>
      <w:r w:rsidRPr="00F304C0">
        <w:rPr>
          <w:rFonts w:eastAsia="Calibri"/>
          <w:i/>
        </w:rPr>
        <w:t xml:space="preserve"> National Exchange Carrier Association, Inc. 2018 Modification of Average Schedule Universal Service Support Formula, High-Cost Universal Service Support, </w:t>
      </w:r>
      <w:r w:rsidRPr="00F304C0">
        <w:rPr>
          <w:rFonts w:eastAsia="Calibri"/>
        </w:rPr>
        <w:t xml:space="preserve">Order, </w:t>
      </w:r>
      <w:r>
        <w:rPr>
          <w:rFonts w:eastAsia="Calibri"/>
        </w:rPr>
        <w:t>32 FCC Rcd 7654</w:t>
      </w:r>
      <w:r w:rsidRPr="00F304C0">
        <w:rPr>
          <w:rFonts w:eastAsia="Calibri"/>
        </w:rPr>
        <w:t xml:space="preserve"> (WCB 2017).  </w:t>
      </w:r>
      <w:r w:rsidRPr="006650A4">
        <w:rPr>
          <w:snapToGrid w:val="0"/>
          <w:kern w:val="28"/>
        </w:rPr>
        <w:t>An incumbent LEC may </w:t>
      </w:r>
      <w:r w:rsidRPr="006650A4">
        <w:rPr>
          <w:bCs/>
          <w:snapToGrid w:val="0"/>
          <w:kern w:val="28"/>
        </w:rPr>
        <w:t>convert</w:t>
      </w:r>
      <w:r w:rsidRPr="006650A4">
        <w:rPr>
          <w:snapToGrid w:val="0"/>
          <w:kern w:val="28"/>
        </w:rPr>
        <w:t> from an </w:t>
      </w:r>
      <w:r w:rsidRPr="006650A4">
        <w:rPr>
          <w:bCs/>
          <w:snapToGrid w:val="0"/>
          <w:kern w:val="28"/>
        </w:rPr>
        <w:t>average</w:t>
      </w:r>
      <w:r w:rsidRPr="006650A4">
        <w:rPr>
          <w:snapToGrid w:val="0"/>
          <w:kern w:val="28"/>
        </w:rPr>
        <w:t> </w:t>
      </w:r>
      <w:r w:rsidRPr="006650A4">
        <w:rPr>
          <w:bCs/>
          <w:snapToGrid w:val="0"/>
          <w:kern w:val="28"/>
        </w:rPr>
        <w:t>schedule</w:t>
      </w:r>
      <w:r w:rsidRPr="006650A4">
        <w:rPr>
          <w:snapToGrid w:val="0"/>
          <w:kern w:val="28"/>
        </w:rPr>
        <w:t> company to a </w:t>
      </w:r>
      <w:r w:rsidRPr="006650A4">
        <w:rPr>
          <w:bCs/>
          <w:snapToGrid w:val="0"/>
          <w:kern w:val="28"/>
        </w:rPr>
        <w:t>cost</w:t>
      </w:r>
      <w:r w:rsidRPr="006650A4">
        <w:rPr>
          <w:snapToGrid w:val="0"/>
          <w:kern w:val="28"/>
        </w:rPr>
        <w:t> company, but a carrier must obtain a waiver of the definition of “average schedule company” in </w:t>
      </w:r>
      <w:hyperlink r:id="rId2" w:anchor="co_pp_4b24000003ba5" w:history="1">
        <w:r w:rsidRPr="006650A4">
          <w:rPr>
            <w:snapToGrid w:val="0"/>
            <w:kern w:val="28"/>
          </w:rPr>
          <w:t>section 69.605(c)</w:t>
        </w:r>
      </w:hyperlink>
      <w:r w:rsidRPr="006650A4">
        <w:rPr>
          <w:snapToGrid w:val="0"/>
          <w:kern w:val="28"/>
        </w:rPr>
        <w:t xml:space="preserve"> to change from a cost company to an average schedule company.  </w:t>
      </w:r>
      <w:r w:rsidRPr="006650A4">
        <w:rPr>
          <w:i/>
          <w:iCs/>
          <w:snapToGrid w:val="0"/>
          <w:kern w:val="28"/>
        </w:rPr>
        <w:t>See</w:t>
      </w:r>
      <w:r w:rsidRPr="006650A4">
        <w:rPr>
          <w:snapToGrid w:val="0"/>
          <w:kern w:val="28"/>
        </w:rPr>
        <w:t> </w:t>
      </w:r>
      <w:hyperlink r:id="rId2" w:anchor="co_pp_4b24000003ba5" w:history="1">
        <w:r w:rsidRPr="006650A4">
          <w:rPr>
            <w:snapToGrid w:val="0"/>
            <w:kern w:val="28"/>
          </w:rPr>
          <w:t>47 CFR § 69.605(c)</w:t>
        </w:r>
      </w:hyperlink>
      <w:r>
        <w:rPr>
          <w:snapToGrid w:val="0"/>
          <w:kern w:val="28"/>
        </w:rPr>
        <w:t>.</w:t>
      </w:r>
    </w:p>
  </w:footnote>
  <w:footnote w:id="7">
    <w:p w:rsidR="000157A9" w14:paraId="49B55372" w14:textId="22D7521B">
      <w:pPr>
        <w:pStyle w:val="FootnoteText"/>
      </w:pPr>
      <w:r>
        <w:rPr>
          <w:rStyle w:val="FootnoteReference"/>
        </w:rPr>
        <w:footnoteRef/>
      </w:r>
      <w:r>
        <w:t xml:space="preserve"> Application at 6-7.</w:t>
      </w:r>
    </w:p>
  </w:footnote>
  <w:footnote w:id="8">
    <w:p w:rsidR="000157A9" w14:paraId="6ED85367" w14:textId="01922C08">
      <w:pPr>
        <w:pStyle w:val="FootnoteText"/>
      </w:pPr>
      <w:r>
        <w:rPr>
          <w:rStyle w:val="FootnoteReference"/>
        </w:rPr>
        <w:footnoteRef/>
      </w:r>
      <w:r>
        <w:t xml:space="preserve"> Application at 7-8.</w:t>
      </w:r>
    </w:p>
  </w:footnote>
  <w:footnote w:id="9">
    <w:p w:rsidR="00475AE7" w:rsidRPr="008823A6" w14:paraId="6B9A541E" w14:textId="67B30E81">
      <w:pPr>
        <w:pStyle w:val="FootnoteText"/>
      </w:pPr>
      <w:r>
        <w:rPr>
          <w:rStyle w:val="FootnoteReference"/>
        </w:rPr>
        <w:footnoteRef/>
      </w:r>
      <w:r w:rsidRPr="00F46420" w:rsidR="007B1F0E">
        <w:t xml:space="preserve"> </w:t>
      </w:r>
      <w:r w:rsidR="003D2256">
        <w:rPr>
          <w:snapToGrid w:val="0"/>
        </w:rPr>
        <w:t xml:space="preserve">Universal Service Administrative Co., Tools, </w:t>
      </w:r>
      <w:hyperlink r:id="rId1" w:history="1">
        <w:r w:rsidR="003D2256">
          <w:rPr>
            <w:rStyle w:val="Hyperlink"/>
            <w:snapToGrid w:val="0"/>
          </w:rPr>
          <w:t>https://www.usac.org/high-cost/resources/tools/</w:t>
        </w:r>
      </w:hyperlink>
      <w:r w:rsidR="003D2256">
        <w:rPr>
          <w:snapToGrid w:val="0"/>
        </w:rPr>
        <w:t xml:space="preserve"> (ACAM, ACAM II and CAF BLS Buildout Requirements).  </w:t>
      </w:r>
      <w:r w:rsidR="00D41B3B">
        <w:t xml:space="preserve">Based on the Bureau’s findings in </w:t>
      </w:r>
      <w:r w:rsidR="003F0EF2">
        <w:t xml:space="preserve">Hilliary’s prior </w:t>
      </w:r>
      <w:r w:rsidR="00D41B3B">
        <w:t xml:space="preserve">domestic section 214 proceedings, Hilliary is </w:t>
      </w:r>
      <w:r w:rsidR="00BC6BB5">
        <w:t xml:space="preserve">currently </w:t>
      </w:r>
      <w:r w:rsidR="00D41B3B">
        <w:t xml:space="preserve">subject to the </w:t>
      </w:r>
      <w:bookmarkStart w:id="1" w:name="_Hlk66875669"/>
      <w:r w:rsidR="00615C48">
        <w:t xml:space="preserve">condition the Commission adopted in </w:t>
      </w:r>
      <w:r w:rsidR="003F0EF2">
        <w:t xml:space="preserve">the </w:t>
      </w:r>
      <w:r w:rsidRPr="00265992" w:rsidR="00615C48">
        <w:rPr>
          <w:i/>
        </w:rPr>
        <w:t>Hargray/</w:t>
      </w:r>
      <w:r w:rsidRPr="00BB0D65" w:rsidR="00615C48">
        <w:rPr>
          <w:i/>
        </w:rPr>
        <w:t>ComSouth Order</w:t>
      </w:r>
      <w:r w:rsidR="00615C48">
        <w:t xml:space="preserve"> under which “the combined operating expense of Tatum, Electra, Medicine Park, and any other rate-of-return affiliates shall be capped at the averaged combined operating expense of the three calendar years preceding the transactions’ closing date for which the operating expense data are available.”</w:t>
      </w:r>
      <w:r w:rsidRPr="008823A6">
        <w:rPr>
          <w:i/>
          <w:iCs/>
        </w:rPr>
        <w:t xml:space="preserve"> Domestic Section 214 Applications Granted Subject to Condition</w:t>
      </w:r>
      <w:r>
        <w:t xml:space="preserve">, WC Docket Nos. 18-301, 18-302, Public Notice, </w:t>
      </w:r>
      <w:r w:rsidR="00351E93">
        <w:t xml:space="preserve">33 FCC Rcd 12236, 12238 </w:t>
      </w:r>
      <w:r>
        <w:t>(WCB 2018)</w:t>
      </w:r>
      <w:r w:rsidR="00524B7D">
        <w:t xml:space="preserve"> (citing </w:t>
      </w:r>
      <w:r w:rsidRPr="00265992" w:rsidR="00524B7D">
        <w:rPr>
          <w:i/>
        </w:rPr>
        <w:t>Joint Application of W. Mansfield Jennings Limited Partnership and Har</w:t>
      </w:r>
      <w:r w:rsidR="00524B7D">
        <w:rPr>
          <w:i/>
        </w:rPr>
        <w:t>gray Communications Group, Inc.</w:t>
      </w:r>
      <w:r w:rsidRPr="00265992" w:rsidR="00524B7D">
        <w:rPr>
          <w:i/>
        </w:rPr>
        <w:t xml:space="preserve"> for Consent to the Transfer of Control of ComSouth Corporation Pursuant to Section 214 of the Communications Act of 1934</w:t>
      </w:r>
      <w:r w:rsidRPr="00265992" w:rsidR="00524B7D">
        <w:t xml:space="preserve">, WC Docket 18-52, Memorandum Opinion and Order, </w:t>
      </w:r>
      <w:r w:rsidR="00524B7D">
        <w:t>33 FCC Rcd 4780, 4784</w:t>
      </w:r>
      <w:r w:rsidRPr="00265992" w:rsidR="00524B7D">
        <w:t>, para. 19 (2018)</w:t>
      </w:r>
      <w:r w:rsidR="00524B7D">
        <w:t xml:space="preserve"> </w:t>
      </w:r>
      <w:r w:rsidRPr="00265992" w:rsidR="00524B7D">
        <w:t>(</w:t>
      </w:r>
      <w:r w:rsidRPr="00265992" w:rsidR="00524B7D">
        <w:rPr>
          <w:i/>
        </w:rPr>
        <w:t>Hargray/ComSouth Order</w:t>
      </w:r>
      <w:r w:rsidRPr="00265992" w:rsidR="00524B7D">
        <w:t>)</w:t>
      </w:r>
      <w:r w:rsidR="00524B7D">
        <w:t xml:space="preserve"> (</w:t>
      </w:r>
      <w:r w:rsidRPr="008B3790" w:rsidR="00524B7D">
        <w:rPr>
          <w:szCs w:val="22"/>
        </w:rPr>
        <w:t>direct</w:t>
      </w:r>
      <w:r w:rsidR="00524B7D">
        <w:rPr>
          <w:szCs w:val="22"/>
        </w:rPr>
        <w:t>ing</w:t>
      </w:r>
      <w:r w:rsidRPr="008B3790" w:rsidR="00524B7D">
        <w:rPr>
          <w:szCs w:val="22"/>
        </w:rPr>
        <w:t xml:space="preserve"> the Bureau to </w:t>
      </w:r>
      <w:r w:rsidR="00524B7D">
        <w:rPr>
          <w:szCs w:val="22"/>
        </w:rPr>
        <w:t>impose a limited condition on transactions between parties receiving different types of support to cap high-cost universal service support based on the operating expenses of the cost-based companies)</w:t>
      </w:r>
      <w:r w:rsidR="00524B7D">
        <w:t>)</w:t>
      </w:r>
      <w:r w:rsidR="00C96CB6">
        <w:t xml:space="preserve">; </w:t>
      </w:r>
      <w:r w:rsidRPr="00C96CB6" w:rsidR="00C96CB6">
        <w:rPr>
          <w:i/>
          <w:iCs/>
        </w:rPr>
        <w:t>see also</w:t>
      </w:r>
      <w:r w:rsidR="00C96CB6">
        <w:t xml:space="preserve"> </w:t>
      </w:r>
      <w:r w:rsidRPr="000157A9" w:rsidR="00C96CB6">
        <w:rPr>
          <w:i/>
          <w:iCs/>
        </w:rPr>
        <w:t>Domestic Section 214 Application Granted Subject to Condition</w:t>
      </w:r>
      <w:r w:rsidR="00C96CB6">
        <w:t>, WC Docket No. 18-343, Public Notice, 34 FCC Rcd 1353</w:t>
      </w:r>
      <w:r w:rsidR="00524B7D">
        <w:t>, 1356</w:t>
      </w:r>
      <w:r w:rsidR="00C96CB6">
        <w:t xml:space="preserve"> (WCB 2019) (granting</w:t>
      </w:r>
      <w:r w:rsidR="000025FE">
        <w:t xml:space="preserve">, subject to </w:t>
      </w:r>
      <w:r w:rsidR="00524B7D">
        <w:t xml:space="preserve">the </w:t>
      </w:r>
      <w:r w:rsidR="00524B7D">
        <w:rPr>
          <w:i/>
          <w:iCs/>
        </w:rPr>
        <w:t xml:space="preserve">Hargray/ComSouth </w:t>
      </w:r>
      <w:r w:rsidR="000025FE">
        <w:t xml:space="preserve">condition, </w:t>
      </w:r>
      <w:r w:rsidR="00C96CB6">
        <w:t>an application for the transfer of control of Border to Border Communications, Inc</w:t>
      </w:r>
      <w:r>
        <w:t>.</w:t>
      </w:r>
      <w:r w:rsidR="00C96CB6">
        <w:t xml:space="preserve"> to Hilliary Acquisition B2B, LLC). </w:t>
      </w:r>
      <w:r w:rsidR="009F71A2">
        <w:t xml:space="preserve"> </w:t>
      </w:r>
      <w:bookmarkEnd w:id="1"/>
    </w:p>
  </w:footnote>
  <w:footnote w:id="10">
    <w:p w:rsidR="00C43525" w14:paraId="2788A452" w14:textId="0FA18D78">
      <w:pPr>
        <w:pStyle w:val="FootnoteText"/>
      </w:pPr>
      <w:r>
        <w:rPr>
          <w:rStyle w:val="FootnoteReference"/>
        </w:rPr>
        <w:footnoteRef/>
      </w:r>
      <w:r>
        <w:t xml:space="preserve"> Application at 8.</w:t>
      </w:r>
    </w:p>
  </w:footnote>
  <w:footnote w:id="11">
    <w:p w:rsidR="00C43525" w14:paraId="3FEF19EB" w14:textId="33619F7E">
      <w:pPr>
        <w:pStyle w:val="FootnoteText"/>
      </w:pPr>
      <w:r>
        <w:rPr>
          <w:rStyle w:val="FootnoteReference"/>
        </w:rPr>
        <w:footnoteRef/>
      </w:r>
      <w:r>
        <w:t xml:space="preserve"> </w:t>
      </w:r>
      <w:r w:rsidRPr="000157A9" w:rsidR="000157A9">
        <w:rPr>
          <w:i/>
          <w:iCs/>
        </w:rPr>
        <w:t>Id</w:t>
      </w:r>
      <w:r w:rsidR="000157A9">
        <w:t>.</w:t>
      </w:r>
      <w:r>
        <w:t xml:space="preserve"> at 6.</w:t>
      </w:r>
    </w:p>
  </w:footnote>
  <w:footnote w:id="12">
    <w:p w:rsidR="003F0EF2" w14:paraId="27BFEB9A" w14:textId="3B08651E">
      <w:pPr>
        <w:pStyle w:val="FootnoteText"/>
      </w:pPr>
      <w:r>
        <w:rPr>
          <w:rStyle w:val="FootnoteReference"/>
        </w:rPr>
        <w:footnoteRef/>
      </w:r>
      <w:r>
        <w:t xml:space="preserve"> </w:t>
      </w:r>
      <w:r>
        <w:rPr>
          <w:i/>
          <w:iCs/>
        </w:rPr>
        <w:t xml:space="preserve">See </w:t>
      </w:r>
      <w:r w:rsidRPr="003F0EF2">
        <w:rPr>
          <w:i/>
          <w:iCs/>
        </w:rPr>
        <w:t>Hargray/ComSouth Order</w:t>
      </w:r>
      <w:r>
        <w:t xml:space="preserve">, 33 FCC Rcd at 4785-86, para. 20. </w:t>
      </w:r>
    </w:p>
  </w:footnote>
  <w:footnote w:id="13">
    <w:p w:rsidR="005B5B7B" w:rsidRPr="00FF682A" w14:paraId="38CE202D" w14:textId="25338A95">
      <w:pPr>
        <w:pStyle w:val="FootnoteText"/>
      </w:pPr>
      <w:r>
        <w:rPr>
          <w:rStyle w:val="FootnoteReference"/>
        </w:rPr>
        <w:footnoteRef/>
      </w:r>
      <w:r>
        <w:t xml:space="preserve"> </w:t>
      </w:r>
      <w:r w:rsidRPr="00FF682A">
        <w:rPr>
          <w:i/>
          <w:iCs/>
        </w:rPr>
        <w:t>Hargray/ComSouth Order</w:t>
      </w:r>
      <w:r w:rsidRPr="00FF682A">
        <w:t>, 33 FCC Rcd 4789, n.72</w:t>
      </w:r>
      <w:r w:rsidR="00FF682A">
        <w:t xml:space="preserve"> (“</w:t>
      </w:r>
      <w:r w:rsidRPr="006650A4" w:rsidR="00FF682A">
        <w:t xml:space="preserve">We </w:t>
      </w:r>
      <w:r w:rsidR="00FF682A">
        <w:t>direct the Bureau to apply the condition where necessary to remedy a potential public interest harm caused by a mixed support transaction.  We also direct</w:t>
      </w:r>
      <w:r w:rsidRPr="006650A4" w:rsidR="00FF682A">
        <w:t xml:space="preserve"> </w:t>
      </w:r>
      <w:r w:rsidR="00FF682A">
        <w:t>the Bureau to</w:t>
      </w:r>
      <w:r w:rsidRPr="006650A4" w:rsidR="00FF682A">
        <w:t xml:space="preserve"> apply the same condition to a merger between an average schedule company and a model-based support company, and in such cases the condition would be triggered if the average schedule company converts to a cost company.  </w:t>
      </w:r>
      <w:r w:rsidR="00FF682A">
        <w:t xml:space="preserve">Under the condition, we </w:t>
      </w:r>
      <w:r w:rsidRPr="006650A4" w:rsidR="00FF682A">
        <w:t xml:space="preserve">permit “average schedule companies” to estimate universal service support pursuant to a formula developed by the </w:t>
      </w:r>
      <w:r w:rsidRPr="00F304C0" w:rsidR="00FF682A">
        <w:rPr>
          <w:rFonts w:eastAsia="Calibri"/>
        </w:rPr>
        <w:t xml:space="preserve">National Exchange Carrier Association (NECA).  </w:t>
      </w:r>
      <w:r w:rsidRPr="00F304C0" w:rsidR="00FF682A">
        <w:rPr>
          <w:rFonts w:eastAsia="Calibri"/>
          <w:i/>
        </w:rPr>
        <w:t xml:space="preserve">See, e.g., National Exchange Carrier Association, Inc. 2018 Modification of Average Schedule Universal Service Support Formula, High-Cost Universal Service Support, </w:t>
      </w:r>
      <w:r w:rsidRPr="00FF682A" w:rsidR="00FF682A">
        <w:rPr>
          <w:rFonts w:eastAsia="Calibri"/>
          <w:iCs/>
        </w:rPr>
        <w:t>WC Docket No. 05-337,</w:t>
      </w:r>
      <w:r w:rsidRPr="00FF682A" w:rsidR="00FF682A">
        <w:rPr>
          <w:rFonts w:eastAsia="Calibri"/>
        </w:rPr>
        <w:t xml:space="preserve"> </w:t>
      </w:r>
      <w:r w:rsidRPr="00F304C0" w:rsidR="00FF682A">
        <w:rPr>
          <w:rFonts w:eastAsia="Calibri"/>
        </w:rPr>
        <w:t xml:space="preserve">Order, </w:t>
      </w:r>
      <w:r w:rsidR="00FF682A">
        <w:rPr>
          <w:rFonts w:eastAsia="Calibri"/>
        </w:rPr>
        <w:t>32 FCC Rcd 7654 (WCB 2017)”).</w:t>
      </w:r>
    </w:p>
  </w:footnote>
  <w:footnote w:id="14">
    <w:p w:rsidR="00524B7D" w:rsidP="00524B7D" w14:paraId="2BA3CB64" w14:textId="3A0ADEF2">
      <w:pPr>
        <w:pStyle w:val="FootnoteText"/>
      </w:pPr>
      <w:r>
        <w:rPr>
          <w:rStyle w:val="FootnoteReference"/>
        </w:rPr>
        <w:footnoteRef/>
      </w:r>
      <w:r w:rsidR="005B5B7B">
        <w:t xml:space="preserve"> </w:t>
      </w:r>
      <w:r w:rsidRPr="002049B9" w:rsidR="005B5B7B">
        <w:rPr>
          <w:i/>
          <w:iCs/>
        </w:rPr>
        <w:t>Hargray/ComSouth Order</w:t>
      </w:r>
      <w:r w:rsidRPr="002049B9" w:rsidR="005B5B7B">
        <w:t>, 33 FCC Rcd 4789, n.72</w:t>
      </w:r>
      <w:r w:rsidR="005B5B7B">
        <w:t xml:space="preserve">; </w:t>
      </w:r>
      <w:r w:rsidRPr="00BB2DCC">
        <w:rPr>
          <w:i/>
          <w:iCs/>
        </w:rPr>
        <w:t>Domestic Section 214 Applications Granted Subject to Condition</w:t>
      </w:r>
      <w:r>
        <w:t>, WC Docket Nos. 17-101, 17-365, 18-68, 18-94, 18-95, 18-</w:t>
      </w:r>
      <w:r w:rsidR="00BB0D65">
        <w:t>1</w:t>
      </w:r>
      <w:r>
        <w:t xml:space="preserve">77, Public Notice, 33 FCC </w:t>
      </w:r>
      <w:r>
        <w:t>Rcd</w:t>
      </w:r>
      <w:r>
        <w:t xml:space="preserve"> 6784 (WCB 2018) (</w:t>
      </w:r>
      <w:bookmarkStart w:id="2" w:name="_Hlk67038644"/>
      <w:r w:rsidRPr="008A72A2">
        <w:rPr>
          <w:i/>
        </w:rPr>
        <w:t>Average Schedule Grant P</w:t>
      </w:r>
      <w:r w:rsidRPr="00A95C94">
        <w:rPr>
          <w:i/>
        </w:rPr>
        <w:t>ublic Notice</w:t>
      </w:r>
      <w:bookmarkEnd w:id="2"/>
      <w:r>
        <w:t>)</w:t>
      </w:r>
      <w:r w:rsidR="00FF682A">
        <w:t xml:space="preserve"> (granting, subject to the </w:t>
      </w:r>
      <w:r w:rsidRPr="00FF682A" w:rsidR="00FF682A">
        <w:rPr>
          <w:i/>
          <w:iCs/>
        </w:rPr>
        <w:t>Hargray/ComSouth</w:t>
      </w:r>
      <w:r w:rsidR="00FF682A">
        <w:t xml:space="preserve"> condition, transfers of control involving average schedule companies and model-based support companies</w:t>
      </w:r>
      <w:r w:rsidR="00BB2DCC">
        <w:t>)</w:t>
      </w:r>
      <w:r>
        <w:t>.</w:t>
      </w:r>
      <w:r w:rsidR="002049B9">
        <w:t xml:space="preserve"> </w:t>
      </w:r>
    </w:p>
  </w:footnote>
  <w:footnote w:id="15">
    <w:p w:rsidR="003F0EF2" w:rsidRPr="00BC6BB5" w:rsidP="003F0EF2" w14:paraId="3320E6C2" w14:textId="124C4BA8">
      <w:pPr>
        <w:pStyle w:val="FootnoteText"/>
        <w:rPr>
          <w:color w:val="000000" w:themeColor="text1"/>
        </w:rPr>
      </w:pPr>
      <w:r>
        <w:rPr>
          <w:rStyle w:val="FootnoteReference"/>
        </w:rPr>
        <w:footnoteRef/>
      </w:r>
      <w:r>
        <w:t xml:space="preserve"> If it has not previously done so, PTCI, if it becomes a newly converted cost company, must submit its prior three years of operating expense data to the National Exchange Carrier Association (NECA).  NECA will then (1) validate and calculate that company’s average operating expense for those three years and (2) combine this three-year averaged capped operating expense with the current year’s inflation-adjusted operating expense data of any other affiliated cost companies to calculate the new total combined operating expense at which the newly converted and other cost-company affiliates will be capped.  The new combined, capped operating expense will then be applied to determine High-Cost Loop Support (HCLS) and CAF-Broadband Loop Support (CAF-BLS).  If the actual three-year operating expense average cannot be calculated for the newly converted cost company, NECA, in consultation with the Bureau, will use estimates based on NECA’s average schedule support formula.  </w:t>
      </w:r>
      <w:r w:rsidR="00BC6BB5">
        <w:rPr>
          <w:i/>
          <w:iCs/>
        </w:rPr>
        <w:t xml:space="preserve">See </w:t>
      </w:r>
      <w:r w:rsidRPr="008A72A2" w:rsidR="00C61BB7">
        <w:rPr>
          <w:i/>
        </w:rPr>
        <w:t>Average Schedule Grant P</w:t>
      </w:r>
      <w:r w:rsidRPr="00A95C94" w:rsidR="00C61BB7">
        <w:rPr>
          <w:i/>
        </w:rPr>
        <w:t>ublic Notice</w:t>
      </w:r>
      <w:r w:rsidR="00C61BB7">
        <w:rPr>
          <w:iCs/>
        </w:rPr>
        <w:t xml:space="preserve">, 33 FCC </w:t>
      </w:r>
      <w:r w:rsidR="00C61BB7">
        <w:rPr>
          <w:iCs/>
        </w:rPr>
        <w:t>Rcd</w:t>
      </w:r>
      <w:r w:rsidR="00C61BB7">
        <w:rPr>
          <w:iCs/>
        </w:rPr>
        <w:t xml:space="preserve"> at 6788, n.31;</w:t>
      </w:r>
      <w:r w:rsidR="00C61BB7">
        <w:rPr>
          <w:i/>
          <w:iCs/>
        </w:rPr>
        <w:t xml:space="preserve"> </w:t>
      </w:r>
      <w:r w:rsidR="00BC6BB5">
        <w:rPr>
          <w:i/>
          <w:iCs/>
        </w:rPr>
        <w:t xml:space="preserve">Domestic Section 214 Application Granted Subject to </w:t>
      </w:r>
      <w:r w:rsidRPr="00BB2DCC" w:rsidR="00BC6BB5">
        <w:rPr>
          <w:i/>
          <w:iCs/>
        </w:rPr>
        <w:t>Condition</w:t>
      </w:r>
      <w:r w:rsidR="00BC6BB5">
        <w:t>, WC Docket No. 18-129, Public Notice, 33 FCC Rcd 8087, 8089, n.15 (WCB 2018) (</w:t>
      </w:r>
      <w:r w:rsidR="00BC6BB5">
        <w:rPr>
          <w:i/>
          <w:iCs/>
        </w:rPr>
        <w:t>Hospers Grant PN</w:t>
      </w:r>
      <w:r w:rsidR="00BC6BB5">
        <w:t>) (granting</w:t>
      </w:r>
      <w:r w:rsidR="000157A9">
        <w:t>,</w:t>
      </w:r>
      <w:r w:rsidR="00BC6BB5">
        <w:t xml:space="preserve"> subject to </w:t>
      </w:r>
      <w:r w:rsidR="000157A9">
        <w:t xml:space="preserve">the </w:t>
      </w:r>
      <w:r w:rsidR="000157A9">
        <w:rPr>
          <w:i/>
          <w:iCs/>
        </w:rPr>
        <w:t xml:space="preserve">Hargray/ComSouth </w:t>
      </w:r>
      <w:r w:rsidR="00BC6BB5">
        <w:t>condition, the transfer of Hospers Telephone Exchange, Inc. d/b/a HTC Communications, an average schedule company, to Mutual Telephone Company of Sioux Center Iowa d/b/a Premier Communications, which owns both cost-based and fixed model-based support companies</w:t>
      </w:r>
      <w:r w:rsidRPr="00BC6BB5" w:rsidR="00BC6BB5">
        <w:rPr>
          <w:rFonts w:eastAsia="Calibri"/>
          <w:color w:val="000000" w:themeColor="text1"/>
        </w:rPr>
        <w:t xml:space="preserve">).  </w:t>
      </w:r>
      <w:r w:rsidRPr="00BC6BB5" w:rsidR="002049B9">
        <w:rPr>
          <w:color w:val="000000" w:themeColor="text1"/>
          <w:shd w:val="clear" w:color="auto" w:fill="FFFFFF"/>
        </w:rPr>
        <w:t xml:space="preserve">The cap will not apply if the parties do not consummate the proposed transaction or if PTCI does not covert to a cost company. </w:t>
      </w:r>
      <w:r w:rsidR="000157A9">
        <w:rPr>
          <w:color w:val="000000" w:themeColor="text1"/>
          <w:shd w:val="clear" w:color="auto" w:fill="FFFFFF"/>
        </w:rPr>
        <w:t xml:space="preserve"> </w:t>
      </w:r>
      <w:r w:rsidRPr="00BC6BB5" w:rsidR="002049B9">
        <w:rPr>
          <w:i/>
          <w:iCs/>
          <w:color w:val="000000" w:themeColor="text1"/>
          <w:shd w:val="clear" w:color="auto" w:fill="FFFFFF"/>
        </w:rPr>
        <w:t xml:space="preserve">See </w:t>
      </w:r>
      <w:r w:rsidRPr="00BC6BB5" w:rsidR="002049B9">
        <w:rPr>
          <w:i/>
          <w:iCs/>
          <w:color w:val="000000" w:themeColor="text1"/>
        </w:rPr>
        <w:t>Hospers Grant PN</w:t>
      </w:r>
      <w:r w:rsidRPr="00BC6BB5" w:rsidR="002049B9">
        <w:rPr>
          <w:color w:val="000000" w:themeColor="text1"/>
        </w:rPr>
        <w:t>, 33 FCC Rcd at 8090, n.20.</w:t>
      </w:r>
    </w:p>
  </w:footnote>
  <w:footnote w:id="16">
    <w:p w:rsidR="00475AE7" w:rsidP="002D7CCE" w14:paraId="46BE575A" w14:textId="77777777">
      <w:pPr>
        <w:pStyle w:val="FootnoteText"/>
      </w:pPr>
      <w:r>
        <w:rPr>
          <w:rStyle w:val="FootnoteReference"/>
        </w:rPr>
        <w:footnoteRef/>
      </w:r>
      <w:r>
        <w:t xml:space="preserve"> </w:t>
      </w:r>
      <w:r w:rsidRPr="008271E2">
        <w:rPr>
          <w:i/>
          <w:iCs/>
        </w:rPr>
        <w:t>See</w:t>
      </w:r>
      <w:r>
        <w:t xml:space="preserve"> 47 U.S.C. § 214(a); 47 CFR § 63.03.</w:t>
      </w:r>
    </w:p>
  </w:footnote>
  <w:footnote w:id="17">
    <w:p w:rsidR="005A445D" w:rsidRPr="00F46420" w:rsidP="005A445D" w14:paraId="23E992A9" w14:textId="4EDFEB2B">
      <w:pPr>
        <w:pStyle w:val="FootnoteText"/>
      </w:pPr>
      <w:r w:rsidRPr="00F46420">
        <w:rPr>
          <w:rStyle w:val="FootnoteReference"/>
          <w:sz w:val="20"/>
        </w:rPr>
        <w:footnoteRef/>
      </w:r>
      <w:r w:rsidRPr="00F46420">
        <w:t xml:space="preserve"> </w:t>
      </w:r>
      <w:r w:rsidRPr="00F46420">
        <w:rPr>
          <w:snapToGrid w:val="0"/>
          <w:kern w:val="28"/>
        </w:rPr>
        <w:t>The</w:t>
      </w:r>
      <w:r w:rsidRPr="00F46420">
        <w:t xml:space="preserve"> Applicants provide incumbent LEC services in their respective study areas.  Within 30 days of closing the proposed transaction</w:t>
      </w:r>
      <w:r>
        <w:t>s</w:t>
      </w:r>
      <w:r w:rsidRPr="00F46420">
        <w:t xml:space="preserve">, they must notify USAC so that it can make any appropriate changes to the </w:t>
      </w:r>
      <w:r w:rsidRPr="00F46420" w:rsidR="00872701">
        <w:t>High</w:t>
      </w:r>
      <w:r w:rsidR="00872701">
        <w:t xml:space="preserve"> </w:t>
      </w:r>
      <w:r w:rsidRPr="00F46420" w:rsidR="00872701">
        <w:t>Cost</w:t>
      </w:r>
      <w:r w:rsidRPr="00F46420">
        <w:t xml:space="preserve"> Universal Broadband (HUBB) on-line location reporting portal for universal service recipients.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RPr="009838BC" w:rsidP="009838BC" w14:paraId="696E9A2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RPr="00A866AC" w:rsidP="009838BC" w14:paraId="074BB191" w14:textId="3A8BF392">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75AE7" w:rsidP="009838BC" w14:textId="77777777">
                          <w:pPr>
                            <w:rPr>
                              <w:rFonts w:ascii="Arial" w:hAnsi="Arial"/>
                              <w:b/>
                            </w:rPr>
                          </w:pPr>
                          <w:r>
                            <w:rPr>
                              <w:rFonts w:ascii="Arial" w:hAnsi="Arial"/>
                              <w:b/>
                            </w:rPr>
                            <w:t>Federal Communications Commission</w:t>
                          </w:r>
                        </w:p>
                        <w:p w:rsidR="00475AE7" w:rsidP="009838BC" w14:textId="77777777">
                          <w:pPr>
                            <w:rPr>
                              <w:rFonts w:ascii="Arial" w:hAnsi="Arial"/>
                              <w:b/>
                            </w:rPr>
                          </w:pPr>
                          <w:r>
                            <w:rPr>
                              <w:rFonts w:ascii="Arial" w:hAnsi="Arial"/>
                              <w:b/>
                            </w:rPr>
                            <w:t>45 L St., N.E.</w:t>
                          </w:r>
                        </w:p>
                        <w:p w:rsidR="00475AE7"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75AE7" w:rsidP="009838BC" w14:paraId="55ED7468" w14:textId="77777777">
                    <w:pPr>
                      <w:rPr>
                        <w:rFonts w:ascii="Arial" w:hAnsi="Arial"/>
                        <w:b/>
                      </w:rPr>
                    </w:pPr>
                    <w:r>
                      <w:rPr>
                        <w:rFonts w:ascii="Arial" w:hAnsi="Arial"/>
                        <w:b/>
                      </w:rPr>
                      <w:t>Federal Communications Commission</w:t>
                    </w:r>
                  </w:p>
                  <w:p w:rsidR="00475AE7" w:rsidP="009838BC" w14:paraId="1197AA40" w14:textId="77777777">
                    <w:pPr>
                      <w:rPr>
                        <w:rFonts w:ascii="Arial" w:hAnsi="Arial"/>
                        <w:b/>
                      </w:rPr>
                    </w:pPr>
                    <w:r>
                      <w:rPr>
                        <w:rFonts w:ascii="Arial" w:hAnsi="Arial"/>
                        <w:b/>
                      </w:rPr>
                      <w:t>45 L St., N.E.</w:t>
                    </w:r>
                  </w:p>
                  <w:p w:rsidR="00475AE7" w:rsidP="009838BC" w14:paraId="026B256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5372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75796D0F">
      <w:rPr>
        <w:rFonts w:ascii="Arial" w:hAnsi="Arial" w:cs="Arial"/>
        <w:b/>
        <w:bCs/>
        <w:sz w:val="96"/>
        <w:szCs w:val="96"/>
      </w:rPr>
      <w:t>PUBLIC NOTICE</w:t>
    </w:r>
  </w:p>
  <w:p w:rsidR="00475AE7" w:rsidRPr="00357D50" w:rsidP="009838BC" w14:paraId="7DE7C21E" w14:textId="3212E541">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75AE7" w:rsidP="009838BC" w14:textId="77777777">
                          <w:pPr>
                            <w:spacing w:before="40"/>
                            <w:jc w:val="right"/>
                            <w:rPr>
                              <w:rFonts w:ascii="Arial" w:hAnsi="Arial"/>
                              <w:b/>
                              <w:sz w:val="16"/>
                            </w:rPr>
                          </w:pPr>
                          <w:r>
                            <w:rPr>
                              <w:rFonts w:ascii="Arial" w:hAnsi="Arial"/>
                              <w:b/>
                              <w:sz w:val="16"/>
                            </w:rPr>
                            <w:t>News Media Information 202 / 418-0500</w:t>
                          </w:r>
                        </w:p>
                        <w:p w:rsidR="00475AE7" w:rsidP="009838BC"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475AE7"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475AE7" w:rsidP="009838BC" w14:paraId="1D8AF2F2" w14:textId="77777777">
                    <w:pPr>
                      <w:spacing w:before="40"/>
                      <w:jc w:val="right"/>
                      <w:rPr>
                        <w:rFonts w:ascii="Arial" w:hAnsi="Arial"/>
                        <w:b/>
                        <w:sz w:val="16"/>
                      </w:rPr>
                    </w:pPr>
                    <w:r>
                      <w:rPr>
                        <w:rFonts w:ascii="Arial" w:hAnsi="Arial"/>
                        <w:b/>
                        <w:sz w:val="16"/>
                      </w:rPr>
                      <w:t>News Media Information 202 / 418-0500</w:t>
                    </w:r>
                  </w:p>
                  <w:p w:rsidR="00475AE7" w:rsidP="009838BC" w14:paraId="7696F4F1"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475AE7" w:rsidP="009838BC" w14:paraId="183FC940" w14:textId="77777777">
                    <w:pPr>
                      <w:jc w:val="right"/>
                    </w:pPr>
                  </w:p>
                </w:txbxContent>
              </v:textbox>
            </v:shape>
          </w:pict>
        </mc:Fallback>
      </mc:AlternateContent>
    </w:r>
  </w:p>
  <w:p w:rsidR="00475AE7" w:rsidRPr="009838BC" w:rsidP="009838BC" w14:paraId="3F0EECD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09A3"/>
    <w:rsid w:val="000025FE"/>
    <w:rsid w:val="000072CE"/>
    <w:rsid w:val="00013A8B"/>
    <w:rsid w:val="000157A9"/>
    <w:rsid w:val="00016BF1"/>
    <w:rsid w:val="00021252"/>
    <w:rsid w:val="00021445"/>
    <w:rsid w:val="00023E9D"/>
    <w:rsid w:val="000326B7"/>
    <w:rsid w:val="00036039"/>
    <w:rsid w:val="00037F90"/>
    <w:rsid w:val="000418EE"/>
    <w:rsid w:val="00044FC2"/>
    <w:rsid w:val="0004637E"/>
    <w:rsid w:val="000505D6"/>
    <w:rsid w:val="000578D9"/>
    <w:rsid w:val="000654FE"/>
    <w:rsid w:val="0007304F"/>
    <w:rsid w:val="000875BF"/>
    <w:rsid w:val="00090879"/>
    <w:rsid w:val="00095E72"/>
    <w:rsid w:val="00096D8C"/>
    <w:rsid w:val="000A15E0"/>
    <w:rsid w:val="000A43AA"/>
    <w:rsid w:val="000A719C"/>
    <w:rsid w:val="000B206F"/>
    <w:rsid w:val="000B3A1F"/>
    <w:rsid w:val="000C0B65"/>
    <w:rsid w:val="000D50EB"/>
    <w:rsid w:val="000D5BC1"/>
    <w:rsid w:val="000E340C"/>
    <w:rsid w:val="000E3D42"/>
    <w:rsid w:val="000E5884"/>
    <w:rsid w:val="000E6601"/>
    <w:rsid w:val="000F248A"/>
    <w:rsid w:val="000F3EAA"/>
    <w:rsid w:val="000F70F5"/>
    <w:rsid w:val="000F7336"/>
    <w:rsid w:val="000F7AFB"/>
    <w:rsid w:val="00114C73"/>
    <w:rsid w:val="00116C3F"/>
    <w:rsid w:val="00122BD5"/>
    <w:rsid w:val="0012361D"/>
    <w:rsid w:val="00125C60"/>
    <w:rsid w:val="001330FF"/>
    <w:rsid w:val="001415BA"/>
    <w:rsid w:val="00144A2D"/>
    <w:rsid w:val="001539F3"/>
    <w:rsid w:val="001541A8"/>
    <w:rsid w:val="00154EB8"/>
    <w:rsid w:val="00161259"/>
    <w:rsid w:val="00164F1D"/>
    <w:rsid w:val="00164FFA"/>
    <w:rsid w:val="00171F2B"/>
    <w:rsid w:val="001807A4"/>
    <w:rsid w:val="00181174"/>
    <w:rsid w:val="001975FA"/>
    <w:rsid w:val="001979D9"/>
    <w:rsid w:val="001A0E9C"/>
    <w:rsid w:val="001A6361"/>
    <w:rsid w:val="001B158F"/>
    <w:rsid w:val="001C4655"/>
    <w:rsid w:val="001D052E"/>
    <w:rsid w:val="001D0A43"/>
    <w:rsid w:val="001D6BCF"/>
    <w:rsid w:val="001E01CA"/>
    <w:rsid w:val="001E397D"/>
    <w:rsid w:val="001E410D"/>
    <w:rsid w:val="001F1CB2"/>
    <w:rsid w:val="001F1FC6"/>
    <w:rsid w:val="001F1FF1"/>
    <w:rsid w:val="001F3582"/>
    <w:rsid w:val="001F5903"/>
    <w:rsid w:val="001F731B"/>
    <w:rsid w:val="002049B9"/>
    <w:rsid w:val="00204D99"/>
    <w:rsid w:val="002060D9"/>
    <w:rsid w:val="00206137"/>
    <w:rsid w:val="002078DE"/>
    <w:rsid w:val="00207939"/>
    <w:rsid w:val="00215AF2"/>
    <w:rsid w:val="0021655B"/>
    <w:rsid w:val="00224DB8"/>
    <w:rsid w:val="0022664E"/>
    <w:rsid w:val="00226822"/>
    <w:rsid w:val="00227E61"/>
    <w:rsid w:val="002334CD"/>
    <w:rsid w:val="00240A9F"/>
    <w:rsid w:val="00242F44"/>
    <w:rsid w:val="00245087"/>
    <w:rsid w:val="002456F6"/>
    <w:rsid w:val="0025072B"/>
    <w:rsid w:val="0025082C"/>
    <w:rsid w:val="00252AB1"/>
    <w:rsid w:val="00253923"/>
    <w:rsid w:val="00254E19"/>
    <w:rsid w:val="00256D48"/>
    <w:rsid w:val="002572DC"/>
    <w:rsid w:val="00260594"/>
    <w:rsid w:val="00264313"/>
    <w:rsid w:val="00265992"/>
    <w:rsid w:val="00273BAD"/>
    <w:rsid w:val="00276C04"/>
    <w:rsid w:val="00280975"/>
    <w:rsid w:val="00285017"/>
    <w:rsid w:val="00286468"/>
    <w:rsid w:val="002A03DD"/>
    <w:rsid w:val="002A2D2E"/>
    <w:rsid w:val="002A6D6A"/>
    <w:rsid w:val="002B0207"/>
    <w:rsid w:val="002B0351"/>
    <w:rsid w:val="002B4C9C"/>
    <w:rsid w:val="002C1AF9"/>
    <w:rsid w:val="002D447E"/>
    <w:rsid w:val="002D6286"/>
    <w:rsid w:val="002D62DD"/>
    <w:rsid w:val="002D7A48"/>
    <w:rsid w:val="002D7CCE"/>
    <w:rsid w:val="002F2339"/>
    <w:rsid w:val="002F4819"/>
    <w:rsid w:val="002F7221"/>
    <w:rsid w:val="00307030"/>
    <w:rsid w:val="0031328E"/>
    <w:rsid w:val="0032799C"/>
    <w:rsid w:val="00327A84"/>
    <w:rsid w:val="00343749"/>
    <w:rsid w:val="00344102"/>
    <w:rsid w:val="00351E93"/>
    <w:rsid w:val="00353A57"/>
    <w:rsid w:val="00357D50"/>
    <w:rsid w:val="003602FC"/>
    <w:rsid w:val="00377C00"/>
    <w:rsid w:val="00381FE8"/>
    <w:rsid w:val="00385229"/>
    <w:rsid w:val="003925DC"/>
    <w:rsid w:val="003942C1"/>
    <w:rsid w:val="00395F38"/>
    <w:rsid w:val="0039668F"/>
    <w:rsid w:val="003A3FC6"/>
    <w:rsid w:val="003A49D1"/>
    <w:rsid w:val="003A67F6"/>
    <w:rsid w:val="003B0550"/>
    <w:rsid w:val="003B06B7"/>
    <w:rsid w:val="003B28FF"/>
    <w:rsid w:val="003B366F"/>
    <w:rsid w:val="003B694F"/>
    <w:rsid w:val="003C2436"/>
    <w:rsid w:val="003C47B1"/>
    <w:rsid w:val="003C589A"/>
    <w:rsid w:val="003D2256"/>
    <w:rsid w:val="003E7B6C"/>
    <w:rsid w:val="003F0EF2"/>
    <w:rsid w:val="003F171C"/>
    <w:rsid w:val="00402A03"/>
    <w:rsid w:val="00403231"/>
    <w:rsid w:val="00412582"/>
    <w:rsid w:val="00412FC5"/>
    <w:rsid w:val="00413423"/>
    <w:rsid w:val="00420182"/>
    <w:rsid w:val="00422276"/>
    <w:rsid w:val="00422B9A"/>
    <w:rsid w:val="004242F1"/>
    <w:rsid w:val="004243FE"/>
    <w:rsid w:val="00432406"/>
    <w:rsid w:val="0043254C"/>
    <w:rsid w:val="00437716"/>
    <w:rsid w:val="00441312"/>
    <w:rsid w:val="00445A00"/>
    <w:rsid w:val="00451B0F"/>
    <w:rsid w:val="0046125F"/>
    <w:rsid w:val="00462520"/>
    <w:rsid w:val="00466B8E"/>
    <w:rsid w:val="0046783E"/>
    <w:rsid w:val="00470E9D"/>
    <w:rsid w:val="00475AE7"/>
    <w:rsid w:val="004806FB"/>
    <w:rsid w:val="004872D0"/>
    <w:rsid w:val="00487524"/>
    <w:rsid w:val="004876D1"/>
    <w:rsid w:val="004903BF"/>
    <w:rsid w:val="004928F5"/>
    <w:rsid w:val="004943CA"/>
    <w:rsid w:val="0049488B"/>
    <w:rsid w:val="00495252"/>
    <w:rsid w:val="00496106"/>
    <w:rsid w:val="004A660E"/>
    <w:rsid w:val="004B088F"/>
    <w:rsid w:val="004B091D"/>
    <w:rsid w:val="004B6492"/>
    <w:rsid w:val="004C12D0"/>
    <w:rsid w:val="004C2EE3"/>
    <w:rsid w:val="004C3FFB"/>
    <w:rsid w:val="004C70FB"/>
    <w:rsid w:val="004D22C3"/>
    <w:rsid w:val="004E4A22"/>
    <w:rsid w:val="004E72B7"/>
    <w:rsid w:val="004F35CA"/>
    <w:rsid w:val="004F4239"/>
    <w:rsid w:val="004F60EC"/>
    <w:rsid w:val="004F737A"/>
    <w:rsid w:val="005053A7"/>
    <w:rsid w:val="005106C5"/>
    <w:rsid w:val="00511968"/>
    <w:rsid w:val="00516819"/>
    <w:rsid w:val="00516C98"/>
    <w:rsid w:val="0052214B"/>
    <w:rsid w:val="00524B7D"/>
    <w:rsid w:val="00525F91"/>
    <w:rsid w:val="00536CF8"/>
    <w:rsid w:val="0054043D"/>
    <w:rsid w:val="0054650E"/>
    <w:rsid w:val="00550354"/>
    <w:rsid w:val="0055614C"/>
    <w:rsid w:val="005614FA"/>
    <w:rsid w:val="00563C1F"/>
    <w:rsid w:val="00564FFA"/>
    <w:rsid w:val="00577322"/>
    <w:rsid w:val="00577BFF"/>
    <w:rsid w:val="00581C61"/>
    <w:rsid w:val="00582BAF"/>
    <w:rsid w:val="00595381"/>
    <w:rsid w:val="005A0BF4"/>
    <w:rsid w:val="005A3062"/>
    <w:rsid w:val="005A445D"/>
    <w:rsid w:val="005A4610"/>
    <w:rsid w:val="005B5B7B"/>
    <w:rsid w:val="005C24D8"/>
    <w:rsid w:val="005C680A"/>
    <w:rsid w:val="005C7EF4"/>
    <w:rsid w:val="005D0403"/>
    <w:rsid w:val="005D0A49"/>
    <w:rsid w:val="005E347C"/>
    <w:rsid w:val="005E5F6A"/>
    <w:rsid w:val="005E74A9"/>
    <w:rsid w:val="00603CBE"/>
    <w:rsid w:val="00607BA5"/>
    <w:rsid w:val="006126AF"/>
    <w:rsid w:val="00615C48"/>
    <w:rsid w:val="00620DBB"/>
    <w:rsid w:val="00620F82"/>
    <w:rsid w:val="00621457"/>
    <w:rsid w:val="00626EB6"/>
    <w:rsid w:val="006275B0"/>
    <w:rsid w:val="00631B71"/>
    <w:rsid w:val="006353A3"/>
    <w:rsid w:val="00637E27"/>
    <w:rsid w:val="00642E7B"/>
    <w:rsid w:val="00643878"/>
    <w:rsid w:val="00655D03"/>
    <w:rsid w:val="00664AB4"/>
    <w:rsid w:val="006650A4"/>
    <w:rsid w:val="006665E6"/>
    <w:rsid w:val="00675E8A"/>
    <w:rsid w:val="00683F84"/>
    <w:rsid w:val="00684738"/>
    <w:rsid w:val="006953EE"/>
    <w:rsid w:val="006A6A81"/>
    <w:rsid w:val="006B5D0A"/>
    <w:rsid w:val="006B6F46"/>
    <w:rsid w:val="006C47FA"/>
    <w:rsid w:val="006C7A94"/>
    <w:rsid w:val="006D40DD"/>
    <w:rsid w:val="006D6AFD"/>
    <w:rsid w:val="006D760F"/>
    <w:rsid w:val="006D7B2B"/>
    <w:rsid w:val="006E26AF"/>
    <w:rsid w:val="006E57B3"/>
    <w:rsid w:val="006F1183"/>
    <w:rsid w:val="006F4636"/>
    <w:rsid w:val="006F7393"/>
    <w:rsid w:val="00701094"/>
    <w:rsid w:val="007019FF"/>
    <w:rsid w:val="0070224F"/>
    <w:rsid w:val="00703BB5"/>
    <w:rsid w:val="0070486C"/>
    <w:rsid w:val="007115F7"/>
    <w:rsid w:val="007178B4"/>
    <w:rsid w:val="00717B07"/>
    <w:rsid w:val="00725674"/>
    <w:rsid w:val="00726F80"/>
    <w:rsid w:val="00731C3E"/>
    <w:rsid w:val="00735B84"/>
    <w:rsid w:val="00740AD9"/>
    <w:rsid w:val="00762FC4"/>
    <w:rsid w:val="007668C8"/>
    <w:rsid w:val="00770F47"/>
    <w:rsid w:val="00780E7D"/>
    <w:rsid w:val="00785689"/>
    <w:rsid w:val="0079754B"/>
    <w:rsid w:val="007A0B06"/>
    <w:rsid w:val="007A1E6D"/>
    <w:rsid w:val="007B1170"/>
    <w:rsid w:val="007B1F0E"/>
    <w:rsid w:val="007B72F9"/>
    <w:rsid w:val="007C2228"/>
    <w:rsid w:val="007C4371"/>
    <w:rsid w:val="007C5078"/>
    <w:rsid w:val="007C53B3"/>
    <w:rsid w:val="007C674D"/>
    <w:rsid w:val="007D3761"/>
    <w:rsid w:val="007D4842"/>
    <w:rsid w:val="007D6054"/>
    <w:rsid w:val="007F0701"/>
    <w:rsid w:val="007F0DBB"/>
    <w:rsid w:val="007F29ED"/>
    <w:rsid w:val="007F400A"/>
    <w:rsid w:val="007F40C5"/>
    <w:rsid w:val="007F5818"/>
    <w:rsid w:val="00800267"/>
    <w:rsid w:val="00801AAA"/>
    <w:rsid w:val="00801FDC"/>
    <w:rsid w:val="008068FD"/>
    <w:rsid w:val="00822CE0"/>
    <w:rsid w:val="00825E7D"/>
    <w:rsid w:val="008271E2"/>
    <w:rsid w:val="008275B8"/>
    <w:rsid w:val="0083155B"/>
    <w:rsid w:val="008338CE"/>
    <w:rsid w:val="00837C62"/>
    <w:rsid w:val="00841404"/>
    <w:rsid w:val="00841AB1"/>
    <w:rsid w:val="00844109"/>
    <w:rsid w:val="0084412A"/>
    <w:rsid w:val="00845944"/>
    <w:rsid w:val="00851E64"/>
    <w:rsid w:val="008550B5"/>
    <w:rsid w:val="0086068D"/>
    <w:rsid w:val="00861958"/>
    <w:rsid w:val="008670A1"/>
    <w:rsid w:val="00872701"/>
    <w:rsid w:val="008759A0"/>
    <w:rsid w:val="00880549"/>
    <w:rsid w:val="008823A6"/>
    <w:rsid w:val="00885346"/>
    <w:rsid w:val="00890537"/>
    <w:rsid w:val="008928B0"/>
    <w:rsid w:val="00892BEE"/>
    <w:rsid w:val="00893955"/>
    <w:rsid w:val="008969B3"/>
    <w:rsid w:val="0089722C"/>
    <w:rsid w:val="008A72A2"/>
    <w:rsid w:val="008B3790"/>
    <w:rsid w:val="008B3951"/>
    <w:rsid w:val="008B3DC7"/>
    <w:rsid w:val="008B51AD"/>
    <w:rsid w:val="008C22FD"/>
    <w:rsid w:val="008C2513"/>
    <w:rsid w:val="008D327D"/>
    <w:rsid w:val="008D5EA0"/>
    <w:rsid w:val="008D6240"/>
    <w:rsid w:val="008E5D2B"/>
    <w:rsid w:val="008F58CF"/>
    <w:rsid w:val="0090545D"/>
    <w:rsid w:val="00910F12"/>
    <w:rsid w:val="0091539A"/>
    <w:rsid w:val="0091650F"/>
    <w:rsid w:val="00923F59"/>
    <w:rsid w:val="00925ACF"/>
    <w:rsid w:val="00926397"/>
    <w:rsid w:val="00926503"/>
    <w:rsid w:val="0092692D"/>
    <w:rsid w:val="00926C1D"/>
    <w:rsid w:val="00930ECF"/>
    <w:rsid w:val="0093267F"/>
    <w:rsid w:val="009432A3"/>
    <w:rsid w:val="00943407"/>
    <w:rsid w:val="00943B23"/>
    <w:rsid w:val="0095053C"/>
    <w:rsid w:val="0095057C"/>
    <w:rsid w:val="00967271"/>
    <w:rsid w:val="009713DD"/>
    <w:rsid w:val="00976129"/>
    <w:rsid w:val="009801F8"/>
    <w:rsid w:val="009838BC"/>
    <w:rsid w:val="00983EE2"/>
    <w:rsid w:val="00986B91"/>
    <w:rsid w:val="00987966"/>
    <w:rsid w:val="009901F7"/>
    <w:rsid w:val="009A65B8"/>
    <w:rsid w:val="009A685A"/>
    <w:rsid w:val="009B3988"/>
    <w:rsid w:val="009B63B0"/>
    <w:rsid w:val="009C2EC9"/>
    <w:rsid w:val="009C448A"/>
    <w:rsid w:val="009C73EF"/>
    <w:rsid w:val="009D175D"/>
    <w:rsid w:val="009D36AB"/>
    <w:rsid w:val="009D708B"/>
    <w:rsid w:val="009E0A80"/>
    <w:rsid w:val="009F1761"/>
    <w:rsid w:val="009F71A2"/>
    <w:rsid w:val="00A03FAC"/>
    <w:rsid w:val="00A06E7E"/>
    <w:rsid w:val="00A13DDC"/>
    <w:rsid w:val="00A164EA"/>
    <w:rsid w:val="00A22D46"/>
    <w:rsid w:val="00A351CE"/>
    <w:rsid w:val="00A40309"/>
    <w:rsid w:val="00A42060"/>
    <w:rsid w:val="00A45F4F"/>
    <w:rsid w:val="00A51758"/>
    <w:rsid w:val="00A600A9"/>
    <w:rsid w:val="00A61E25"/>
    <w:rsid w:val="00A6263A"/>
    <w:rsid w:val="00A6329B"/>
    <w:rsid w:val="00A6538C"/>
    <w:rsid w:val="00A663DB"/>
    <w:rsid w:val="00A7404D"/>
    <w:rsid w:val="00A77268"/>
    <w:rsid w:val="00A84BCC"/>
    <w:rsid w:val="00A8620D"/>
    <w:rsid w:val="00A86681"/>
    <w:rsid w:val="00A866AC"/>
    <w:rsid w:val="00A90ABC"/>
    <w:rsid w:val="00A922E8"/>
    <w:rsid w:val="00A92F17"/>
    <w:rsid w:val="00A950E2"/>
    <w:rsid w:val="00A95C94"/>
    <w:rsid w:val="00AA52F2"/>
    <w:rsid w:val="00AA55B7"/>
    <w:rsid w:val="00AA5B9E"/>
    <w:rsid w:val="00AB2109"/>
    <w:rsid w:val="00AB2407"/>
    <w:rsid w:val="00AB53DF"/>
    <w:rsid w:val="00AB61ED"/>
    <w:rsid w:val="00AB7889"/>
    <w:rsid w:val="00AD50D4"/>
    <w:rsid w:val="00AD62E9"/>
    <w:rsid w:val="00AE3C92"/>
    <w:rsid w:val="00AE47E9"/>
    <w:rsid w:val="00AE522A"/>
    <w:rsid w:val="00AF2B5C"/>
    <w:rsid w:val="00B07E5C"/>
    <w:rsid w:val="00B17836"/>
    <w:rsid w:val="00B17B13"/>
    <w:rsid w:val="00B31B86"/>
    <w:rsid w:val="00B326E3"/>
    <w:rsid w:val="00B3351F"/>
    <w:rsid w:val="00B36901"/>
    <w:rsid w:val="00B43169"/>
    <w:rsid w:val="00B44339"/>
    <w:rsid w:val="00B47261"/>
    <w:rsid w:val="00B61C60"/>
    <w:rsid w:val="00B7124D"/>
    <w:rsid w:val="00B721C8"/>
    <w:rsid w:val="00B73C0C"/>
    <w:rsid w:val="00B74EB4"/>
    <w:rsid w:val="00B811F7"/>
    <w:rsid w:val="00B82285"/>
    <w:rsid w:val="00B848FE"/>
    <w:rsid w:val="00B84BD2"/>
    <w:rsid w:val="00B905AA"/>
    <w:rsid w:val="00B959E6"/>
    <w:rsid w:val="00BA1383"/>
    <w:rsid w:val="00BA4A23"/>
    <w:rsid w:val="00BA5DC6"/>
    <w:rsid w:val="00BA6196"/>
    <w:rsid w:val="00BB0D65"/>
    <w:rsid w:val="00BB2DCC"/>
    <w:rsid w:val="00BB4022"/>
    <w:rsid w:val="00BC6BB5"/>
    <w:rsid w:val="00BC6D8C"/>
    <w:rsid w:val="00BD0A9B"/>
    <w:rsid w:val="00BD1F31"/>
    <w:rsid w:val="00BD38DB"/>
    <w:rsid w:val="00BD4B59"/>
    <w:rsid w:val="00BD50BA"/>
    <w:rsid w:val="00BD5994"/>
    <w:rsid w:val="00C01B19"/>
    <w:rsid w:val="00C07140"/>
    <w:rsid w:val="00C077E1"/>
    <w:rsid w:val="00C14E8F"/>
    <w:rsid w:val="00C16AF2"/>
    <w:rsid w:val="00C2475E"/>
    <w:rsid w:val="00C24DD2"/>
    <w:rsid w:val="00C27859"/>
    <w:rsid w:val="00C31891"/>
    <w:rsid w:val="00C34006"/>
    <w:rsid w:val="00C35272"/>
    <w:rsid w:val="00C360F5"/>
    <w:rsid w:val="00C367FB"/>
    <w:rsid w:val="00C41A27"/>
    <w:rsid w:val="00C426B1"/>
    <w:rsid w:val="00C43525"/>
    <w:rsid w:val="00C4665E"/>
    <w:rsid w:val="00C509AC"/>
    <w:rsid w:val="00C50A2E"/>
    <w:rsid w:val="00C61BB7"/>
    <w:rsid w:val="00C70F5B"/>
    <w:rsid w:val="00C7200D"/>
    <w:rsid w:val="00C7222F"/>
    <w:rsid w:val="00C82B6B"/>
    <w:rsid w:val="00C90D6A"/>
    <w:rsid w:val="00C96CB6"/>
    <w:rsid w:val="00CB14D4"/>
    <w:rsid w:val="00CB4801"/>
    <w:rsid w:val="00CC3745"/>
    <w:rsid w:val="00CC4904"/>
    <w:rsid w:val="00CC60EB"/>
    <w:rsid w:val="00CC6A10"/>
    <w:rsid w:val="00CC72B6"/>
    <w:rsid w:val="00CD5655"/>
    <w:rsid w:val="00CE359D"/>
    <w:rsid w:val="00CF1A56"/>
    <w:rsid w:val="00D0218D"/>
    <w:rsid w:val="00D04868"/>
    <w:rsid w:val="00D06FA2"/>
    <w:rsid w:val="00D12B3C"/>
    <w:rsid w:val="00D13707"/>
    <w:rsid w:val="00D216CD"/>
    <w:rsid w:val="00D238CC"/>
    <w:rsid w:val="00D26EF4"/>
    <w:rsid w:val="00D351CC"/>
    <w:rsid w:val="00D41B3B"/>
    <w:rsid w:val="00D51481"/>
    <w:rsid w:val="00D53ADF"/>
    <w:rsid w:val="00D6557E"/>
    <w:rsid w:val="00D74AEC"/>
    <w:rsid w:val="00D76953"/>
    <w:rsid w:val="00D806AA"/>
    <w:rsid w:val="00D8081B"/>
    <w:rsid w:val="00D8472B"/>
    <w:rsid w:val="00D84C22"/>
    <w:rsid w:val="00D851AB"/>
    <w:rsid w:val="00D85EF5"/>
    <w:rsid w:val="00D90DAC"/>
    <w:rsid w:val="00DA07AA"/>
    <w:rsid w:val="00DA2529"/>
    <w:rsid w:val="00DA455F"/>
    <w:rsid w:val="00DA77F0"/>
    <w:rsid w:val="00DB130A"/>
    <w:rsid w:val="00DB36BF"/>
    <w:rsid w:val="00DB54CA"/>
    <w:rsid w:val="00DC10A1"/>
    <w:rsid w:val="00DC44DE"/>
    <w:rsid w:val="00DC53B1"/>
    <w:rsid w:val="00DC655F"/>
    <w:rsid w:val="00DC7BAE"/>
    <w:rsid w:val="00DD0336"/>
    <w:rsid w:val="00DD0F22"/>
    <w:rsid w:val="00DD6C7F"/>
    <w:rsid w:val="00DD7EBD"/>
    <w:rsid w:val="00DE0D04"/>
    <w:rsid w:val="00DE4B07"/>
    <w:rsid w:val="00DF1B24"/>
    <w:rsid w:val="00DF4E87"/>
    <w:rsid w:val="00DF62B6"/>
    <w:rsid w:val="00E04D5A"/>
    <w:rsid w:val="00E07225"/>
    <w:rsid w:val="00E155B7"/>
    <w:rsid w:val="00E15AD6"/>
    <w:rsid w:val="00E15F88"/>
    <w:rsid w:val="00E17865"/>
    <w:rsid w:val="00E262F3"/>
    <w:rsid w:val="00E504A8"/>
    <w:rsid w:val="00E50F11"/>
    <w:rsid w:val="00E5409F"/>
    <w:rsid w:val="00E61137"/>
    <w:rsid w:val="00E63E9C"/>
    <w:rsid w:val="00E65904"/>
    <w:rsid w:val="00E70C9B"/>
    <w:rsid w:val="00E72298"/>
    <w:rsid w:val="00E73463"/>
    <w:rsid w:val="00E743F2"/>
    <w:rsid w:val="00E77864"/>
    <w:rsid w:val="00E85276"/>
    <w:rsid w:val="00E87847"/>
    <w:rsid w:val="00E96AC2"/>
    <w:rsid w:val="00E96B4B"/>
    <w:rsid w:val="00E9794F"/>
    <w:rsid w:val="00EA003B"/>
    <w:rsid w:val="00EA1D70"/>
    <w:rsid w:val="00EA5DC5"/>
    <w:rsid w:val="00EB08CE"/>
    <w:rsid w:val="00EB2C44"/>
    <w:rsid w:val="00EC0185"/>
    <w:rsid w:val="00EC0BF7"/>
    <w:rsid w:val="00EC195C"/>
    <w:rsid w:val="00EC2DFD"/>
    <w:rsid w:val="00ED05B6"/>
    <w:rsid w:val="00ED33DB"/>
    <w:rsid w:val="00ED6F96"/>
    <w:rsid w:val="00EE0028"/>
    <w:rsid w:val="00EE6ADD"/>
    <w:rsid w:val="00EF5C69"/>
    <w:rsid w:val="00EF5E4D"/>
    <w:rsid w:val="00F021FA"/>
    <w:rsid w:val="00F03EE6"/>
    <w:rsid w:val="00F051B1"/>
    <w:rsid w:val="00F11F96"/>
    <w:rsid w:val="00F13114"/>
    <w:rsid w:val="00F13E8E"/>
    <w:rsid w:val="00F14D69"/>
    <w:rsid w:val="00F1632C"/>
    <w:rsid w:val="00F304C0"/>
    <w:rsid w:val="00F311FC"/>
    <w:rsid w:val="00F37BD3"/>
    <w:rsid w:val="00F446CC"/>
    <w:rsid w:val="00F46420"/>
    <w:rsid w:val="00F5223B"/>
    <w:rsid w:val="00F57ACA"/>
    <w:rsid w:val="00F62E97"/>
    <w:rsid w:val="00F64209"/>
    <w:rsid w:val="00F65711"/>
    <w:rsid w:val="00F66D37"/>
    <w:rsid w:val="00F72B31"/>
    <w:rsid w:val="00F73399"/>
    <w:rsid w:val="00F7410E"/>
    <w:rsid w:val="00F84F68"/>
    <w:rsid w:val="00F93BF5"/>
    <w:rsid w:val="00F96438"/>
    <w:rsid w:val="00F96F63"/>
    <w:rsid w:val="00F9742C"/>
    <w:rsid w:val="00FA3284"/>
    <w:rsid w:val="00FB3EDD"/>
    <w:rsid w:val="00FB6AC1"/>
    <w:rsid w:val="00FC392C"/>
    <w:rsid w:val="00FC565D"/>
    <w:rsid w:val="00FE1675"/>
    <w:rsid w:val="00FE56A1"/>
    <w:rsid w:val="00FF4199"/>
    <w:rsid w:val="00FF682A"/>
    <w:rsid w:val="00FF7A37"/>
    <w:rsid w:val="75796D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93E7FF8-3611-4E69-B5A0-9CC369B1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styleId="PlaceholderText">
    <w:name w:val="Placeholder Text"/>
    <w:uiPriority w:val="99"/>
    <w:semiHidden/>
    <w:rsid w:val="00377C00"/>
    <w:rPr>
      <w:color w:val="808080"/>
    </w:rPr>
  </w:style>
  <w:style w:type="paragraph" w:customStyle="1" w:styleId="Default">
    <w:name w:val="Default"/>
    <w:rsid w:val="000D50EB"/>
    <w:pPr>
      <w:autoSpaceDE w:val="0"/>
      <w:autoSpaceDN w:val="0"/>
      <w:adjustRightInd w:val="0"/>
    </w:pPr>
    <w:rPr>
      <w:color w:val="000000"/>
      <w:sz w:val="24"/>
      <w:szCs w:val="24"/>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9901F7"/>
  </w:style>
  <w:style w:type="paragraph" w:styleId="Revision">
    <w:name w:val="Revision"/>
    <w:hidden/>
    <w:uiPriority w:val="99"/>
    <w:semiHidden/>
    <w:rsid w:val="007019FF"/>
    <w:rPr>
      <w:snapToGrid w:val="0"/>
      <w:kern w:val="28"/>
      <w:sz w:val="22"/>
    </w:rPr>
  </w:style>
  <w:style w:type="character" w:styleId="Emphasis">
    <w:name w:val="Emphasis"/>
    <w:basedOn w:val="DefaultParagraphFont"/>
    <w:uiPriority w:val="20"/>
    <w:qFormat/>
    <w:rsid w:val="002049B9"/>
    <w:rPr>
      <w:i/>
      <w:iCs/>
    </w:rPr>
  </w:style>
  <w:style w:type="character" w:customStyle="1" w:styleId="cosearchterm">
    <w:name w:val="co_searchterm"/>
    <w:basedOn w:val="DefaultParagraphFont"/>
    <w:rsid w:val="002049B9"/>
  </w:style>
  <w:style w:type="character" w:customStyle="1" w:styleId="copinpointicon">
    <w:name w:val="co_pinpointicon"/>
    <w:basedOn w:val="DefaultParagraphFont"/>
    <w:rsid w:val="005B5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igh-cost/resources/tools/" TargetMode="External" /><Relationship Id="rId2" Type="http://schemas.openxmlformats.org/officeDocument/2006/relationships/hyperlink" Target="https://1.next.westlaw.com/Link/Document/FullText?findType=L&amp;pubNum=1000547&amp;cite=47CFRS69.605&amp;originatingDoc=Ie12d838d708211dfa7ada84b8dc24cbf&amp;refType=RB&amp;originationContext=document&amp;transitionType=DocumentItem&amp;contextData=(sc.Search)"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