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A40C6F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21E5091" w14:textId="77777777">
      <w:pPr>
        <w:pStyle w:val="StyleBoldCentered"/>
      </w:pPr>
      <w:r>
        <w:t>F</w:t>
      </w:r>
      <w:r>
        <w:rPr>
          <w:caps w:val="0"/>
        </w:rPr>
        <w:t>ederal Communications Commission</w:t>
      </w:r>
    </w:p>
    <w:p w:rsidR="004C2EE3" w:rsidP="00096D8C" w14:paraId="2005AC29" w14:textId="77777777">
      <w:pPr>
        <w:pStyle w:val="StyleBoldCentered"/>
      </w:pPr>
      <w:r>
        <w:rPr>
          <w:caps w:val="0"/>
        </w:rPr>
        <w:t>Washington, D.C. 20554</w:t>
      </w:r>
    </w:p>
    <w:p w:rsidR="004C2EE3" w:rsidP="0070224F" w14:paraId="14AA6070" w14:textId="77777777"/>
    <w:p w:rsidR="004C2EE3" w:rsidP="0070224F" w14:paraId="67425D5C" w14:textId="77777777"/>
    <w:tbl>
      <w:tblPr>
        <w:tblW w:w="0" w:type="auto"/>
        <w:tblLayout w:type="fixed"/>
        <w:tblLook w:val="0000"/>
      </w:tblPr>
      <w:tblGrid>
        <w:gridCol w:w="4698"/>
        <w:gridCol w:w="630"/>
        <w:gridCol w:w="4248"/>
      </w:tblGrid>
      <w:tr w14:paraId="42CFE7C7" w14:textId="77777777">
        <w:tblPrEx>
          <w:tblW w:w="0" w:type="auto"/>
          <w:tblLayout w:type="fixed"/>
          <w:tblLook w:val="0000"/>
        </w:tblPrEx>
        <w:tc>
          <w:tcPr>
            <w:tcW w:w="4698" w:type="dxa"/>
          </w:tcPr>
          <w:p w:rsidR="00997104" w:rsidP="007115F7" w14:paraId="50EB5BCF" w14:textId="77777777">
            <w:pPr>
              <w:tabs>
                <w:tab w:val="center" w:pos="4680"/>
              </w:tabs>
              <w:suppressAutoHyphens/>
              <w:rPr>
                <w:spacing w:val="-2"/>
              </w:rPr>
            </w:pPr>
            <w:r>
              <w:rPr>
                <w:spacing w:val="-2"/>
              </w:rPr>
              <w:t xml:space="preserve">In </w:t>
            </w:r>
            <w:r>
              <w:rPr>
                <w:spacing w:val="-2"/>
              </w:rPr>
              <w:t xml:space="preserve">re Applications of </w:t>
            </w:r>
          </w:p>
          <w:p w:rsidR="00997104" w:rsidP="007115F7" w14:paraId="2FA6E990" w14:textId="77777777">
            <w:pPr>
              <w:tabs>
                <w:tab w:val="center" w:pos="4680"/>
              </w:tabs>
              <w:suppressAutoHyphens/>
              <w:rPr>
                <w:spacing w:val="-2"/>
              </w:rPr>
            </w:pPr>
          </w:p>
          <w:p w:rsidR="003B69AE" w:rsidP="007115F7" w14:paraId="4611F2DA" w14:textId="04E4B379">
            <w:pPr>
              <w:tabs>
                <w:tab w:val="center" w:pos="4680"/>
              </w:tabs>
              <w:suppressAutoHyphens/>
              <w:rPr>
                <w:spacing w:val="-2"/>
              </w:rPr>
            </w:pPr>
            <w:r>
              <w:rPr>
                <w:spacing w:val="-2"/>
              </w:rPr>
              <w:t>Mortenson Broadcasting Co. of Texas, Inc. (Assignor)</w:t>
            </w:r>
          </w:p>
          <w:p w:rsidR="003B69AE" w:rsidP="007115F7" w14:paraId="54C5E69F" w14:textId="3C05610E">
            <w:pPr>
              <w:tabs>
                <w:tab w:val="center" w:pos="4680"/>
              </w:tabs>
              <w:suppressAutoHyphens/>
              <w:rPr>
                <w:spacing w:val="-2"/>
              </w:rPr>
            </w:pPr>
            <w:r>
              <w:rPr>
                <w:spacing w:val="-2"/>
              </w:rPr>
              <w:t>And</w:t>
            </w:r>
          </w:p>
          <w:p w:rsidR="003B69AE" w:rsidP="007115F7" w14:paraId="1F30170B" w14:textId="32430AB8">
            <w:pPr>
              <w:tabs>
                <w:tab w:val="center" w:pos="4680"/>
              </w:tabs>
              <w:suppressAutoHyphens/>
              <w:rPr>
                <w:spacing w:val="-2"/>
              </w:rPr>
            </w:pPr>
            <w:r>
              <w:rPr>
                <w:spacing w:val="-2"/>
              </w:rPr>
              <w:t>iHM Licenses, LLC (Assignee)</w:t>
            </w:r>
          </w:p>
          <w:p w:rsidR="00872848" w:rsidP="007115F7" w14:paraId="50FEF1AF" w14:textId="5F8AB34B">
            <w:pPr>
              <w:tabs>
                <w:tab w:val="center" w:pos="4680"/>
              </w:tabs>
              <w:suppressAutoHyphens/>
              <w:rPr>
                <w:spacing w:val="-2"/>
              </w:rPr>
            </w:pPr>
          </w:p>
          <w:p w:rsidR="00872848" w:rsidP="007115F7" w14:paraId="670D3396" w14:textId="0240A786">
            <w:pPr>
              <w:tabs>
                <w:tab w:val="center" w:pos="4680"/>
              </w:tabs>
              <w:suppressAutoHyphens/>
              <w:rPr>
                <w:spacing w:val="-2"/>
              </w:rPr>
            </w:pPr>
            <w:r>
              <w:rPr>
                <w:spacing w:val="-2"/>
              </w:rPr>
              <w:t xml:space="preserve">For Consent to Assignment of Licenses of Stations KKGM(AM), Fort Worth, TX, K221GV, Fort Worth, TX, </w:t>
            </w:r>
            <w:r w:rsidR="00C214EE">
              <w:rPr>
                <w:spacing w:val="-2"/>
              </w:rPr>
              <w:t>KHVN(AM), Fort Worth, TX, and K237HD, Fort Worth, TX</w:t>
            </w:r>
          </w:p>
          <w:p w:rsidR="003B69AE" w:rsidP="007115F7" w14:paraId="0C39536A" w14:textId="77777777">
            <w:pPr>
              <w:tabs>
                <w:tab w:val="center" w:pos="4680"/>
              </w:tabs>
              <w:suppressAutoHyphens/>
              <w:rPr>
                <w:spacing w:val="-2"/>
              </w:rPr>
            </w:pPr>
          </w:p>
          <w:p w:rsidR="004C2EE3" w:rsidP="007115F7" w14:paraId="535CC8BE" w14:textId="399E6299">
            <w:pPr>
              <w:tabs>
                <w:tab w:val="center" w:pos="4680"/>
              </w:tabs>
              <w:suppressAutoHyphens/>
              <w:rPr>
                <w:spacing w:val="-2"/>
              </w:rPr>
            </w:pPr>
            <w:r>
              <w:rPr>
                <w:spacing w:val="-2"/>
              </w:rPr>
              <w:t>Multicultural Radio Broadcasting Licensee, LLC (Assignor)</w:t>
            </w:r>
          </w:p>
          <w:p w:rsidR="00997104" w:rsidP="007115F7" w14:paraId="486C3873" w14:textId="0B2C3B4E">
            <w:pPr>
              <w:tabs>
                <w:tab w:val="center" w:pos="4680"/>
              </w:tabs>
              <w:suppressAutoHyphens/>
              <w:rPr>
                <w:spacing w:val="-2"/>
              </w:rPr>
            </w:pPr>
            <w:r>
              <w:rPr>
                <w:spacing w:val="-2"/>
              </w:rPr>
              <w:t>and</w:t>
            </w:r>
          </w:p>
          <w:p w:rsidR="00997104" w:rsidP="007115F7" w14:paraId="106FCF96" w14:textId="3741D808">
            <w:pPr>
              <w:tabs>
                <w:tab w:val="center" w:pos="4680"/>
              </w:tabs>
              <w:suppressAutoHyphens/>
              <w:rPr>
                <w:spacing w:val="-2"/>
              </w:rPr>
            </w:pPr>
            <w:r>
              <w:rPr>
                <w:spacing w:val="-2"/>
              </w:rPr>
              <w:t>iHM Licenses, LLC (Assignee)</w:t>
            </w:r>
          </w:p>
          <w:p w:rsidR="00872848" w:rsidP="007115F7" w14:paraId="74097F1F" w14:textId="2B5ECEC2">
            <w:pPr>
              <w:tabs>
                <w:tab w:val="center" w:pos="4680"/>
              </w:tabs>
              <w:suppressAutoHyphens/>
              <w:rPr>
                <w:spacing w:val="-2"/>
              </w:rPr>
            </w:pPr>
          </w:p>
          <w:p w:rsidR="00872848" w:rsidP="007115F7" w14:paraId="6F2EC41C" w14:textId="2831669E">
            <w:pPr>
              <w:tabs>
                <w:tab w:val="center" w:pos="4680"/>
              </w:tabs>
              <w:suppressAutoHyphens/>
              <w:rPr>
                <w:spacing w:val="-2"/>
              </w:rPr>
            </w:pPr>
            <w:r>
              <w:rPr>
                <w:spacing w:val="-2"/>
              </w:rPr>
              <w:t>For Consent to Assignment of License of Station KXYZ(AM), Houston, TX</w:t>
            </w:r>
          </w:p>
          <w:p w:rsidR="003B69AE" w:rsidP="007115F7" w14:paraId="0471E92F" w14:textId="210B52C5">
            <w:pPr>
              <w:tabs>
                <w:tab w:val="center" w:pos="4680"/>
              </w:tabs>
              <w:suppressAutoHyphens/>
              <w:rPr>
                <w:spacing w:val="-2"/>
              </w:rPr>
            </w:pPr>
          </w:p>
          <w:p w:rsidR="003B69AE" w:rsidP="007115F7" w14:paraId="4A73125C" w14:textId="2E489D23">
            <w:pPr>
              <w:tabs>
                <w:tab w:val="center" w:pos="4680"/>
              </w:tabs>
              <w:suppressAutoHyphens/>
              <w:rPr>
                <w:spacing w:val="-2"/>
              </w:rPr>
            </w:pPr>
            <w:r>
              <w:rPr>
                <w:spacing w:val="-2"/>
              </w:rPr>
              <w:t>Sun and Snow Station Trust LLC (Assignor)</w:t>
            </w:r>
          </w:p>
          <w:p w:rsidR="003B69AE" w:rsidP="007115F7" w14:paraId="32C11AE3" w14:textId="09C3C712">
            <w:pPr>
              <w:tabs>
                <w:tab w:val="center" w:pos="4680"/>
              </w:tabs>
              <w:suppressAutoHyphens/>
              <w:rPr>
                <w:spacing w:val="-2"/>
              </w:rPr>
            </w:pPr>
            <w:r>
              <w:rPr>
                <w:spacing w:val="-2"/>
              </w:rPr>
              <w:t>and</w:t>
            </w:r>
          </w:p>
          <w:p w:rsidR="003B69AE" w:rsidP="007115F7" w14:paraId="5FC30ACA" w14:textId="6DF8EFD3">
            <w:pPr>
              <w:tabs>
                <w:tab w:val="center" w:pos="4680"/>
              </w:tabs>
              <w:suppressAutoHyphens/>
              <w:rPr>
                <w:spacing w:val="-2"/>
              </w:rPr>
            </w:pPr>
            <w:r>
              <w:rPr>
                <w:spacing w:val="-2"/>
              </w:rPr>
              <w:t>iHM Licenses, LLC (Assignee)</w:t>
            </w:r>
          </w:p>
          <w:p w:rsidR="003B69AE" w:rsidP="007115F7" w14:paraId="4C249715" w14:textId="77777777">
            <w:pPr>
              <w:tabs>
                <w:tab w:val="center" w:pos="4680"/>
              </w:tabs>
              <w:suppressAutoHyphens/>
              <w:rPr>
                <w:spacing w:val="-2"/>
              </w:rPr>
            </w:pPr>
          </w:p>
          <w:p w:rsidR="003B69AE" w:rsidRPr="007115F7" w:rsidP="007115F7" w14:paraId="55DCDBBD" w14:textId="2988E771">
            <w:pPr>
              <w:tabs>
                <w:tab w:val="center" w:pos="4680"/>
              </w:tabs>
              <w:suppressAutoHyphens/>
              <w:rPr>
                <w:spacing w:val="-2"/>
              </w:rPr>
            </w:pPr>
            <w:r>
              <w:rPr>
                <w:spacing w:val="-2"/>
              </w:rPr>
              <w:t>F</w:t>
            </w:r>
            <w:r w:rsidR="00997104">
              <w:rPr>
                <w:spacing w:val="-2"/>
              </w:rPr>
              <w:t>or Consent to Assignment of License</w:t>
            </w:r>
            <w:r w:rsidR="00872848">
              <w:rPr>
                <w:spacing w:val="-2"/>
              </w:rPr>
              <w:t xml:space="preserve"> of Station KSNR(FM), Fisher, MN </w:t>
            </w:r>
          </w:p>
        </w:tc>
        <w:tc>
          <w:tcPr>
            <w:tcW w:w="630" w:type="dxa"/>
          </w:tcPr>
          <w:p w:rsidR="004C2EE3" w14:paraId="14E6C8C4" w14:textId="77777777">
            <w:pPr>
              <w:tabs>
                <w:tab w:val="center" w:pos="4680"/>
              </w:tabs>
              <w:suppressAutoHyphens/>
              <w:rPr>
                <w:b/>
                <w:spacing w:val="-2"/>
              </w:rPr>
            </w:pPr>
            <w:r>
              <w:rPr>
                <w:b/>
                <w:spacing w:val="-2"/>
              </w:rPr>
              <w:t>)</w:t>
            </w:r>
          </w:p>
          <w:p w:rsidR="004C2EE3" w14:paraId="74B0B847" w14:textId="77777777">
            <w:pPr>
              <w:tabs>
                <w:tab w:val="center" w:pos="4680"/>
              </w:tabs>
              <w:suppressAutoHyphens/>
              <w:rPr>
                <w:b/>
                <w:spacing w:val="-2"/>
              </w:rPr>
            </w:pPr>
            <w:r>
              <w:rPr>
                <w:b/>
                <w:spacing w:val="-2"/>
              </w:rPr>
              <w:t>)</w:t>
            </w:r>
          </w:p>
          <w:p w:rsidR="004C2EE3" w14:paraId="3A9A7B06" w14:textId="77777777">
            <w:pPr>
              <w:tabs>
                <w:tab w:val="center" w:pos="4680"/>
              </w:tabs>
              <w:suppressAutoHyphens/>
              <w:rPr>
                <w:b/>
                <w:spacing w:val="-2"/>
              </w:rPr>
            </w:pPr>
            <w:r>
              <w:rPr>
                <w:b/>
                <w:spacing w:val="-2"/>
              </w:rPr>
              <w:t>)</w:t>
            </w:r>
          </w:p>
          <w:p w:rsidR="004C2EE3" w14:paraId="536E5924" w14:textId="77777777">
            <w:pPr>
              <w:tabs>
                <w:tab w:val="center" w:pos="4680"/>
              </w:tabs>
              <w:suppressAutoHyphens/>
              <w:rPr>
                <w:b/>
                <w:spacing w:val="-2"/>
              </w:rPr>
            </w:pPr>
            <w:r>
              <w:rPr>
                <w:b/>
                <w:spacing w:val="-2"/>
              </w:rPr>
              <w:t>)</w:t>
            </w:r>
          </w:p>
          <w:p w:rsidR="004C2EE3" w14:paraId="4B5E8A40" w14:textId="77777777">
            <w:pPr>
              <w:tabs>
                <w:tab w:val="center" w:pos="4680"/>
              </w:tabs>
              <w:suppressAutoHyphens/>
              <w:rPr>
                <w:b/>
                <w:spacing w:val="-2"/>
              </w:rPr>
            </w:pPr>
            <w:r>
              <w:rPr>
                <w:b/>
                <w:spacing w:val="-2"/>
              </w:rPr>
              <w:t>)</w:t>
            </w:r>
          </w:p>
          <w:p w:rsidR="004C2EE3" w14:paraId="04EAA0BB" w14:textId="77777777">
            <w:pPr>
              <w:tabs>
                <w:tab w:val="center" w:pos="4680"/>
              </w:tabs>
              <w:suppressAutoHyphens/>
              <w:rPr>
                <w:b/>
                <w:spacing w:val="-2"/>
              </w:rPr>
            </w:pPr>
            <w:r>
              <w:rPr>
                <w:b/>
                <w:spacing w:val="-2"/>
              </w:rPr>
              <w:t>)</w:t>
            </w:r>
          </w:p>
          <w:p w:rsidR="004C2EE3" w14:paraId="3824D37E" w14:textId="77777777">
            <w:pPr>
              <w:tabs>
                <w:tab w:val="center" w:pos="4680"/>
              </w:tabs>
              <w:suppressAutoHyphens/>
              <w:rPr>
                <w:b/>
                <w:spacing w:val="-2"/>
              </w:rPr>
            </w:pPr>
            <w:r>
              <w:rPr>
                <w:b/>
                <w:spacing w:val="-2"/>
              </w:rPr>
              <w:t>)</w:t>
            </w:r>
          </w:p>
          <w:p w:rsidR="004C2EE3" w14:paraId="77D24D08" w14:textId="77777777">
            <w:pPr>
              <w:tabs>
                <w:tab w:val="center" w:pos="4680"/>
              </w:tabs>
              <w:suppressAutoHyphens/>
              <w:rPr>
                <w:b/>
                <w:spacing w:val="-2"/>
              </w:rPr>
            </w:pPr>
            <w:r>
              <w:rPr>
                <w:b/>
                <w:spacing w:val="-2"/>
              </w:rPr>
              <w:t>)</w:t>
            </w:r>
          </w:p>
          <w:p w:rsidR="004C2EE3" w14:paraId="687FCB49" w14:textId="77777777">
            <w:pPr>
              <w:tabs>
                <w:tab w:val="center" w:pos="4680"/>
              </w:tabs>
              <w:suppressAutoHyphens/>
              <w:rPr>
                <w:b/>
                <w:spacing w:val="-2"/>
              </w:rPr>
            </w:pPr>
            <w:r>
              <w:rPr>
                <w:b/>
                <w:spacing w:val="-2"/>
              </w:rPr>
              <w:t>)</w:t>
            </w:r>
          </w:p>
          <w:p w:rsidR="00872848" w14:paraId="0EBC4464" w14:textId="77777777">
            <w:pPr>
              <w:tabs>
                <w:tab w:val="center" w:pos="4680"/>
              </w:tabs>
              <w:suppressAutoHyphens/>
              <w:rPr>
                <w:b/>
                <w:spacing w:val="-2"/>
              </w:rPr>
            </w:pPr>
            <w:r>
              <w:rPr>
                <w:b/>
                <w:spacing w:val="-2"/>
              </w:rPr>
              <w:t>)</w:t>
            </w:r>
          </w:p>
          <w:p w:rsidR="00872848" w14:paraId="582EF779" w14:textId="77777777">
            <w:pPr>
              <w:tabs>
                <w:tab w:val="center" w:pos="4680"/>
              </w:tabs>
              <w:suppressAutoHyphens/>
              <w:rPr>
                <w:b/>
                <w:spacing w:val="-2"/>
              </w:rPr>
            </w:pPr>
            <w:r>
              <w:rPr>
                <w:b/>
                <w:spacing w:val="-2"/>
              </w:rPr>
              <w:t>)</w:t>
            </w:r>
          </w:p>
          <w:p w:rsidR="00872848" w14:paraId="03F5314F" w14:textId="77777777">
            <w:pPr>
              <w:tabs>
                <w:tab w:val="center" w:pos="4680"/>
              </w:tabs>
              <w:suppressAutoHyphens/>
              <w:rPr>
                <w:b/>
                <w:spacing w:val="-2"/>
              </w:rPr>
            </w:pPr>
            <w:r>
              <w:rPr>
                <w:b/>
                <w:spacing w:val="-2"/>
              </w:rPr>
              <w:t>)</w:t>
            </w:r>
          </w:p>
          <w:p w:rsidR="00872848" w14:paraId="2F8A167E" w14:textId="77777777">
            <w:pPr>
              <w:tabs>
                <w:tab w:val="center" w:pos="4680"/>
              </w:tabs>
              <w:suppressAutoHyphens/>
              <w:rPr>
                <w:b/>
                <w:spacing w:val="-2"/>
              </w:rPr>
            </w:pPr>
            <w:r>
              <w:rPr>
                <w:b/>
                <w:spacing w:val="-2"/>
              </w:rPr>
              <w:t>)</w:t>
            </w:r>
          </w:p>
          <w:p w:rsidR="00872848" w14:paraId="137E53F0" w14:textId="77777777">
            <w:pPr>
              <w:tabs>
                <w:tab w:val="center" w:pos="4680"/>
              </w:tabs>
              <w:suppressAutoHyphens/>
              <w:rPr>
                <w:b/>
                <w:spacing w:val="-2"/>
              </w:rPr>
            </w:pPr>
            <w:r>
              <w:rPr>
                <w:b/>
                <w:spacing w:val="-2"/>
              </w:rPr>
              <w:t>)</w:t>
            </w:r>
          </w:p>
          <w:p w:rsidR="00872848" w14:paraId="3D48C970" w14:textId="77777777">
            <w:pPr>
              <w:tabs>
                <w:tab w:val="center" w:pos="4680"/>
              </w:tabs>
              <w:suppressAutoHyphens/>
              <w:rPr>
                <w:b/>
                <w:spacing w:val="-2"/>
              </w:rPr>
            </w:pPr>
            <w:r>
              <w:rPr>
                <w:b/>
                <w:spacing w:val="-2"/>
              </w:rPr>
              <w:t>)</w:t>
            </w:r>
          </w:p>
          <w:p w:rsidR="00872848" w14:paraId="72481F29" w14:textId="77777777">
            <w:pPr>
              <w:tabs>
                <w:tab w:val="center" w:pos="4680"/>
              </w:tabs>
              <w:suppressAutoHyphens/>
              <w:rPr>
                <w:b/>
                <w:spacing w:val="-2"/>
              </w:rPr>
            </w:pPr>
            <w:r>
              <w:rPr>
                <w:b/>
                <w:spacing w:val="-2"/>
              </w:rPr>
              <w:t>)</w:t>
            </w:r>
          </w:p>
          <w:p w:rsidR="00872848" w14:paraId="1C21E4B7" w14:textId="77777777">
            <w:pPr>
              <w:tabs>
                <w:tab w:val="center" w:pos="4680"/>
              </w:tabs>
              <w:suppressAutoHyphens/>
              <w:rPr>
                <w:b/>
                <w:spacing w:val="-2"/>
              </w:rPr>
            </w:pPr>
            <w:r>
              <w:rPr>
                <w:b/>
                <w:spacing w:val="-2"/>
              </w:rPr>
              <w:t>)</w:t>
            </w:r>
          </w:p>
          <w:p w:rsidR="00872848" w14:paraId="78DC8C42" w14:textId="77777777">
            <w:pPr>
              <w:tabs>
                <w:tab w:val="center" w:pos="4680"/>
              </w:tabs>
              <w:suppressAutoHyphens/>
              <w:rPr>
                <w:b/>
                <w:spacing w:val="-2"/>
              </w:rPr>
            </w:pPr>
            <w:r>
              <w:rPr>
                <w:b/>
                <w:spacing w:val="-2"/>
              </w:rPr>
              <w:t>)</w:t>
            </w:r>
          </w:p>
          <w:p w:rsidR="00872848" w14:paraId="58DF915B" w14:textId="77777777">
            <w:pPr>
              <w:tabs>
                <w:tab w:val="center" w:pos="4680"/>
              </w:tabs>
              <w:suppressAutoHyphens/>
              <w:rPr>
                <w:b/>
                <w:spacing w:val="-2"/>
              </w:rPr>
            </w:pPr>
            <w:r>
              <w:rPr>
                <w:b/>
                <w:spacing w:val="-2"/>
              </w:rPr>
              <w:t>)</w:t>
            </w:r>
          </w:p>
          <w:p w:rsidR="00872848" w14:paraId="21F467F2" w14:textId="77777777">
            <w:pPr>
              <w:tabs>
                <w:tab w:val="center" w:pos="4680"/>
              </w:tabs>
              <w:suppressAutoHyphens/>
              <w:rPr>
                <w:b/>
                <w:spacing w:val="-2"/>
              </w:rPr>
            </w:pPr>
            <w:r>
              <w:rPr>
                <w:b/>
                <w:spacing w:val="-2"/>
              </w:rPr>
              <w:t>)</w:t>
            </w:r>
          </w:p>
          <w:p w:rsidR="00872848" w14:paraId="6ABFA880" w14:textId="77777777">
            <w:pPr>
              <w:tabs>
                <w:tab w:val="center" w:pos="4680"/>
              </w:tabs>
              <w:suppressAutoHyphens/>
              <w:rPr>
                <w:b/>
                <w:spacing w:val="-2"/>
              </w:rPr>
            </w:pPr>
            <w:r>
              <w:rPr>
                <w:b/>
                <w:spacing w:val="-2"/>
              </w:rPr>
              <w:t>)</w:t>
            </w:r>
          </w:p>
          <w:p w:rsidR="00C214EE" w14:paraId="0467F23A" w14:textId="77777777">
            <w:pPr>
              <w:tabs>
                <w:tab w:val="center" w:pos="4680"/>
              </w:tabs>
              <w:suppressAutoHyphens/>
              <w:rPr>
                <w:b/>
                <w:spacing w:val="-2"/>
              </w:rPr>
            </w:pPr>
            <w:r>
              <w:rPr>
                <w:b/>
                <w:spacing w:val="-2"/>
              </w:rPr>
              <w:t>)</w:t>
            </w:r>
          </w:p>
          <w:p w:rsidR="00C214EE" w14:paraId="2CF095EA" w14:textId="77777777">
            <w:pPr>
              <w:tabs>
                <w:tab w:val="center" w:pos="4680"/>
              </w:tabs>
              <w:suppressAutoHyphens/>
              <w:rPr>
                <w:b/>
                <w:spacing w:val="-2"/>
              </w:rPr>
            </w:pPr>
            <w:r>
              <w:rPr>
                <w:b/>
                <w:spacing w:val="-2"/>
              </w:rPr>
              <w:t>)</w:t>
            </w:r>
          </w:p>
          <w:p w:rsidR="00C214EE" w14:paraId="2A3B67BF" w14:textId="77777777">
            <w:pPr>
              <w:tabs>
                <w:tab w:val="center" w:pos="4680"/>
              </w:tabs>
              <w:suppressAutoHyphens/>
              <w:rPr>
                <w:b/>
                <w:spacing w:val="-2"/>
              </w:rPr>
            </w:pPr>
            <w:r>
              <w:rPr>
                <w:b/>
                <w:spacing w:val="-2"/>
              </w:rPr>
              <w:t>)</w:t>
            </w:r>
          </w:p>
          <w:p w:rsidR="00C214EE" w14:paraId="5DC1BDDB" w14:textId="77777777">
            <w:pPr>
              <w:tabs>
                <w:tab w:val="center" w:pos="4680"/>
              </w:tabs>
              <w:suppressAutoHyphens/>
              <w:rPr>
                <w:b/>
                <w:spacing w:val="-2"/>
              </w:rPr>
            </w:pPr>
            <w:r>
              <w:rPr>
                <w:b/>
                <w:spacing w:val="-2"/>
              </w:rPr>
              <w:t>)</w:t>
            </w:r>
          </w:p>
          <w:p w:rsidR="00C214EE" w:rsidRPr="00872848" w14:paraId="59E217F4" w14:textId="6C9D5DFC">
            <w:pPr>
              <w:tabs>
                <w:tab w:val="center" w:pos="4680"/>
              </w:tabs>
              <w:suppressAutoHyphens/>
              <w:rPr>
                <w:b/>
                <w:spacing w:val="-2"/>
              </w:rPr>
            </w:pPr>
            <w:r>
              <w:rPr>
                <w:b/>
                <w:spacing w:val="-2"/>
              </w:rPr>
              <w:t>)</w:t>
            </w:r>
          </w:p>
        </w:tc>
        <w:tc>
          <w:tcPr>
            <w:tcW w:w="4248" w:type="dxa"/>
          </w:tcPr>
          <w:p w:rsidR="004C2EE3" w14:paraId="51BDC2C8" w14:textId="77777777">
            <w:pPr>
              <w:tabs>
                <w:tab w:val="center" w:pos="4680"/>
              </w:tabs>
              <w:suppressAutoHyphens/>
              <w:rPr>
                <w:spacing w:val="-2"/>
              </w:rPr>
            </w:pPr>
          </w:p>
          <w:p w:rsidR="004C2EE3" w14:paraId="77E65602" w14:textId="77777777">
            <w:pPr>
              <w:pStyle w:val="TOAHeading"/>
              <w:tabs>
                <w:tab w:val="center" w:pos="4680"/>
                <w:tab w:val="clear" w:pos="9360"/>
              </w:tabs>
              <w:rPr>
                <w:spacing w:val="-2"/>
              </w:rPr>
            </w:pPr>
          </w:p>
          <w:p w:rsidR="004C2EE3" w14:paraId="6DE0B292" w14:textId="07FCB5D8">
            <w:pPr>
              <w:tabs>
                <w:tab w:val="center" w:pos="4680"/>
              </w:tabs>
              <w:suppressAutoHyphens/>
              <w:rPr>
                <w:spacing w:val="-2"/>
              </w:rPr>
            </w:pPr>
            <w:r>
              <w:rPr>
                <w:spacing w:val="-2"/>
              </w:rPr>
              <w:t xml:space="preserve">File Nos. </w:t>
            </w:r>
            <w:r w:rsidRPr="003B69AE">
              <w:rPr>
                <w:spacing w:val="-2"/>
              </w:rPr>
              <w:t>129304</w:t>
            </w:r>
            <w:r>
              <w:rPr>
                <w:spacing w:val="-2"/>
              </w:rPr>
              <w:t xml:space="preserve"> et al.</w:t>
            </w:r>
          </w:p>
          <w:p w:rsidR="00872848" w14:paraId="1970ED1F" w14:textId="77777777">
            <w:pPr>
              <w:tabs>
                <w:tab w:val="center" w:pos="4680"/>
              </w:tabs>
              <w:suppressAutoHyphens/>
              <w:rPr>
                <w:spacing w:val="-2"/>
              </w:rPr>
            </w:pPr>
          </w:p>
          <w:p w:rsidR="00C214EE" w14:paraId="6A49D344" w14:textId="77777777">
            <w:pPr>
              <w:tabs>
                <w:tab w:val="center" w:pos="4680"/>
              </w:tabs>
              <w:suppressAutoHyphens/>
              <w:rPr>
                <w:spacing w:val="-2"/>
              </w:rPr>
            </w:pPr>
          </w:p>
          <w:p w:rsidR="00C214EE" w14:paraId="44E3DBAB" w14:textId="77777777">
            <w:pPr>
              <w:tabs>
                <w:tab w:val="center" w:pos="4680"/>
              </w:tabs>
              <w:suppressAutoHyphens/>
              <w:rPr>
                <w:spacing w:val="-2"/>
              </w:rPr>
            </w:pPr>
          </w:p>
          <w:p w:rsidR="00C214EE" w14:paraId="5FF476DA" w14:textId="77777777">
            <w:pPr>
              <w:tabs>
                <w:tab w:val="center" w:pos="4680"/>
              </w:tabs>
              <w:suppressAutoHyphens/>
              <w:rPr>
                <w:spacing w:val="-2"/>
              </w:rPr>
            </w:pPr>
          </w:p>
          <w:p w:rsidR="00872848" w14:paraId="21DC80C0" w14:textId="746EF686">
            <w:pPr>
              <w:tabs>
                <w:tab w:val="center" w:pos="4680"/>
              </w:tabs>
              <w:suppressAutoHyphens/>
              <w:rPr>
                <w:spacing w:val="-2"/>
              </w:rPr>
            </w:pPr>
            <w:r>
              <w:rPr>
                <w:spacing w:val="-2"/>
              </w:rPr>
              <w:t>Facility ID Nos. 87147, 202298, 63780, and 202305</w:t>
            </w:r>
          </w:p>
          <w:p w:rsidR="00872848" w14:paraId="03BCA0BA" w14:textId="77777777">
            <w:pPr>
              <w:tabs>
                <w:tab w:val="center" w:pos="4680"/>
              </w:tabs>
              <w:suppressAutoHyphens/>
              <w:rPr>
                <w:spacing w:val="-2"/>
              </w:rPr>
            </w:pPr>
          </w:p>
          <w:p w:rsidR="00C214EE" w14:paraId="1AC58687" w14:textId="77777777">
            <w:pPr>
              <w:tabs>
                <w:tab w:val="center" w:pos="4680"/>
              </w:tabs>
              <w:suppressAutoHyphens/>
              <w:rPr>
                <w:spacing w:val="-2"/>
              </w:rPr>
            </w:pPr>
          </w:p>
          <w:p w:rsidR="00C214EE" w14:paraId="2DAB9DC4" w14:textId="77777777">
            <w:pPr>
              <w:tabs>
                <w:tab w:val="center" w:pos="4680"/>
              </w:tabs>
              <w:suppressAutoHyphens/>
              <w:rPr>
                <w:spacing w:val="-2"/>
              </w:rPr>
            </w:pPr>
          </w:p>
          <w:p w:rsidR="00872848" w14:paraId="04075002" w14:textId="04D8C9A8">
            <w:pPr>
              <w:tabs>
                <w:tab w:val="center" w:pos="4680"/>
              </w:tabs>
              <w:suppressAutoHyphens/>
              <w:rPr>
                <w:spacing w:val="-2"/>
              </w:rPr>
            </w:pPr>
            <w:r>
              <w:rPr>
                <w:spacing w:val="-2"/>
              </w:rPr>
              <w:t xml:space="preserve">File No. </w:t>
            </w:r>
            <w:r w:rsidRPr="00872848">
              <w:rPr>
                <w:spacing w:val="-2"/>
              </w:rPr>
              <w:t>129419</w:t>
            </w:r>
          </w:p>
          <w:p w:rsidR="00872848" w14:paraId="1D142722" w14:textId="77777777">
            <w:pPr>
              <w:tabs>
                <w:tab w:val="center" w:pos="4680"/>
              </w:tabs>
              <w:suppressAutoHyphens/>
              <w:rPr>
                <w:spacing w:val="-2"/>
              </w:rPr>
            </w:pPr>
          </w:p>
          <w:p w:rsidR="00872848" w14:paraId="0176D9A0" w14:textId="77777777">
            <w:pPr>
              <w:tabs>
                <w:tab w:val="center" w:pos="4680"/>
              </w:tabs>
              <w:suppressAutoHyphens/>
              <w:rPr>
                <w:spacing w:val="-2"/>
              </w:rPr>
            </w:pPr>
          </w:p>
          <w:p w:rsidR="00872848" w14:paraId="34008740" w14:textId="77777777">
            <w:pPr>
              <w:tabs>
                <w:tab w:val="center" w:pos="4680"/>
              </w:tabs>
              <w:suppressAutoHyphens/>
              <w:rPr>
                <w:spacing w:val="-2"/>
              </w:rPr>
            </w:pPr>
          </w:p>
          <w:p w:rsidR="00872848" w14:paraId="35EA68DC" w14:textId="77777777">
            <w:pPr>
              <w:tabs>
                <w:tab w:val="center" w:pos="4680"/>
              </w:tabs>
              <w:suppressAutoHyphens/>
              <w:rPr>
                <w:spacing w:val="-2"/>
              </w:rPr>
            </w:pPr>
          </w:p>
          <w:p w:rsidR="00872848" w14:paraId="1990A482" w14:textId="7CC58AEC">
            <w:pPr>
              <w:tabs>
                <w:tab w:val="center" w:pos="4680"/>
              </w:tabs>
              <w:suppressAutoHyphens/>
              <w:rPr>
                <w:spacing w:val="-2"/>
              </w:rPr>
            </w:pPr>
            <w:r>
              <w:rPr>
                <w:spacing w:val="-2"/>
              </w:rPr>
              <w:t>Facility ID No. 95</w:t>
            </w:r>
          </w:p>
          <w:p w:rsidR="00872848" w14:paraId="75B5B506" w14:textId="77777777">
            <w:pPr>
              <w:tabs>
                <w:tab w:val="center" w:pos="4680"/>
              </w:tabs>
              <w:suppressAutoHyphens/>
              <w:rPr>
                <w:spacing w:val="-2"/>
              </w:rPr>
            </w:pPr>
          </w:p>
          <w:p w:rsidR="00872848" w14:paraId="1AAF8256" w14:textId="77777777">
            <w:pPr>
              <w:tabs>
                <w:tab w:val="center" w:pos="4680"/>
              </w:tabs>
              <w:suppressAutoHyphens/>
              <w:rPr>
                <w:spacing w:val="-2"/>
              </w:rPr>
            </w:pPr>
          </w:p>
          <w:p w:rsidR="00872848" w14:paraId="3DC1597D" w14:textId="0BBCEFA0">
            <w:pPr>
              <w:tabs>
                <w:tab w:val="center" w:pos="4680"/>
              </w:tabs>
              <w:suppressAutoHyphens/>
              <w:rPr>
                <w:spacing w:val="-2"/>
              </w:rPr>
            </w:pPr>
            <w:r>
              <w:rPr>
                <w:spacing w:val="-2"/>
              </w:rPr>
              <w:t xml:space="preserve">File No. </w:t>
            </w:r>
            <w:r w:rsidRPr="00872848">
              <w:rPr>
                <w:spacing w:val="-2"/>
              </w:rPr>
              <w:t>130061</w:t>
            </w:r>
          </w:p>
          <w:p w:rsidR="00872848" w14:paraId="44D8D176" w14:textId="77777777">
            <w:pPr>
              <w:tabs>
                <w:tab w:val="center" w:pos="4680"/>
              </w:tabs>
              <w:suppressAutoHyphens/>
              <w:rPr>
                <w:spacing w:val="-2"/>
              </w:rPr>
            </w:pPr>
          </w:p>
          <w:p w:rsidR="00872848" w14:paraId="68266A18" w14:textId="77777777">
            <w:pPr>
              <w:tabs>
                <w:tab w:val="center" w:pos="4680"/>
              </w:tabs>
              <w:suppressAutoHyphens/>
              <w:rPr>
                <w:spacing w:val="-2"/>
              </w:rPr>
            </w:pPr>
          </w:p>
          <w:p w:rsidR="00872848" w14:paraId="35CA91A3" w14:textId="77777777">
            <w:pPr>
              <w:tabs>
                <w:tab w:val="center" w:pos="4680"/>
              </w:tabs>
              <w:suppressAutoHyphens/>
              <w:rPr>
                <w:spacing w:val="-2"/>
              </w:rPr>
            </w:pPr>
          </w:p>
          <w:p w:rsidR="00872848" w14:paraId="5A7E8562" w14:textId="271D9ADB">
            <w:pPr>
              <w:tabs>
                <w:tab w:val="center" w:pos="4680"/>
              </w:tabs>
              <w:suppressAutoHyphens/>
              <w:rPr>
                <w:spacing w:val="-2"/>
              </w:rPr>
            </w:pPr>
            <w:r>
              <w:rPr>
                <w:spacing w:val="-2"/>
              </w:rPr>
              <w:t>Facility ID No. 73625</w:t>
            </w:r>
          </w:p>
        </w:tc>
      </w:tr>
    </w:tbl>
    <w:p w:rsidR="004C2EE3" w:rsidP="0070224F" w14:paraId="3CFB9BB4" w14:textId="77777777"/>
    <w:p w:rsidR="00841AB1" w:rsidP="00F021FA" w14:paraId="1B911D23" w14:textId="72AA5527">
      <w:pPr>
        <w:pStyle w:val="StyleBoldCentered"/>
      </w:pPr>
      <w:r>
        <w:t>memorandum opinion and order</w:t>
      </w:r>
    </w:p>
    <w:p w:rsidR="004C2EE3" w14:paraId="29178BE7" w14:textId="77777777">
      <w:pPr>
        <w:tabs>
          <w:tab w:val="left" w:pos="-720"/>
        </w:tabs>
        <w:suppressAutoHyphens/>
        <w:spacing w:line="227" w:lineRule="auto"/>
        <w:rPr>
          <w:spacing w:val="-2"/>
        </w:rPr>
      </w:pPr>
    </w:p>
    <w:p w:rsidR="004C2EE3" w:rsidP="00133F79" w14:paraId="075EDBA3" w14:textId="0618ABAF">
      <w:pPr>
        <w:tabs>
          <w:tab w:val="left" w:pos="720"/>
          <w:tab w:val="right" w:pos="9360"/>
        </w:tabs>
        <w:suppressAutoHyphens/>
        <w:spacing w:line="227" w:lineRule="auto"/>
        <w:rPr>
          <w:spacing w:val="-2"/>
        </w:rPr>
      </w:pPr>
      <w:r>
        <w:rPr>
          <w:b/>
          <w:spacing w:val="-2"/>
        </w:rPr>
        <w:t xml:space="preserve">Adopted:  </w:t>
      </w:r>
      <w:r w:rsidR="00872848">
        <w:rPr>
          <w:b/>
          <w:spacing w:val="-2"/>
        </w:rPr>
        <w:t xml:space="preserve">March </w:t>
      </w:r>
      <w:r w:rsidR="004F01D2">
        <w:rPr>
          <w:b/>
          <w:spacing w:val="-2"/>
        </w:rPr>
        <w:t>26</w:t>
      </w:r>
      <w:r w:rsidR="00872848">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2848">
        <w:rPr>
          <w:b/>
          <w:spacing w:val="-2"/>
        </w:rPr>
        <w:t xml:space="preserve">March </w:t>
      </w:r>
      <w:r w:rsidR="004F01D2">
        <w:rPr>
          <w:b/>
          <w:spacing w:val="-2"/>
        </w:rPr>
        <w:t>26</w:t>
      </w:r>
      <w:r w:rsidR="00872848">
        <w:rPr>
          <w:b/>
          <w:spacing w:val="-2"/>
        </w:rPr>
        <w:t>, 2021</w:t>
      </w:r>
    </w:p>
    <w:p w:rsidR="00822CE0" w14:paraId="5D1CB0F7" w14:textId="77777777"/>
    <w:p w:rsidR="004C2EE3" w14:paraId="30BDC8C6" w14:textId="3B09D37D">
      <w:pPr>
        <w:rPr>
          <w:spacing w:val="-2"/>
        </w:rPr>
      </w:pPr>
      <w:r>
        <w:t xml:space="preserve">By </w:t>
      </w:r>
      <w:r w:rsidR="004E4A22">
        <w:t>the</w:t>
      </w:r>
      <w:r w:rsidR="002A2D2E">
        <w:t xml:space="preserve"> </w:t>
      </w:r>
      <w:r w:rsidR="00286261">
        <w:t xml:space="preserve">Chief, </w:t>
      </w:r>
      <w:r w:rsidR="00486E2E">
        <w:t xml:space="preserve">Audio Division, </w:t>
      </w:r>
      <w:r w:rsidR="00872848">
        <w:rPr>
          <w:spacing w:val="-2"/>
        </w:rPr>
        <w:t>Media Bureau</w:t>
      </w:r>
      <w:r>
        <w:rPr>
          <w:spacing w:val="-2"/>
        </w:rPr>
        <w:t>:</w:t>
      </w:r>
    </w:p>
    <w:p w:rsidR="00822CE0" w14:paraId="7BCC33FC" w14:textId="77777777">
      <w:pPr>
        <w:rPr>
          <w:spacing w:val="-2"/>
        </w:rPr>
      </w:pPr>
    </w:p>
    <w:p w:rsidR="00412FC5" w:rsidP="00872848" w14:paraId="63F34581" w14:textId="4F97E842">
      <w:pPr>
        <w:pStyle w:val="ParaNum"/>
      </w:pPr>
      <w:r>
        <w:t xml:space="preserve">The Media Bureau (Bureau) has under consideration the </w:t>
      </w:r>
      <w:r w:rsidR="00286261">
        <w:t>above-</w:t>
      </w:r>
      <w:r>
        <w:t xml:space="preserve">captioned </w:t>
      </w:r>
      <w:r w:rsidR="009B0BA5">
        <w:t xml:space="preserve">assignment </w:t>
      </w:r>
      <w:r w:rsidR="00286261">
        <w:t>applications</w:t>
      </w:r>
      <w:r w:rsidR="0073632F">
        <w:t xml:space="preserve"> (Applications)</w:t>
      </w:r>
      <w:r w:rsidR="009B0BA5">
        <w:t>.  Two of the Applications are uncontested and</w:t>
      </w:r>
      <w:r w:rsidR="00286261">
        <w:t xml:space="preserve"> </w:t>
      </w:r>
      <w:r w:rsidR="009B0BA5">
        <w:t>seek</w:t>
      </w:r>
      <w:r w:rsidR="0073632F">
        <w:t xml:space="preserve"> Commission consent</w:t>
      </w:r>
      <w:r w:rsidR="00286261">
        <w:t xml:space="preserve"> to assign </w:t>
      </w:r>
      <w:r w:rsidR="0073632F">
        <w:t>the licenses</w:t>
      </w:r>
      <w:r w:rsidR="00286261">
        <w:t xml:space="preserve"> for </w:t>
      </w:r>
      <w:r w:rsidR="009B0BA5">
        <w:t>stations KXYZ(AM), Houston, Texas, and KSNR(FM), Fisher</w:t>
      </w:r>
      <w:r w:rsidR="00C24D2B">
        <w:t>,</w:t>
      </w:r>
      <w:r w:rsidR="009B0BA5">
        <w:t xml:space="preserve"> Minnesota,</w:t>
      </w:r>
      <w:r w:rsidR="0073632F">
        <w:t xml:space="preserve"> from the Multicultural Radio Broadcasting Licensee, LLC (Multicultural Radio),</w:t>
      </w:r>
      <w:r w:rsidR="00744974">
        <w:t xml:space="preserve"> and the Sun and Snow Station Trust LLC (SST),</w:t>
      </w:r>
      <w:r w:rsidR="009B0BA5">
        <w:t xml:space="preserve"> respectively,</w:t>
      </w:r>
      <w:r w:rsidR="0073632F">
        <w:t xml:space="preserve"> </w:t>
      </w:r>
      <w:r w:rsidR="009B0BA5">
        <w:t>to iHM Licenses, LLC, an indirect wholly owned subsidiary of iHeart Media, Inc. (</w:t>
      </w:r>
      <w:r w:rsidR="00E53447">
        <w:t xml:space="preserve">collectively, </w:t>
      </w:r>
      <w:r w:rsidR="009B0BA5">
        <w:t>iHeart).</w:t>
      </w:r>
      <w:bookmarkStart w:id="0" w:name="_Ref67484869"/>
      <w:r>
        <w:rPr>
          <w:rStyle w:val="FootnoteReference"/>
        </w:rPr>
        <w:footnoteReference w:id="3"/>
      </w:r>
      <w:bookmarkEnd w:id="0"/>
      <w:r w:rsidR="009B0BA5">
        <w:t xml:space="preserve">  The remaining Applications are for consent to assign the licenses of two AM stations and their cross-service translator stations from the </w:t>
      </w:r>
      <w:r w:rsidR="001F6F05">
        <w:t xml:space="preserve">Mortenson Broadcasting Company of </w:t>
      </w:r>
      <w:r w:rsidR="001F6F05">
        <w:t>Texas (Mortenson)</w:t>
      </w:r>
      <w:r w:rsidR="009B0BA5">
        <w:t xml:space="preserve"> to </w:t>
      </w:r>
      <w:r w:rsidR="00E53447">
        <w:t>iHeart</w:t>
      </w:r>
      <w:r w:rsidR="009B0BA5">
        <w:t>.</w:t>
      </w:r>
      <w:bookmarkStart w:id="1" w:name="_Ref67484872"/>
      <w:r>
        <w:rPr>
          <w:rStyle w:val="FootnoteReference"/>
        </w:rPr>
        <w:footnoteReference w:id="4"/>
      </w:r>
      <w:bookmarkEnd w:id="1"/>
      <w:r w:rsidR="009B0BA5">
        <w:t xml:space="preserve">  </w:t>
      </w:r>
      <w:r w:rsidR="00533625">
        <w:t>Five listeners of KKGM and KHV</w:t>
      </w:r>
      <w:r w:rsidR="00531B68">
        <w:t>N</w:t>
      </w:r>
      <w:r w:rsidR="00533625">
        <w:t xml:space="preserve"> filed petitions to deny, which we treat as informal objections</w:t>
      </w:r>
      <w:r w:rsidR="00E03A59">
        <w:t>,</w:t>
      </w:r>
      <w:r w:rsidR="004D26F0">
        <w:t xml:space="preserve"> </w:t>
      </w:r>
      <w:r w:rsidR="00533625">
        <w:t xml:space="preserve">to the Applications filed by </w:t>
      </w:r>
      <w:r w:rsidR="001F6F05">
        <w:t xml:space="preserve">Mortenson </w:t>
      </w:r>
      <w:r w:rsidR="00533625">
        <w:t xml:space="preserve">and </w:t>
      </w:r>
      <w:r w:rsidR="00E53447">
        <w:t>iHeart</w:t>
      </w:r>
      <w:r w:rsidR="00533625">
        <w:t>.</w:t>
      </w:r>
      <w:r>
        <w:rPr>
          <w:rStyle w:val="FootnoteReference"/>
        </w:rPr>
        <w:footnoteReference w:id="5"/>
      </w:r>
      <w:r w:rsidR="002F2051">
        <w:t xml:space="preserve">  In addition, </w:t>
      </w:r>
      <w:r w:rsidR="00A77D6B">
        <w:t>iHeart recently filed</w:t>
      </w:r>
      <w:r w:rsidR="00E66518">
        <w:t xml:space="preserve"> </w:t>
      </w:r>
      <w:r w:rsidR="0003012C">
        <w:t xml:space="preserve">a remedial petition for declaratory ruling </w:t>
      </w:r>
      <w:r w:rsidR="00E03A59">
        <w:t xml:space="preserve">(PDR) </w:t>
      </w:r>
      <w:r w:rsidR="0003012C">
        <w:t xml:space="preserve">to seek specific approval for certain named foreign investors </w:t>
      </w:r>
      <w:r w:rsidR="00120AFA">
        <w:t xml:space="preserve">to hold </w:t>
      </w:r>
      <w:r w:rsidR="0003012C">
        <w:t>more than 5% of the equity and</w:t>
      </w:r>
      <w:r w:rsidR="00A21BEB">
        <w:t>/or</w:t>
      </w:r>
      <w:r w:rsidR="0003012C">
        <w:t xml:space="preserve"> voting interests in iHeart and advance approval for those foreign investors to increase their equity and</w:t>
      </w:r>
      <w:r w:rsidR="00A21BEB">
        <w:t>/or</w:t>
      </w:r>
      <w:r w:rsidR="0003012C">
        <w:t xml:space="preserve"> voting interests in iHeart up to any non-controlling amount not to exceed 9.99%.</w:t>
      </w:r>
      <w:bookmarkStart w:id="2" w:name="_Ref67479987"/>
      <w:r>
        <w:rPr>
          <w:rStyle w:val="FootnoteReference"/>
        </w:rPr>
        <w:footnoteReference w:id="6"/>
      </w:r>
      <w:bookmarkEnd w:id="2"/>
      <w:r w:rsidR="0003012C">
        <w:t xml:space="preserve">  </w:t>
      </w:r>
      <w:r w:rsidR="00645F53">
        <w:t>For the reasons discussed below</w:t>
      </w:r>
      <w:r w:rsidR="00120AFA">
        <w:t xml:space="preserve">, we deny the </w:t>
      </w:r>
      <w:r w:rsidR="00E03A59">
        <w:t xml:space="preserve">informal </w:t>
      </w:r>
      <w:r w:rsidR="00120AFA">
        <w:t xml:space="preserve">objections to the </w:t>
      </w:r>
      <w:r w:rsidR="00EA3B4D">
        <w:t xml:space="preserve">Mortenson-iHeart </w:t>
      </w:r>
      <w:r w:rsidR="00120AFA">
        <w:t>Applications and</w:t>
      </w:r>
      <w:r w:rsidR="00E03A59">
        <w:t>,</w:t>
      </w:r>
      <w:r w:rsidR="00120AFA">
        <w:t xml:space="preserve"> </w:t>
      </w:r>
      <w:r w:rsidR="00645F53">
        <w:t xml:space="preserve">based </w:t>
      </w:r>
      <w:r w:rsidR="0090345F">
        <w:t>up</w:t>
      </w:r>
      <w:r w:rsidR="00645F53">
        <w:t xml:space="preserve">on </w:t>
      </w:r>
      <w:r w:rsidR="001A7528">
        <w:t xml:space="preserve">our review of </w:t>
      </w:r>
      <w:r w:rsidR="00645F53">
        <w:t xml:space="preserve">the specific facts and circumstances of this case, </w:t>
      </w:r>
      <w:r w:rsidR="00E03A59">
        <w:t xml:space="preserve">find that grant of </w:t>
      </w:r>
      <w:r w:rsidR="00645F53">
        <w:t>the above-captioned</w:t>
      </w:r>
      <w:r w:rsidR="00120AFA">
        <w:t xml:space="preserve"> Applications</w:t>
      </w:r>
      <w:r w:rsidR="00E03A59">
        <w:t>,</w:t>
      </w:r>
      <w:r w:rsidR="00120AFA">
        <w:t xml:space="preserve"> with</w:t>
      </w:r>
      <w:r w:rsidR="00E03A59">
        <w:t xml:space="preserve"> the</w:t>
      </w:r>
      <w:r w:rsidR="00120AFA">
        <w:t xml:space="preserve"> conditions </w:t>
      </w:r>
      <w:r w:rsidR="00645F53">
        <w:t>set forth below</w:t>
      </w:r>
      <w:r w:rsidR="00E03A59">
        <w:t>, is in the public interest</w:t>
      </w:r>
      <w:r w:rsidR="00831314">
        <w:t xml:space="preserve">.   </w:t>
      </w:r>
      <w:r w:rsidR="00151D7E">
        <w:t>We plan to release a public notice seeking comment on the remedial PDR.</w:t>
      </w:r>
    </w:p>
    <w:p w:rsidR="00645F53" w:rsidP="00402873" w14:paraId="1FB01579" w14:textId="60E0F088">
      <w:pPr>
        <w:pStyle w:val="Heading1"/>
      </w:pPr>
      <w:r>
        <w:t>background</w:t>
      </w:r>
    </w:p>
    <w:p w:rsidR="00892502" w:rsidP="005E487A" w14:paraId="2A4B1862" w14:textId="73B719CF">
      <w:pPr>
        <w:pStyle w:val="ParaNum"/>
      </w:pPr>
      <w:bookmarkStart w:id="3" w:name="_Ref67483397"/>
      <w:r>
        <w:rPr>
          <w:i/>
          <w:iCs/>
        </w:rPr>
        <w:t>Foreign Ownership</w:t>
      </w:r>
      <w:r>
        <w:t>.</w:t>
      </w:r>
      <w:r w:rsidR="005E487A">
        <w:t xml:space="preserve">  </w:t>
      </w:r>
      <w:r w:rsidR="003326E1">
        <w:t xml:space="preserve">Pursuant to the procedures adopted in the </w:t>
      </w:r>
      <w:r w:rsidR="003326E1">
        <w:rPr>
          <w:i/>
          <w:iCs/>
        </w:rPr>
        <w:t>2016 Foreign Ownership Order</w:t>
      </w:r>
      <w:r w:rsidR="003326E1">
        <w:t>, o</w:t>
      </w:r>
      <w:r w:rsidR="002515E2">
        <w:t xml:space="preserve">n November 5, 2020, the Bureau </w:t>
      </w:r>
      <w:r w:rsidR="007A22DF">
        <w:t xml:space="preserve">released </w:t>
      </w:r>
      <w:r w:rsidR="005D526B">
        <w:t xml:space="preserve">the </w:t>
      </w:r>
      <w:r w:rsidR="005D526B">
        <w:rPr>
          <w:i/>
          <w:iCs/>
        </w:rPr>
        <w:t>2020</w:t>
      </w:r>
      <w:r w:rsidR="007A22DF">
        <w:t xml:space="preserve"> </w:t>
      </w:r>
      <w:r w:rsidR="004126ED">
        <w:rPr>
          <w:i/>
          <w:iCs/>
        </w:rPr>
        <w:t>Declaratory Ruling</w:t>
      </w:r>
      <w:r w:rsidR="007A22DF">
        <w:t xml:space="preserve"> </w:t>
      </w:r>
      <w:r w:rsidR="00AF7E44">
        <w:t>permitting</w:t>
      </w:r>
      <w:r w:rsidR="009E5862">
        <w:t xml:space="preserve"> the </w:t>
      </w:r>
      <w:r w:rsidR="006F65DD">
        <w:t xml:space="preserve">aggregate </w:t>
      </w:r>
      <w:r w:rsidR="00CC0DE3">
        <w:t xml:space="preserve">direct and/or indirect </w:t>
      </w:r>
      <w:r w:rsidR="001C1A43">
        <w:t xml:space="preserve">foreign </w:t>
      </w:r>
      <w:r w:rsidR="00CC0DE3">
        <w:t>equity and voting interests</w:t>
      </w:r>
      <w:r w:rsidR="006F65DD">
        <w:t xml:space="preserve"> in iHeart </w:t>
      </w:r>
      <w:r w:rsidR="004A19BF">
        <w:t xml:space="preserve">to exceed the 25% statutory benchmark and to increase up </w:t>
      </w:r>
      <w:r w:rsidR="00EA3B4D">
        <w:t xml:space="preserve">to </w:t>
      </w:r>
      <w:r w:rsidR="004A19BF">
        <w:t xml:space="preserve">and including </w:t>
      </w:r>
      <w:r w:rsidR="008E68A9">
        <w:t>100%.</w:t>
      </w:r>
      <w:r>
        <w:rPr>
          <w:rStyle w:val="FootnoteReference"/>
        </w:rPr>
        <w:footnoteReference w:id="7"/>
      </w:r>
      <w:r w:rsidR="00AF7E44">
        <w:t xml:space="preserve"> </w:t>
      </w:r>
      <w:r w:rsidR="009F07F2">
        <w:t xml:space="preserve"> </w:t>
      </w:r>
      <w:r w:rsidR="00B46C57">
        <w:t xml:space="preserve">The ruling also granted specific approval for certain named foreign investors to hold more than </w:t>
      </w:r>
      <w:r w:rsidR="001D7F01">
        <w:t>5% of the equity and voting interest in iHeart.</w:t>
      </w:r>
      <w:r>
        <w:rPr>
          <w:rStyle w:val="FootnoteReference"/>
        </w:rPr>
        <w:footnoteReference w:id="8"/>
      </w:r>
      <w:r w:rsidR="001D7F01">
        <w:t xml:space="preserve">  </w:t>
      </w:r>
      <w:r w:rsidR="00D6236C">
        <w:t xml:space="preserve">The </w:t>
      </w:r>
      <w:r w:rsidR="00DE3D84">
        <w:t xml:space="preserve">ruling </w:t>
      </w:r>
      <w:r w:rsidR="00796730">
        <w:t>was</w:t>
      </w:r>
      <w:r w:rsidR="00D6236C">
        <w:t xml:space="preserve"> subject to conditions that </w:t>
      </w:r>
      <w:r w:rsidR="00A406FD">
        <w:t>require iHeart to comply with the</w:t>
      </w:r>
      <w:r w:rsidRPr="0009081C" w:rsidR="005E487A">
        <w:t xml:space="preserve"> </w:t>
      </w:r>
      <w:r w:rsidR="00A406FD">
        <w:t xml:space="preserve">commitments and undertakings set forth in </w:t>
      </w:r>
      <w:r w:rsidR="00573D4E">
        <w:t>the June 29, 2020,</w:t>
      </w:r>
      <w:r w:rsidR="00A406FD">
        <w:t xml:space="preserve"> Letter of </w:t>
      </w:r>
      <w:r w:rsidR="00573D4E">
        <w:t>Agreement</w:t>
      </w:r>
      <w:r w:rsidR="00DE3D84">
        <w:t xml:space="preserve"> (LOA)</w:t>
      </w:r>
      <w:r w:rsidR="00573D4E">
        <w:t xml:space="preserve"> between iHear</w:t>
      </w:r>
      <w:r w:rsidR="00FB4C4B">
        <w:t>t</w:t>
      </w:r>
      <w:r w:rsidR="00573D4E">
        <w:t xml:space="preserve"> and the </w:t>
      </w:r>
      <w:r w:rsidR="00FB4C4B">
        <w:t>U.S. Department of Justice,</w:t>
      </w:r>
      <w:r w:rsidR="005737E1">
        <w:t xml:space="preserve"> as well as the standard terms and conditions set forth in </w:t>
      </w:r>
      <w:r w:rsidR="0077293E">
        <w:t>section 1.5004 of the Commission’s rules.</w:t>
      </w:r>
      <w:r>
        <w:rPr>
          <w:rStyle w:val="FootnoteReference"/>
        </w:rPr>
        <w:footnoteReference w:id="9"/>
      </w:r>
      <w:r w:rsidR="0077293E">
        <w:t xml:space="preserve">  </w:t>
      </w:r>
      <w:r w:rsidR="00232CCF">
        <w:t>Among other things, such terms and conditions</w:t>
      </w:r>
      <w:r w:rsidR="00DB5104">
        <w:t xml:space="preserve"> require that iHeart notify the Commission within 30 days of </w:t>
      </w:r>
      <w:r w:rsidR="002B169F">
        <w:t>knowing</w:t>
      </w:r>
      <w:r w:rsidR="005D47E0">
        <w:t xml:space="preserve"> or having reason to know that the company is no longer in compliance with </w:t>
      </w:r>
      <w:r w:rsidR="004126ED">
        <w:t>the</w:t>
      </w:r>
      <w:r w:rsidR="00DE3D84">
        <w:t xml:space="preserve"> </w:t>
      </w:r>
      <w:r w:rsidR="005D526B">
        <w:rPr>
          <w:i/>
          <w:iCs/>
        </w:rPr>
        <w:t xml:space="preserve">2020 </w:t>
      </w:r>
      <w:r w:rsidR="00DE3D84">
        <w:rPr>
          <w:i/>
          <w:iCs/>
        </w:rPr>
        <w:t xml:space="preserve">Declaratory </w:t>
      </w:r>
      <w:r w:rsidR="00D53464">
        <w:rPr>
          <w:i/>
          <w:iCs/>
        </w:rPr>
        <w:t>R</w:t>
      </w:r>
      <w:r w:rsidR="00DE3D84">
        <w:rPr>
          <w:i/>
          <w:iCs/>
        </w:rPr>
        <w:t>uling</w:t>
      </w:r>
      <w:r w:rsidR="00DE3D84">
        <w:t>, the terms of the LOA</w:t>
      </w:r>
      <w:r w:rsidR="00EC6D64">
        <w:t>, section 310(b) of the Act, or the Commission’s foreign ownership rules</w:t>
      </w:r>
      <w:r w:rsidR="001256E7">
        <w:t>.</w:t>
      </w:r>
      <w:r>
        <w:rPr>
          <w:rStyle w:val="FootnoteReference"/>
        </w:rPr>
        <w:footnoteReference w:id="10"/>
      </w:r>
      <w:bookmarkEnd w:id="3"/>
      <w:r w:rsidR="00232CCF">
        <w:t xml:space="preserve"> </w:t>
      </w:r>
      <w:r w:rsidR="00FB4C4B">
        <w:t xml:space="preserve"> </w:t>
      </w:r>
    </w:p>
    <w:p w:rsidR="00386135" w:rsidP="005E487A" w14:paraId="0AC2FF75" w14:textId="5589D7F7">
      <w:pPr>
        <w:pStyle w:val="ParaNum"/>
      </w:pPr>
      <w:r w:rsidRPr="0009081C">
        <w:t xml:space="preserve">On February </w:t>
      </w:r>
      <w:r w:rsidR="00607D29">
        <w:t>16</w:t>
      </w:r>
      <w:r w:rsidRPr="0009081C">
        <w:t>, 2021</w:t>
      </w:r>
      <w:r w:rsidR="00FC1EB9">
        <w:t xml:space="preserve">, </w:t>
      </w:r>
      <w:r w:rsidRPr="0009081C">
        <w:t>iHeart notified the Audio Division</w:t>
      </w:r>
      <w:r>
        <w:t xml:space="preserve"> (Division)</w:t>
      </w:r>
      <w:r w:rsidR="006F5AA2">
        <w:t xml:space="preserve"> that </w:t>
      </w:r>
      <w:r w:rsidR="00B300DA">
        <w:t>the company learned</w:t>
      </w:r>
      <w:r w:rsidRPr="0009081C">
        <w:t xml:space="preserve"> of an</w:t>
      </w:r>
      <w:r>
        <w:t xml:space="preserve"> </w:t>
      </w:r>
      <w:r w:rsidRPr="0009081C">
        <w:t xml:space="preserve">investment that rendered iHeart </w:t>
      </w:r>
      <w:r w:rsidRPr="0009081C" w:rsidR="005E487A">
        <w:t xml:space="preserve">non-compliant with </w:t>
      </w:r>
      <w:r w:rsidR="005E487A">
        <w:t>the</w:t>
      </w:r>
      <w:r w:rsidR="00C30DD7">
        <w:t xml:space="preserve"> terms of the</w:t>
      </w:r>
      <w:r w:rsidR="005E487A">
        <w:t xml:space="preserve"> </w:t>
      </w:r>
      <w:r w:rsidR="005D526B">
        <w:rPr>
          <w:i/>
          <w:iCs/>
        </w:rPr>
        <w:t xml:space="preserve">2020 </w:t>
      </w:r>
      <w:r w:rsidR="00BD683F">
        <w:rPr>
          <w:i/>
          <w:iCs/>
        </w:rPr>
        <w:t>Declaratory Ruling</w:t>
      </w:r>
      <w:r w:rsidR="00C30DD7">
        <w:t>.</w:t>
      </w:r>
      <w:r>
        <w:rPr>
          <w:rStyle w:val="FootnoteReference"/>
        </w:rPr>
        <w:footnoteReference w:id="11"/>
      </w:r>
      <w:r w:rsidR="00C30DD7">
        <w:t xml:space="preserve">  Specifically, </w:t>
      </w:r>
      <w:r w:rsidR="004600C5">
        <w:t>on February 5, 2021</w:t>
      </w:r>
      <w:r w:rsidR="004E3207">
        <w:t>,</w:t>
      </w:r>
      <w:r w:rsidR="00BD683F">
        <w:t xml:space="preserve"> </w:t>
      </w:r>
      <w:r w:rsidR="00BD53E6">
        <w:t>Global Media &amp; Entertainment Investments Lt</w:t>
      </w:r>
      <w:r w:rsidR="003B673D">
        <w:t>d (GMEI</w:t>
      </w:r>
      <w:r w:rsidR="00EB620A">
        <w:t xml:space="preserve">), </w:t>
      </w:r>
      <w:r w:rsidR="00683D5C">
        <w:t xml:space="preserve">a </w:t>
      </w:r>
      <w:r w:rsidR="00683D5C">
        <w:t xml:space="preserve">Bahamian entity owned and controlled by citizens of the United Kingdom, </w:t>
      </w:r>
      <w:r w:rsidR="005A44BA">
        <w:t xml:space="preserve">filed a Schedule 13D with the U.S. Securities and Exchange Commission (SEC) </w:t>
      </w:r>
      <w:r w:rsidR="00CE52BE">
        <w:t xml:space="preserve">to report its </w:t>
      </w:r>
      <w:r w:rsidR="00F2107C">
        <w:t>ownership</w:t>
      </w:r>
      <w:r w:rsidR="00CE52BE">
        <w:t xml:space="preserve"> of </w:t>
      </w:r>
      <w:r w:rsidR="00F2107C">
        <w:t>approximately</w:t>
      </w:r>
      <w:r w:rsidR="00CE52BE">
        <w:t xml:space="preserve"> 6.6% </w:t>
      </w:r>
      <w:r w:rsidR="00DB07A8">
        <w:t xml:space="preserve">of the </w:t>
      </w:r>
      <w:r w:rsidR="00CE52BE">
        <w:t xml:space="preserve">equity and 8.7% </w:t>
      </w:r>
      <w:r w:rsidR="00DB07A8">
        <w:t xml:space="preserve">of the </w:t>
      </w:r>
      <w:r w:rsidR="00CE52BE">
        <w:t xml:space="preserve">voting </w:t>
      </w:r>
      <w:r w:rsidR="00DB07A8">
        <w:t>interests</w:t>
      </w:r>
      <w:r w:rsidR="00CE52BE">
        <w:t xml:space="preserve"> in iHeart </w:t>
      </w:r>
      <w:r w:rsidR="000A3D8E">
        <w:t>through</w:t>
      </w:r>
      <w:r w:rsidR="00DB07A8">
        <w:t xml:space="preserve"> GMEI’s ownership of 9,631,329 shares of </w:t>
      </w:r>
      <w:r w:rsidR="00DE3114">
        <w:t>iHeart’s Class A Common Stock.</w:t>
      </w:r>
      <w:r>
        <w:rPr>
          <w:rStyle w:val="FootnoteReference"/>
        </w:rPr>
        <w:footnoteReference w:id="12"/>
      </w:r>
      <w:r w:rsidR="000A3D8E">
        <w:t xml:space="preserve"> </w:t>
      </w:r>
      <w:r w:rsidR="008E5190">
        <w:t xml:space="preserve"> Pursuant</w:t>
      </w:r>
      <w:r w:rsidR="00893CB4">
        <w:t xml:space="preserve"> to section 1.5004(f)(3) of the Commission’s rules</w:t>
      </w:r>
      <w:r w:rsidR="00473392">
        <w:t>,</w:t>
      </w:r>
      <w:r>
        <w:rPr>
          <w:rStyle w:val="FootnoteReference"/>
        </w:rPr>
        <w:footnoteReference w:id="13"/>
      </w:r>
      <w:r w:rsidR="00DA07DC">
        <w:t xml:space="preserve"> </w:t>
      </w:r>
      <w:r w:rsidR="00CB37C1">
        <w:t>iHeart</w:t>
      </w:r>
      <w:r w:rsidR="008E5190">
        <w:t xml:space="preserve"> informed the </w:t>
      </w:r>
      <w:r w:rsidR="00E3204B">
        <w:t>Division that iHeart</w:t>
      </w:r>
      <w:r w:rsidR="00BD683F">
        <w:t xml:space="preserve"> intended</w:t>
      </w:r>
      <w:r w:rsidR="00DA07DC">
        <w:t xml:space="preserve"> to file a remedial </w:t>
      </w:r>
      <w:r w:rsidR="00AD667E">
        <w:t>PDR</w:t>
      </w:r>
      <w:r w:rsidR="00716F7E">
        <w:t xml:space="preserve"> within 30 days of the date</w:t>
      </w:r>
      <w:r w:rsidR="00893CB4">
        <w:t xml:space="preserve"> </w:t>
      </w:r>
      <w:r w:rsidR="00133411">
        <w:t>the company</w:t>
      </w:r>
      <w:r w:rsidR="00CB37C1">
        <w:t xml:space="preserve"> learned of the non-complaint foreign interests</w:t>
      </w:r>
      <w:r w:rsidR="005E487A">
        <w:t>.</w:t>
      </w:r>
      <w:r>
        <w:rPr>
          <w:rStyle w:val="FootnoteReference"/>
        </w:rPr>
        <w:footnoteReference w:id="14"/>
      </w:r>
      <w:r w:rsidR="005E487A">
        <w:t xml:space="preserve">  </w:t>
      </w:r>
    </w:p>
    <w:p w:rsidR="005E487A" w:rsidP="005E487A" w14:paraId="64EFFE43" w14:textId="242EFFEA">
      <w:pPr>
        <w:pStyle w:val="ParaNum"/>
      </w:pPr>
      <w:r>
        <w:t>On March 8, 2021,</w:t>
      </w:r>
      <w:r w:rsidRPr="0009081C">
        <w:t xml:space="preserve"> iHeart</w:t>
      </w:r>
      <w:r w:rsidR="007C6DD7">
        <w:t xml:space="preserve"> timely</w:t>
      </w:r>
      <w:r w:rsidRPr="0009081C">
        <w:t xml:space="preserve"> file</w:t>
      </w:r>
      <w:r>
        <w:t>d</w:t>
      </w:r>
      <w:r w:rsidRPr="0009081C">
        <w:t xml:space="preserve"> </w:t>
      </w:r>
      <w:r w:rsidR="00AD667E">
        <w:t>a remedial PDR</w:t>
      </w:r>
      <w:r w:rsidRPr="0009081C">
        <w:t xml:space="preserve"> seeking </w:t>
      </w:r>
      <w:r>
        <w:t xml:space="preserve">specific </w:t>
      </w:r>
      <w:r w:rsidRPr="0009081C">
        <w:t xml:space="preserve">approval </w:t>
      </w:r>
      <w:r>
        <w:t>for</w:t>
      </w:r>
      <w:r w:rsidRPr="0009081C">
        <w:t xml:space="preserve"> </w:t>
      </w:r>
      <w:r w:rsidR="00481FA0">
        <w:t>the non-comp</w:t>
      </w:r>
      <w:r w:rsidR="002533E4">
        <w:t xml:space="preserve">liant </w:t>
      </w:r>
      <w:r w:rsidR="00FE5D02">
        <w:t xml:space="preserve">foreign equity and voting interests </w:t>
      </w:r>
      <w:r w:rsidR="00F31F13">
        <w:t xml:space="preserve">acquired by </w:t>
      </w:r>
      <w:r w:rsidR="00A47A82">
        <w:t xml:space="preserve">GMEI </w:t>
      </w:r>
      <w:r w:rsidR="0024070A">
        <w:t>and its beneficial owners and equity interest holders.</w:t>
      </w:r>
      <w:r>
        <w:rPr>
          <w:rStyle w:val="FootnoteReference"/>
        </w:rPr>
        <w:footnoteReference w:id="15"/>
      </w:r>
      <w:r w:rsidRPr="0009081C">
        <w:t xml:space="preserve"> </w:t>
      </w:r>
      <w:r w:rsidR="00F72429">
        <w:t xml:space="preserve"> </w:t>
      </w:r>
      <w:r>
        <w:t xml:space="preserve">Pursuant to </w:t>
      </w:r>
      <w:r w:rsidR="00E03A59">
        <w:t>s</w:t>
      </w:r>
      <w:r>
        <w:t>ection 1.5004(f)(3) of the Commission’s rules,</w:t>
      </w:r>
      <w:r>
        <w:rPr>
          <w:rStyle w:val="FootnoteReference"/>
        </w:rPr>
        <w:footnoteReference w:id="16"/>
      </w:r>
      <w:r>
        <w:t xml:space="preserve"> </w:t>
      </w:r>
      <w:r w:rsidR="00304F55">
        <w:t>i</w:t>
      </w:r>
      <w:r>
        <w:t>Heart certified that</w:t>
      </w:r>
      <w:r w:rsidR="00BB210A">
        <w:t xml:space="preserve"> GMEI’s acquisition of</w:t>
      </w:r>
      <w:r>
        <w:t xml:space="preserve"> </w:t>
      </w:r>
      <w:r w:rsidR="002D262A">
        <w:t>interests</w:t>
      </w:r>
      <w:r>
        <w:t xml:space="preserve"> </w:t>
      </w:r>
      <w:r w:rsidR="00A678D0">
        <w:t>exceeding</w:t>
      </w:r>
      <w:r>
        <w:t xml:space="preserve"> the 5% </w:t>
      </w:r>
      <w:r w:rsidR="00774C9D">
        <w:t>threshold</w:t>
      </w:r>
      <w:r>
        <w:t xml:space="preserve"> </w:t>
      </w:r>
      <w:r w:rsidR="00745C1A">
        <w:t>requiring</w:t>
      </w:r>
      <w:r w:rsidR="00A678D0">
        <w:t xml:space="preserve"> specific approval </w:t>
      </w:r>
      <w:r>
        <w:t xml:space="preserve">under the Commission’s rules </w:t>
      </w:r>
      <w:r w:rsidR="00037E0E">
        <w:t xml:space="preserve">was an independent investment decision that </w:t>
      </w:r>
      <w:r w:rsidR="00A80714">
        <w:t>occurred</w:t>
      </w:r>
      <w:r w:rsidR="00491458">
        <w:t xml:space="preserve"> on the NASDAQ Stock </w:t>
      </w:r>
      <w:r w:rsidR="00441A5F">
        <w:t xml:space="preserve">Exchange </w:t>
      </w:r>
      <w:r w:rsidR="00FC1F5B">
        <w:t xml:space="preserve">and was </w:t>
      </w:r>
      <w:r w:rsidR="0034147F">
        <w:t>who</w:t>
      </w:r>
      <w:r w:rsidR="00C379D8">
        <w:t>l</w:t>
      </w:r>
      <w:r w:rsidR="0034147F">
        <w:t xml:space="preserve">ly </w:t>
      </w:r>
      <w:r w:rsidR="00C379D8">
        <w:t>outside of</w:t>
      </w:r>
      <w:r w:rsidR="0081657E">
        <w:t xml:space="preserve"> iHeart’s </w:t>
      </w:r>
      <w:r w:rsidR="003333D9">
        <w:t>control</w:t>
      </w:r>
      <w:r w:rsidR="00122556">
        <w:t xml:space="preserve">, was </w:t>
      </w:r>
      <w:r w:rsidR="00CA2BE6">
        <w:t xml:space="preserve">not reasonably foreseeable to iHeart, and was not known </w:t>
      </w:r>
      <w:r w:rsidR="00B85649">
        <w:t>by</w:t>
      </w:r>
      <w:r w:rsidR="00CA2BE6">
        <w:t xml:space="preserve"> iHeart </w:t>
      </w:r>
      <w:r w:rsidR="00937AC8">
        <w:t>prior to</w:t>
      </w:r>
      <w:r>
        <w:t xml:space="preserve"> </w:t>
      </w:r>
      <w:r w:rsidR="00D12E08">
        <w:t>GMEI’s filing of the required Schedule 13D with the SEC</w:t>
      </w:r>
      <w:r>
        <w:t>.</w:t>
      </w:r>
      <w:r>
        <w:rPr>
          <w:rStyle w:val="FootnoteReference"/>
        </w:rPr>
        <w:footnoteReference w:id="17"/>
      </w:r>
      <w:r>
        <w:t xml:space="preserve">  </w:t>
      </w:r>
    </w:p>
    <w:p w:rsidR="000418ED" w:rsidRPr="0074566D" w:rsidP="000418ED" w14:paraId="47D5990E" w14:textId="2F4090A6">
      <w:pPr>
        <w:pStyle w:val="ParaNum"/>
      </w:pPr>
      <w:r>
        <w:rPr>
          <w:i/>
          <w:iCs/>
        </w:rPr>
        <w:t xml:space="preserve">Objections to </w:t>
      </w:r>
      <w:r w:rsidR="00293BC9">
        <w:rPr>
          <w:i/>
          <w:iCs/>
        </w:rPr>
        <w:t>Mortenson</w:t>
      </w:r>
      <w:r>
        <w:rPr>
          <w:i/>
          <w:iCs/>
        </w:rPr>
        <w:t>-iHeart Applications</w:t>
      </w:r>
      <w:r>
        <w:t>.</w:t>
      </w:r>
      <w:r w:rsidR="00C85565">
        <w:t xml:space="preserve">  </w:t>
      </w:r>
      <w:r w:rsidR="00406F31">
        <w:t xml:space="preserve">The five objectors to the </w:t>
      </w:r>
      <w:r w:rsidR="002A3CCD">
        <w:t xml:space="preserve">KKGM, KHVN, and </w:t>
      </w:r>
      <w:r w:rsidR="000D3749">
        <w:t xml:space="preserve">two </w:t>
      </w:r>
      <w:r w:rsidR="002A3CCD">
        <w:t>translator</w:t>
      </w:r>
      <w:r w:rsidR="0044322C">
        <w:t xml:space="preserve"> Applications</w:t>
      </w:r>
      <w:r w:rsidRPr="0074566D">
        <w:t xml:space="preserve"> express appreciation for the programming currently offered by the stations, and </w:t>
      </w:r>
      <w:r>
        <w:t>based on their concerns that the programming may change if the stations are sold as proposed in the Application</w:t>
      </w:r>
      <w:r w:rsidR="005944DA">
        <w:t>s</w:t>
      </w:r>
      <w:r>
        <w:t xml:space="preserve">, the listeners </w:t>
      </w:r>
      <w:r w:rsidRPr="0074566D">
        <w:t>request that the Commission deny the Application</w:t>
      </w:r>
      <w:r>
        <w:t>s</w:t>
      </w:r>
      <w:r w:rsidRPr="0074566D">
        <w:t>.</w:t>
      </w:r>
      <w:r>
        <w:rPr>
          <w:rStyle w:val="FootnoteReference"/>
          <w:szCs w:val="22"/>
        </w:rPr>
        <w:footnoteReference w:id="18"/>
      </w:r>
      <w:r w:rsidRPr="0074566D">
        <w:t xml:space="preserve">  In response, </w:t>
      </w:r>
      <w:r w:rsidR="00E53447">
        <w:t>iHeart</w:t>
      </w:r>
      <w:r w:rsidRPr="0074566D">
        <w:t xml:space="preserve"> </w:t>
      </w:r>
      <w:r w:rsidR="00397FFE">
        <w:t>asserts</w:t>
      </w:r>
      <w:r w:rsidRPr="0074566D">
        <w:t xml:space="preserve"> that the pleadings are procedurally defective as petitions to deny</w:t>
      </w:r>
      <w:r w:rsidR="00EF4EEF">
        <w:t>,</w:t>
      </w:r>
      <w:r w:rsidRPr="0074566D">
        <w:t xml:space="preserve"> and </w:t>
      </w:r>
      <w:r>
        <w:t xml:space="preserve">at most </w:t>
      </w:r>
      <w:r w:rsidRPr="0074566D">
        <w:t xml:space="preserve">must be </w:t>
      </w:r>
      <w:r w:rsidR="006B68A0">
        <w:t>considered</w:t>
      </w:r>
      <w:r w:rsidRPr="0074566D">
        <w:t xml:space="preserve"> as informal objections</w:t>
      </w:r>
      <w:r w:rsidR="00EF4EEF">
        <w:t xml:space="preserve">, </w:t>
      </w:r>
      <w:r w:rsidRPr="0074566D" w:rsidR="00EF4EEF">
        <w:t xml:space="preserve">because </w:t>
      </w:r>
      <w:r w:rsidR="00887BDB">
        <w:t>the pleadings</w:t>
      </w:r>
      <w:r w:rsidRPr="0074566D" w:rsidR="00EF4EEF">
        <w:t xml:space="preserve"> </w:t>
      </w:r>
      <w:r w:rsidR="005033DC">
        <w:t>are not accompanied by</w:t>
      </w:r>
      <w:r w:rsidR="00887BDB">
        <w:t xml:space="preserve"> supporting affidavits </w:t>
      </w:r>
      <w:r w:rsidR="005033DC">
        <w:t xml:space="preserve">and were not </w:t>
      </w:r>
      <w:r w:rsidRPr="0074566D" w:rsidR="00EF4EEF">
        <w:t xml:space="preserve">served on the </w:t>
      </w:r>
      <w:r w:rsidR="005033DC">
        <w:t>applicants</w:t>
      </w:r>
      <w:r w:rsidR="00D05E8F">
        <w:t xml:space="preserve"> as required by</w:t>
      </w:r>
      <w:r w:rsidR="00F80A3F">
        <w:t xml:space="preserve"> </w:t>
      </w:r>
      <w:r w:rsidR="007561EF">
        <w:t>statute and</w:t>
      </w:r>
      <w:r w:rsidR="00F80A3F">
        <w:t xml:space="preserve"> the Commission’s rules</w:t>
      </w:r>
      <w:r w:rsidRPr="0074566D">
        <w:t>.</w:t>
      </w:r>
      <w:r>
        <w:rPr>
          <w:rStyle w:val="FootnoteReference"/>
          <w:szCs w:val="22"/>
        </w:rPr>
        <w:footnoteReference w:id="19"/>
      </w:r>
      <w:r w:rsidRPr="0074566D">
        <w:t xml:space="preserve">  </w:t>
      </w:r>
      <w:r w:rsidR="00EB5956">
        <w:t>iHeart</w:t>
      </w:r>
      <w:r w:rsidRPr="0074566D">
        <w:t xml:space="preserve"> further </w:t>
      </w:r>
      <w:r w:rsidR="00B51E09">
        <w:t>contends</w:t>
      </w:r>
      <w:r w:rsidRPr="0074566D">
        <w:t xml:space="preserve"> that the pleadings should be denied as informal objections because the Commission</w:t>
      </w:r>
      <w:r>
        <w:t xml:space="preserve"> </w:t>
      </w:r>
      <w:r w:rsidR="00733623">
        <w:t>“</w:t>
      </w:r>
      <w:r>
        <w:t xml:space="preserve">has </w:t>
      </w:r>
      <w:r w:rsidR="00733623">
        <w:t xml:space="preserve">held repeatedly that </w:t>
      </w:r>
      <w:r w:rsidR="0003216E">
        <w:t>it does not consider programming and format changes in reviewing applications fo</w:t>
      </w:r>
      <w:r w:rsidR="00531B68">
        <w:t>r</w:t>
      </w:r>
      <w:r w:rsidR="0003216E">
        <w:t xml:space="preserve"> the assignment and transfer of broadcast licenses</w:t>
      </w:r>
      <w:r w:rsidRPr="0074566D">
        <w:t>.</w:t>
      </w:r>
      <w:r w:rsidR="0003216E">
        <w:t>”</w:t>
      </w:r>
      <w:r>
        <w:rPr>
          <w:rStyle w:val="FootnoteReference"/>
          <w:szCs w:val="22"/>
        </w:rPr>
        <w:footnoteReference w:id="20"/>
      </w:r>
      <w:r w:rsidRPr="0074566D">
        <w:t xml:space="preserve">  As such, </w:t>
      </w:r>
      <w:r w:rsidR="00EB5956">
        <w:t>iHeart</w:t>
      </w:r>
      <w:r w:rsidRPr="0074566D">
        <w:t xml:space="preserve"> argues that the objections fail to establish a substantial or material question </w:t>
      </w:r>
      <w:r>
        <w:t xml:space="preserve">of fact that grant of the Applications would be </w:t>
      </w:r>
      <w:r>
        <w:rPr>
          <w:i/>
          <w:iCs/>
        </w:rPr>
        <w:t xml:space="preserve">prima facie </w:t>
      </w:r>
      <w:r>
        <w:t>inconsistent with the public interest, convenience, and necessity</w:t>
      </w:r>
      <w:r w:rsidRPr="0074566D">
        <w:t>.</w:t>
      </w:r>
      <w:r>
        <w:rPr>
          <w:rStyle w:val="FootnoteReference"/>
          <w:szCs w:val="22"/>
        </w:rPr>
        <w:footnoteReference w:id="21"/>
      </w:r>
      <w:r w:rsidRPr="0074566D">
        <w:t xml:space="preserve">  </w:t>
      </w:r>
      <w:r w:rsidR="005626E1">
        <w:t xml:space="preserve">  iHeart</w:t>
      </w:r>
      <w:r w:rsidRPr="0074566D">
        <w:t xml:space="preserve"> </w:t>
      </w:r>
      <w:r w:rsidR="00CC0970">
        <w:t>declares</w:t>
      </w:r>
      <w:r w:rsidRPr="0074566D">
        <w:t xml:space="preserve"> that it intends to operate the stations in the public interest as required by the Communications Act</w:t>
      </w:r>
      <w:r w:rsidR="00B24610">
        <w:t xml:space="preserve"> of 1934, as amended (the Act),</w:t>
      </w:r>
      <w:r w:rsidRPr="0074566D">
        <w:t xml:space="preserve"> and the Commission’s rules</w:t>
      </w:r>
      <w:r w:rsidR="00B24610">
        <w:t xml:space="preserve"> and policies</w:t>
      </w:r>
      <w:r w:rsidRPr="0074566D">
        <w:t>.</w:t>
      </w:r>
      <w:r>
        <w:rPr>
          <w:rStyle w:val="FootnoteReference"/>
          <w:szCs w:val="22"/>
        </w:rPr>
        <w:footnoteReference w:id="22"/>
      </w:r>
    </w:p>
    <w:p w:rsidR="00402873" w:rsidP="007A177D" w14:paraId="30787729" w14:textId="73C1997F">
      <w:pPr>
        <w:pStyle w:val="Heading1"/>
      </w:pPr>
      <w:r>
        <w:t>discussion</w:t>
      </w:r>
    </w:p>
    <w:p w:rsidR="00F833C4" w:rsidP="00BF339A" w14:paraId="543F4702" w14:textId="412E0F9C">
      <w:pPr>
        <w:pStyle w:val="ParaNum"/>
      </w:pPr>
      <w:r>
        <w:t xml:space="preserve">We </w:t>
      </w:r>
      <w:r w:rsidR="001C6E0F">
        <w:t xml:space="preserve">find that </w:t>
      </w:r>
      <w:r w:rsidR="002B29DF">
        <w:t>the public interest will be served by</w:t>
      </w:r>
      <w:r w:rsidR="00FB4CD0">
        <w:t xml:space="preserve"> grant</w:t>
      </w:r>
      <w:r w:rsidR="001C6E0F">
        <w:t xml:space="preserve"> of the Applications with conditions </w:t>
      </w:r>
      <w:r w:rsidR="005C48E4">
        <w:t xml:space="preserve">that, as discussed below, are </w:t>
      </w:r>
      <w:r w:rsidR="00DF730C">
        <w:t xml:space="preserve">designed to insulate, to the extent possible, the non-compliant foreign interests </w:t>
      </w:r>
      <w:r w:rsidR="00E974F5">
        <w:t>pending action on</w:t>
      </w:r>
      <w:r w:rsidR="00DF730C">
        <w:t xml:space="preserve"> </w:t>
      </w:r>
      <w:r w:rsidR="00E974F5">
        <w:t xml:space="preserve">iHeart’s remedial PDR seeking specific approval of those interests.  </w:t>
      </w:r>
      <w:r w:rsidR="00527AAF">
        <w:t xml:space="preserve">We also find that </w:t>
      </w:r>
      <w:r w:rsidR="009A7F95">
        <w:t xml:space="preserve">the record raises no substantial </w:t>
      </w:r>
      <w:r w:rsidR="0012247B">
        <w:t>and material question of fact</w:t>
      </w:r>
      <w:r w:rsidR="003F5C48">
        <w:t xml:space="preserve"> as to whether iHeart</w:t>
      </w:r>
      <w:r w:rsidR="009514B5">
        <w:t xml:space="preserve"> </w:t>
      </w:r>
      <w:r w:rsidR="003F5C48">
        <w:t xml:space="preserve">is qualified to be </w:t>
      </w:r>
      <w:r w:rsidR="002B390E">
        <w:t xml:space="preserve">a licensee of broadcast stations </w:t>
      </w:r>
      <w:r w:rsidR="005E2396">
        <w:t xml:space="preserve">and whether </w:t>
      </w:r>
      <w:r w:rsidR="0012247B">
        <w:t>grant of the Applications</w:t>
      </w:r>
      <w:r w:rsidR="005E2396">
        <w:t xml:space="preserve"> is </w:t>
      </w:r>
      <w:r w:rsidR="00507B5C">
        <w:t>in the public interest.</w:t>
      </w:r>
      <w:r w:rsidR="005E2396">
        <w:t xml:space="preserve"> </w:t>
      </w:r>
      <w:r w:rsidR="0012247B">
        <w:t xml:space="preserve"> </w:t>
      </w:r>
    </w:p>
    <w:p w:rsidR="0057343F" w:rsidRPr="0074566D" w:rsidP="00457632" w14:paraId="0CCD2998" w14:textId="721C0ACA">
      <w:pPr>
        <w:pStyle w:val="ParaNum"/>
      </w:pPr>
      <w:r>
        <w:rPr>
          <w:i/>
          <w:iCs/>
        </w:rPr>
        <w:t xml:space="preserve">Objections to </w:t>
      </w:r>
      <w:r w:rsidR="004A6A79">
        <w:rPr>
          <w:i/>
          <w:iCs/>
        </w:rPr>
        <w:t>Mortenson</w:t>
      </w:r>
      <w:r>
        <w:rPr>
          <w:i/>
          <w:iCs/>
        </w:rPr>
        <w:t>-iHeart Applications</w:t>
      </w:r>
      <w:r>
        <w:t xml:space="preserve">.  </w:t>
      </w:r>
      <w:r w:rsidRPr="0074566D">
        <w:t xml:space="preserve">We </w:t>
      </w:r>
      <w:r>
        <w:t>find</w:t>
      </w:r>
      <w:r w:rsidRPr="0074566D">
        <w:t xml:space="preserve"> that the </w:t>
      </w:r>
      <w:r w:rsidR="00133B78">
        <w:t>o</w:t>
      </w:r>
      <w:r w:rsidR="00165DE3">
        <w:t>bjections, which were filed as “petitions to deny</w:t>
      </w:r>
      <w:r w:rsidR="005F5812">
        <w:t>,</w:t>
      </w:r>
      <w:r w:rsidR="00165DE3">
        <w:t>”</w:t>
      </w:r>
      <w:r w:rsidRPr="0074566D">
        <w:t xml:space="preserve"> </w:t>
      </w:r>
      <w:r w:rsidR="005F5812">
        <w:t xml:space="preserve">do not meet the requirements </w:t>
      </w:r>
      <w:r w:rsidR="005F147B">
        <w:t xml:space="preserve">set forth </w:t>
      </w:r>
      <w:r w:rsidR="00DB7F76">
        <w:t>for</w:t>
      </w:r>
      <w:r w:rsidRPr="0074566D">
        <w:t xml:space="preserve"> petitions to deny</w:t>
      </w:r>
      <w:r w:rsidR="00DB7F76">
        <w:t xml:space="preserve"> </w:t>
      </w:r>
      <w:r w:rsidR="005F147B">
        <w:t>in the Act and the Commission’s rules</w:t>
      </w:r>
      <w:r w:rsidRPr="0074566D">
        <w:t xml:space="preserve">.  </w:t>
      </w:r>
      <w:r w:rsidR="00D007DC">
        <w:t>As iHeart points out, t</w:t>
      </w:r>
      <w:r w:rsidRPr="0074566D">
        <w:t xml:space="preserve">he </w:t>
      </w:r>
      <w:r w:rsidR="009D11CF">
        <w:t>pleadings</w:t>
      </w:r>
      <w:r w:rsidR="005F147B">
        <w:t xml:space="preserve"> are not accompanied</w:t>
      </w:r>
      <w:r w:rsidRPr="0074566D">
        <w:t xml:space="preserve"> </w:t>
      </w:r>
      <w:r w:rsidR="0059731F">
        <w:t xml:space="preserve">by </w:t>
      </w:r>
      <w:r w:rsidR="005F147B">
        <w:t xml:space="preserve">supporting </w:t>
      </w:r>
      <w:r w:rsidRPr="0074566D">
        <w:t>affidavit</w:t>
      </w:r>
      <w:r w:rsidR="005F147B">
        <w:t>s</w:t>
      </w:r>
      <w:r w:rsidR="00E459E7">
        <w:t xml:space="preserve"> and apparently were not properly served on the applicants in accordance with the requirements for petitions to deny in</w:t>
      </w:r>
      <w:r w:rsidRPr="0074566D">
        <w:t xml:space="preserve"> </w:t>
      </w:r>
      <w:r>
        <w:t>s</w:t>
      </w:r>
      <w:r w:rsidRPr="0074566D">
        <w:t>ection 309(d)(1) of the Act</w:t>
      </w:r>
      <w:r w:rsidR="0026335D">
        <w:t xml:space="preserve"> and section 1.47</w:t>
      </w:r>
      <w:r w:rsidR="00BF1F49">
        <w:t xml:space="preserve"> </w:t>
      </w:r>
      <w:r w:rsidR="0026335D">
        <w:t>of the Commission’s rules</w:t>
      </w:r>
      <w:r w:rsidR="00BF1F49">
        <w:t>.</w:t>
      </w:r>
      <w:r>
        <w:rPr>
          <w:rStyle w:val="FootnoteReference"/>
          <w:szCs w:val="22"/>
        </w:rPr>
        <w:footnoteReference w:id="23"/>
      </w:r>
      <w:r w:rsidRPr="0074566D">
        <w:t xml:space="preserve"> </w:t>
      </w:r>
      <w:r w:rsidR="004A6A79">
        <w:t xml:space="preserve"> </w:t>
      </w:r>
      <w:r w:rsidR="00C044C5">
        <w:t>While we find that the pleadings are procedurally defective</w:t>
      </w:r>
      <w:r w:rsidRPr="0074566D">
        <w:t xml:space="preserve"> as petitions to deny</w:t>
      </w:r>
      <w:r w:rsidR="00C044C5">
        <w:t xml:space="preserve">, we </w:t>
      </w:r>
      <w:r w:rsidR="00D007DC">
        <w:t>nevertheless</w:t>
      </w:r>
      <w:r w:rsidR="003E7E3E">
        <w:t xml:space="preserve"> consider the pleadings as informal objections </w:t>
      </w:r>
      <w:r w:rsidR="00DF7659">
        <w:t xml:space="preserve">to the </w:t>
      </w:r>
      <w:r w:rsidR="00FE3F08">
        <w:t>Mortenson</w:t>
      </w:r>
      <w:r w:rsidR="00DF7659">
        <w:t xml:space="preserve">-iHeart Applications pursuant to </w:t>
      </w:r>
      <w:r w:rsidRPr="0074566D">
        <w:t>section 73.3587 of the rules.</w:t>
      </w:r>
      <w:r>
        <w:rPr>
          <w:rStyle w:val="FootnoteReference"/>
          <w:szCs w:val="22"/>
        </w:rPr>
        <w:footnoteReference w:id="24"/>
      </w:r>
    </w:p>
    <w:p w:rsidR="0057343F" w:rsidRPr="0074566D" w:rsidP="009602E8" w14:paraId="5835EDAD" w14:textId="79897184">
      <w:pPr>
        <w:pStyle w:val="ParaNum"/>
      </w:pPr>
      <w:r>
        <w:t>W</w:t>
      </w:r>
      <w:r w:rsidRPr="0074566D">
        <w:t xml:space="preserve">e find that the </w:t>
      </w:r>
      <w:r w:rsidR="00133B78">
        <w:t xml:space="preserve">five </w:t>
      </w:r>
      <w:r w:rsidRPr="0074566D">
        <w:t xml:space="preserve">objectors have not raised a substantial and material question of fact </w:t>
      </w:r>
      <w:r>
        <w:t>that grant of the Applications would be inconsistent with</w:t>
      </w:r>
      <w:r w:rsidR="00701AF1">
        <w:t xml:space="preserve"> section 310(d) of</w:t>
      </w:r>
      <w:r>
        <w:t xml:space="preserve"> the </w:t>
      </w:r>
      <w:r w:rsidR="004174F3">
        <w:t>Act</w:t>
      </w:r>
      <w:r w:rsidRPr="0074566D">
        <w:t>.</w:t>
      </w:r>
      <w:r>
        <w:rPr>
          <w:rStyle w:val="FootnoteReference"/>
          <w:szCs w:val="22"/>
        </w:rPr>
        <w:footnoteReference w:id="25"/>
      </w:r>
      <w:r w:rsidRPr="0074566D">
        <w:t xml:space="preserve">  </w:t>
      </w:r>
      <w:r>
        <w:t xml:space="preserve">As discussed above, the objectors express their concerns about potential changes to the stations’ programming in connection with the sale of the stations and object to the </w:t>
      </w:r>
      <w:r w:rsidR="00D93F85">
        <w:t>Mortenson</w:t>
      </w:r>
      <w:r w:rsidR="00C24CB6">
        <w:t xml:space="preserve">-iHeart </w:t>
      </w:r>
      <w:r>
        <w:t>Application</w:t>
      </w:r>
      <w:r w:rsidR="00C24CB6">
        <w:t>s</w:t>
      </w:r>
      <w:r>
        <w:t xml:space="preserve"> on this basis.  </w:t>
      </w:r>
      <w:r w:rsidR="004373D7">
        <w:t>I</w:t>
      </w:r>
      <w:r w:rsidRPr="0074566D">
        <w:t>t is well-settled policy that the Commission does not regulate programming formats, nor does it take potential format changes into consideration in reviewing license assignment applications.</w:t>
      </w:r>
      <w:r>
        <w:rPr>
          <w:rStyle w:val="FootnoteReference"/>
          <w:szCs w:val="22"/>
        </w:rPr>
        <w:footnoteReference w:id="26"/>
      </w:r>
      <w:r w:rsidRPr="0074566D">
        <w:t xml:space="preserve">  </w:t>
      </w:r>
      <w:r w:rsidRPr="00A53BAD" w:rsidR="006D56B8">
        <w:t>The Commission</w:t>
      </w:r>
      <w:r w:rsidR="006D56B8">
        <w:t>’</w:t>
      </w:r>
      <w:r w:rsidRPr="00A53BAD" w:rsidR="006D56B8">
        <w:t>s role in overseeing program content is very limited.</w:t>
      </w:r>
      <w:r>
        <w:rPr>
          <w:rStyle w:val="FootnoteReference"/>
          <w:szCs w:val="22"/>
        </w:rPr>
        <w:footnoteReference w:id="27"/>
      </w:r>
      <w:r w:rsidRPr="00A53BAD" w:rsidR="006D56B8">
        <w:t xml:space="preserve">  The First Amendment to the </w:t>
      </w:r>
      <w:r w:rsidR="001D5F8F">
        <w:t>U.S.</w:t>
      </w:r>
      <w:r w:rsidRPr="00A53BAD" w:rsidR="006D56B8">
        <w:t xml:space="preserve"> Constitution and section 326 of the Act prohibit the Commission from censoring program material and from interfering with broadcasters</w:t>
      </w:r>
      <w:r w:rsidR="006D56B8">
        <w:t>’</w:t>
      </w:r>
      <w:r w:rsidRPr="00A53BAD" w:rsidR="006D56B8">
        <w:t xml:space="preserve"> freedom of expression.</w:t>
      </w:r>
      <w:r>
        <w:rPr>
          <w:rStyle w:val="FootnoteReference"/>
          <w:szCs w:val="22"/>
        </w:rPr>
        <w:footnoteReference w:id="28"/>
      </w:r>
      <w:r w:rsidRPr="00A53BAD" w:rsidR="006D56B8">
        <w:t xml:space="preserve"> </w:t>
      </w:r>
      <w:r w:rsidR="006D56B8">
        <w:t xml:space="preserve"> </w:t>
      </w:r>
      <w:r w:rsidRPr="0074566D">
        <w:t>In</w:t>
      </w:r>
      <w:r w:rsidR="0060129D">
        <w:t xml:space="preserve"> addition,</w:t>
      </w:r>
      <w:r w:rsidR="00DD529E">
        <w:t xml:space="preserve"> </w:t>
      </w:r>
      <w:r w:rsidRPr="0074566D">
        <w:t xml:space="preserve">the Commission issued a </w:t>
      </w:r>
      <w:r w:rsidRPr="00CB2523">
        <w:rPr>
          <w:i/>
          <w:iCs/>
        </w:rPr>
        <w:t xml:space="preserve">Policy Statement </w:t>
      </w:r>
      <w:r w:rsidRPr="0074566D">
        <w:t xml:space="preserve">in </w:t>
      </w:r>
      <w:r w:rsidR="001F1D91">
        <w:t xml:space="preserve">1976 that </w:t>
      </w:r>
      <w:r w:rsidRPr="0074566D">
        <w:t xml:space="preserve">concluded </w:t>
      </w:r>
      <w:r w:rsidR="001F1D91">
        <w:t>the</w:t>
      </w:r>
      <w:r w:rsidRPr="0074566D">
        <w:t xml:space="preserve"> review of program formats was not required by the Act, would not benefit the </w:t>
      </w:r>
      <w:r w:rsidRPr="0074566D">
        <w:t>public and would deter innovation.</w:t>
      </w:r>
      <w:r>
        <w:rPr>
          <w:rStyle w:val="FootnoteReference"/>
          <w:szCs w:val="22"/>
        </w:rPr>
        <w:footnoteReference w:id="29"/>
      </w:r>
      <w:r w:rsidRPr="0074566D">
        <w:t xml:space="preserve">  The Supreme Court of the United States has upheld this policy and the Commission’s determination that “a change i</w:t>
      </w:r>
      <w:r w:rsidR="00213C1E">
        <w:t>n</w:t>
      </w:r>
      <w:r w:rsidRPr="0074566D">
        <w:t xml:space="preserve"> programming is not a material factor that should be considered by the Commission in ruling on an application for license agreement or transfer.”</w:t>
      </w:r>
      <w:r>
        <w:rPr>
          <w:rStyle w:val="FootnoteReference"/>
          <w:szCs w:val="22"/>
        </w:rPr>
        <w:footnoteReference w:id="30"/>
      </w:r>
      <w:r w:rsidR="00CB2523">
        <w:t xml:space="preserve">  </w:t>
      </w:r>
      <w:r w:rsidRPr="0074566D">
        <w:t xml:space="preserve">Accordingly, we </w:t>
      </w:r>
      <w:r w:rsidR="00D007DC">
        <w:t xml:space="preserve">reject </w:t>
      </w:r>
      <w:r w:rsidR="00E84AF2">
        <w:t>the</w:t>
      </w:r>
      <w:r w:rsidR="00161506">
        <w:t xml:space="preserve"> objectors’</w:t>
      </w:r>
      <w:r w:rsidR="00E84AF2">
        <w:t xml:space="preserve"> </w:t>
      </w:r>
      <w:r w:rsidR="002A00D2">
        <w:t>programming-related concerns</w:t>
      </w:r>
      <w:r w:rsidR="00D007DC">
        <w:t>.</w:t>
      </w:r>
      <w:r w:rsidR="00D007DC">
        <w:t xml:space="preserve"> </w:t>
      </w:r>
    </w:p>
    <w:p w:rsidR="001C40F6" w:rsidP="00BF339A" w14:paraId="4E4DAC0B" w14:textId="62F295E8">
      <w:pPr>
        <w:pStyle w:val="ParaNum"/>
      </w:pPr>
      <w:r>
        <w:rPr>
          <w:i/>
          <w:iCs/>
        </w:rPr>
        <w:t>Foreign Ownership</w:t>
      </w:r>
      <w:r>
        <w:t xml:space="preserve">.  </w:t>
      </w:r>
      <w:r w:rsidR="00843D2C">
        <w:t xml:space="preserve">We </w:t>
      </w:r>
      <w:r w:rsidR="00701AF1">
        <w:t xml:space="preserve">also </w:t>
      </w:r>
      <w:r w:rsidR="00CC61E1">
        <w:t>find</w:t>
      </w:r>
      <w:r w:rsidR="00843D2C">
        <w:t xml:space="preserve"> that grant of the Applications is consistent </w:t>
      </w:r>
      <w:r w:rsidR="00701AF1">
        <w:t xml:space="preserve">with </w:t>
      </w:r>
      <w:r w:rsidR="00FE3B99">
        <w:t>section 310(b)(4) of the Act.</w:t>
      </w:r>
      <w:r>
        <w:rPr>
          <w:rStyle w:val="FootnoteReference"/>
        </w:rPr>
        <w:footnoteReference w:id="31"/>
      </w:r>
      <w:r w:rsidR="00FE3B99">
        <w:t xml:space="preserve">  </w:t>
      </w:r>
      <w:r w:rsidR="00FC2876">
        <w:t>S</w:t>
      </w:r>
      <w:r w:rsidR="00227785">
        <w:t xml:space="preserve">ection </w:t>
      </w:r>
      <w:r w:rsidR="00A545FB">
        <w:t>310(b)(4)</w:t>
      </w:r>
      <w:r w:rsidRPr="009F2C81" w:rsidR="00FC2876">
        <w:t xml:space="preserve"> of the Act states that “[n]o broadcast </w:t>
      </w:r>
      <w:r w:rsidR="00FC2876">
        <w:t>. . .</w:t>
      </w:r>
      <w:r w:rsidRPr="009F2C81" w:rsidR="00FC2876">
        <w:t xml:space="preserve"> license shall be granted to or held by </w:t>
      </w:r>
      <w:r w:rsidR="00FC2876">
        <w:t>. . .</w:t>
      </w:r>
      <w:r w:rsidRPr="009F2C81" w:rsidR="00FC2876">
        <w:t xml:space="preserve">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32"/>
      </w:r>
      <w:r w:rsidR="00FC2876">
        <w:t xml:space="preserve">  </w:t>
      </w:r>
      <w:r w:rsidRPr="00026F61" w:rsidR="00FC2876">
        <w:t>This section of the Act also</w:t>
      </w:r>
      <w:r w:rsidR="00FC2876">
        <w:t xml:space="preserve"> </w:t>
      </w:r>
      <w:r w:rsidR="00FC2876">
        <w:rPr>
          <w:snapToGrid/>
          <w:kern w:val="0"/>
        </w:rPr>
        <w:t>grants the Commission discretion</w:t>
      </w:r>
      <w:r w:rsidRPr="006A2976" w:rsidR="00FC2876">
        <w:rPr>
          <w:kern w:val="0"/>
        </w:rPr>
        <w:t xml:space="preserve"> to </w:t>
      </w:r>
      <w:r w:rsidR="00FC2876">
        <w:rPr>
          <w:snapToGrid/>
          <w:kern w:val="0"/>
        </w:rPr>
        <w:t xml:space="preserve">allow higher levels of foreign investment in a licensee’s controlling </w:t>
      </w:r>
      <w:r w:rsidRPr="006A2976" w:rsidR="00FC2876">
        <w:rPr>
          <w:kern w:val="0"/>
        </w:rPr>
        <w:t xml:space="preserve">U.S.-organized </w:t>
      </w:r>
      <w:r w:rsidR="00FC2876">
        <w:rPr>
          <w:snapToGrid/>
          <w:kern w:val="0"/>
        </w:rPr>
        <w:t>parent</w:t>
      </w:r>
      <w:r w:rsidRPr="002959B6" w:rsidR="00FC2876">
        <w:rPr>
          <w:kern w:val="0"/>
        </w:rPr>
        <w:t xml:space="preserve"> unless the Commission finds that the public interest </w:t>
      </w:r>
      <w:r w:rsidR="00FC2876">
        <w:rPr>
          <w:snapToGrid/>
          <w:kern w:val="0"/>
        </w:rPr>
        <w:t>would</w:t>
      </w:r>
      <w:r w:rsidRPr="002959B6" w:rsidR="00FC2876">
        <w:rPr>
          <w:kern w:val="0"/>
        </w:rPr>
        <w:t xml:space="preserve"> be served by refusing to permit such foreign </w:t>
      </w:r>
      <w:r w:rsidR="00FC2876">
        <w:rPr>
          <w:snapToGrid/>
          <w:kern w:val="0"/>
        </w:rPr>
        <w:t>investment</w:t>
      </w:r>
      <w:r w:rsidRPr="002959B6" w:rsidR="00FC2876">
        <w:rPr>
          <w:kern w:val="0"/>
        </w:rPr>
        <w:t>.</w:t>
      </w:r>
      <w:r>
        <w:rPr>
          <w:rStyle w:val="FootnoteReference"/>
          <w:kern w:val="0"/>
        </w:rPr>
        <w:footnoteReference w:id="33"/>
      </w:r>
      <w:r w:rsidR="00821484">
        <w:t xml:space="preserve">  </w:t>
      </w:r>
      <w:r w:rsidR="00B65F5F">
        <w:t>As discussed above, the</w:t>
      </w:r>
      <w:r w:rsidR="005D526B">
        <w:t xml:space="preserve"> </w:t>
      </w:r>
      <w:r w:rsidR="005D526B">
        <w:rPr>
          <w:i/>
          <w:iCs/>
        </w:rPr>
        <w:t>2020</w:t>
      </w:r>
      <w:r w:rsidR="00BE2C8A">
        <w:t xml:space="preserve"> </w:t>
      </w:r>
      <w:r w:rsidR="00BE2C8A">
        <w:rPr>
          <w:i/>
          <w:iCs/>
        </w:rPr>
        <w:t>Declaratory Ruling</w:t>
      </w:r>
      <w:r w:rsidR="006750BE">
        <w:rPr>
          <w:i/>
          <w:iCs/>
        </w:rPr>
        <w:t xml:space="preserve"> </w:t>
      </w:r>
      <w:r w:rsidR="00591513">
        <w:t xml:space="preserve">found that </w:t>
      </w:r>
      <w:r w:rsidR="00B47C9B">
        <w:t>it is in the public interest to permit</w:t>
      </w:r>
      <w:r w:rsidR="006750BE">
        <w:t xml:space="preserve"> the aggregate direct and/or indirect foreign equity and voting interests in iHeart to exceed the 25% statutory benchmark and to increase up </w:t>
      </w:r>
      <w:r w:rsidR="00924C57">
        <w:t xml:space="preserve">to </w:t>
      </w:r>
      <w:r w:rsidR="006750BE">
        <w:t>and including 100%</w:t>
      </w:r>
      <w:r w:rsidR="00103EEB">
        <w:t>, subject to terms and conditions of the ruling</w:t>
      </w:r>
      <w:r w:rsidR="006750BE">
        <w:t>.</w:t>
      </w:r>
      <w:r>
        <w:rPr>
          <w:rStyle w:val="FootnoteReference"/>
        </w:rPr>
        <w:footnoteReference w:id="34"/>
      </w:r>
      <w:r w:rsidR="006750BE">
        <w:t xml:space="preserve">  The ruling also granted specific approval for </w:t>
      </w:r>
      <w:r w:rsidR="005C58B8">
        <w:t>two groups of foreign entities</w:t>
      </w:r>
      <w:r w:rsidR="00C84201">
        <w:t xml:space="preserve"> (not including GMEI</w:t>
      </w:r>
      <w:r w:rsidR="00940148">
        <w:t xml:space="preserve"> and</w:t>
      </w:r>
      <w:r w:rsidR="00C84201">
        <w:t xml:space="preserve"> its beneficial owners</w:t>
      </w:r>
      <w:r w:rsidR="00940148">
        <w:t xml:space="preserve"> </w:t>
      </w:r>
      <w:r w:rsidR="00233EF2">
        <w:t>and equity interest holders)</w:t>
      </w:r>
      <w:r w:rsidR="006750BE">
        <w:t xml:space="preserve"> to hold more than 5% of the equity and voting interest</w:t>
      </w:r>
      <w:r w:rsidR="00B47C9B">
        <w:t>s</w:t>
      </w:r>
      <w:r w:rsidR="006750BE">
        <w:t xml:space="preserve"> in iHeart</w:t>
      </w:r>
      <w:r w:rsidR="00E93B95">
        <w:t xml:space="preserve"> on the terms and conditions set forth in the ruling</w:t>
      </w:r>
      <w:r w:rsidR="006750BE">
        <w:t>.</w:t>
      </w:r>
      <w:r>
        <w:rPr>
          <w:rStyle w:val="FootnoteReference"/>
        </w:rPr>
        <w:footnoteReference w:id="35"/>
      </w:r>
      <w:r w:rsidR="006750BE">
        <w:t xml:space="preserve"> </w:t>
      </w:r>
      <w:r w:rsidR="00BE2C8A">
        <w:rPr>
          <w:i/>
          <w:iCs/>
        </w:rPr>
        <w:t xml:space="preserve"> </w:t>
      </w:r>
      <w:r w:rsidR="00726AAB">
        <w:t xml:space="preserve">While </w:t>
      </w:r>
      <w:r w:rsidR="007647B8">
        <w:t xml:space="preserve">the GMEI investment renders iHeart non-compliant with </w:t>
      </w:r>
      <w:r w:rsidR="00037868">
        <w:t xml:space="preserve">the </w:t>
      </w:r>
      <w:r w:rsidR="0051105D">
        <w:rPr>
          <w:i/>
          <w:iCs/>
        </w:rPr>
        <w:t>2020 Declaratory Ruling</w:t>
      </w:r>
      <w:r w:rsidR="0051105D">
        <w:t>,</w:t>
      </w:r>
      <w:r>
        <w:rPr>
          <w:rStyle w:val="FootnoteReference"/>
        </w:rPr>
        <w:footnoteReference w:id="36"/>
      </w:r>
      <w:r w:rsidR="0051105D">
        <w:t xml:space="preserve"> </w:t>
      </w:r>
      <w:r w:rsidR="00726AAB">
        <w:t>s</w:t>
      </w:r>
      <w:r w:rsidR="00B26610">
        <w:t>ection 1.5004(f)(3)</w:t>
      </w:r>
      <w:r w:rsidR="0051105D">
        <w:t xml:space="preserve"> of the rules</w:t>
      </w:r>
      <w:r w:rsidR="00BF339A">
        <w:t xml:space="preserve"> permits </w:t>
      </w:r>
      <w:r w:rsidR="00A94357">
        <w:t xml:space="preserve">iHeart </w:t>
      </w:r>
      <w:r w:rsidR="00D7465B">
        <w:t>to file</w:t>
      </w:r>
      <w:r w:rsidR="00A926DD">
        <w:t>, and the Commission to grant</w:t>
      </w:r>
      <w:r w:rsidR="003C3807">
        <w:t xml:space="preserve">, a remedial </w:t>
      </w:r>
      <w:r w:rsidR="008A6D3A">
        <w:t>PDR</w:t>
      </w:r>
      <w:r w:rsidR="004979C4">
        <w:t xml:space="preserve"> </w:t>
      </w:r>
      <w:r w:rsidR="00B02ED0">
        <w:t xml:space="preserve">without </w:t>
      </w:r>
      <w:r w:rsidR="004F32C9">
        <w:t xml:space="preserve">the Commission </w:t>
      </w:r>
      <w:r w:rsidR="002F35E9">
        <w:t xml:space="preserve">taking </w:t>
      </w:r>
      <w:r w:rsidR="00B02ED0">
        <w:t xml:space="preserve">enforcement </w:t>
      </w:r>
      <w:r w:rsidR="00953BAB">
        <w:t>action</w:t>
      </w:r>
      <w:r w:rsidR="0049195B">
        <w:t xml:space="preserve"> for the non-compliance</w:t>
      </w:r>
      <w:r w:rsidR="00F96ED3">
        <w:t>,</w:t>
      </w:r>
      <w:r w:rsidR="00447B42">
        <w:t xml:space="preserve"> subject to the requirements specified</w:t>
      </w:r>
      <w:r w:rsidR="00953BAB">
        <w:t xml:space="preserve"> </w:t>
      </w:r>
      <w:r w:rsidR="00DF77DD">
        <w:t>in section 1.</w:t>
      </w:r>
      <w:r w:rsidR="00114C9F">
        <w:t>5004</w:t>
      </w:r>
      <w:r w:rsidR="00DF77DD">
        <w:t>(f)(3)(</w:t>
      </w:r>
      <w:r w:rsidR="00DF77DD">
        <w:t>i</w:t>
      </w:r>
      <w:r w:rsidR="00DF77DD">
        <w:t xml:space="preserve">) and (ii) </w:t>
      </w:r>
      <w:r w:rsidR="00F56DFD">
        <w:t xml:space="preserve">and </w:t>
      </w:r>
      <w:r w:rsidR="00447B42">
        <w:t>except as otherwise provided</w:t>
      </w:r>
      <w:r w:rsidR="00F96ED3">
        <w:t xml:space="preserve"> in</w:t>
      </w:r>
      <w:r w:rsidR="00946C4B">
        <w:t xml:space="preserve"> section 1.</w:t>
      </w:r>
      <w:r w:rsidR="00114C9F">
        <w:t>5004</w:t>
      </w:r>
      <w:r w:rsidR="00946C4B">
        <w:t>(f)(3)(iii).</w:t>
      </w:r>
      <w:r>
        <w:rPr>
          <w:rStyle w:val="FootnoteReference"/>
        </w:rPr>
        <w:footnoteReference w:id="37"/>
      </w:r>
      <w:r w:rsidR="00946C4B">
        <w:t xml:space="preserve">  </w:t>
      </w:r>
    </w:p>
    <w:p w:rsidR="00BF339A" w:rsidP="00BF339A" w14:paraId="329FDF8A" w14:textId="45676006">
      <w:pPr>
        <w:pStyle w:val="ParaNum"/>
      </w:pPr>
      <w:r>
        <w:t xml:space="preserve">The </w:t>
      </w:r>
      <w:r w:rsidR="00CC5FF2">
        <w:t>Bureau’s practice</w:t>
      </w:r>
      <w:r>
        <w:t xml:space="preserve"> has </w:t>
      </w:r>
      <w:r w:rsidR="00CC5FF2">
        <w:t xml:space="preserve">been to </w:t>
      </w:r>
      <w:r>
        <w:t xml:space="preserve">delay action on </w:t>
      </w:r>
      <w:r w:rsidR="00F767D1">
        <w:t xml:space="preserve">pending </w:t>
      </w:r>
      <w:r>
        <w:t xml:space="preserve">assignment applications while the proposed assignee is out of compliance with </w:t>
      </w:r>
      <w:r w:rsidR="00CD3676">
        <w:t>the Commission’s</w:t>
      </w:r>
      <w:r>
        <w:t xml:space="preserve"> foreign ownership rules.</w:t>
      </w:r>
      <w:r w:rsidR="00F14064">
        <w:t xml:space="preserve">  </w:t>
      </w:r>
      <w:r w:rsidR="002B31D4">
        <w:t xml:space="preserve">However, as </w:t>
      </w:r>
      <w:r w:rsidR="002B31D4">
        <w:t>discussed above, s</w:t>
      </w:r>
      <w:r w:rsidR="00F14064">
        <w:t>ection 1.500</w:t>
      </w:r>
      <w:r w:rsidR="00CC5FF2">
        <w:t>4</w:t>
      </w:r>
      <w:r w:rsidR="00F14064">
        <w:t xml:space="preserve">(f)(3) </w:t>
      </w:r>
      <w:r w:rsidR="002B31D4">
        <w:t xml:space="preserve">provides for the filing </w:t>
      </w:r>
      <w:r w:rsidR="00231358">
        <w:t>and grant of remedial PDRs</w:t>
      </w:r>
      <w:r w:rsidR="001C40F6">
        <w:t>.  Section 1.500</w:t>
      </w:r>
      <w:r w:rsidR="00CC5FF2">
        <w:t>4</w:t>
      </w:r>
      <w:r w:rsidR="001C40F6">
        <w:t xml:space="preserve">(f)(3) </w:t>
      </w:r>
      <w:r w:rsidR="00F14064">
        <w:t>does not address how such remedial PDRs should be handled in the context of pending assignment applications</w:t>
      </w:r>
      <w:r w:rsidR="001C40F6">
        <w:t>,</w:t>
      </w:r>
      <w:r>
        <w:rPr>
          <w:rStyle w:val="FootnoteReference"/>
        </w:rPr>
        <w:footnoteReference w:id="38"/>
      </w:r>
      <w:r w:rsidR="001C40F6">
        <w:t xml:space="preserve"> and we </w:t>
      </w:r>
      <w:r w:rsidR="001E488F">
        <w:t xml:space="preserve">find that neither the Act nor the rules prevents us from </w:t>
      </w:r>
      <w:r w:rsidR="00A02684">
        <w:t xml:space="preserve">granting the Applications if we </w:t>
      </w:r>
      <w:r w:rsidR="00883F10">
        <w:t>are able to make the requisite public interest findings</w:t>
      </w:r>
      <w:r w:rsidR="00F14064">
        <w:t>.</w:t>
      </w:r>
      <w:r>
        <w:rPr>
          <w:rStyle w:val="FootnoteReference"/>
        </w:rPr>
        <w:footnoteReference w:id="39"/>
      </w:r>
      <w:r w:rsidR="00497670">
        <w:t xml:space="preserve">  Because</w:t>
      </w:r>
      <w:r>
        <w:t xml:space="preserve"> iHeart</w:t>
      </w:r>
      <w:r w:rsidR="00C75773">
        <w:t xml:space="preserve"> </w:t>
      </w:r>
      <w:r w:rsidR="001741E2">
        <w:t xml:space="preserve">has previously </w:t>
      </w:r>
      <w:r w:rsidR="005316E5">
        <w:t>been found qualified to be the licensee of over 850 full-service radio stations,</w:t>
      </w:r>
      <w:r>
        <w:rPr>
          <w:rStyle w:val="FootnoteReference"/>
        </w:rPr>
        <w:footnoteReference w:id="40"/>
      </w:r>
      <w:r w:rsidR="005316E5">
        <w:t xml:space="preserve"> </w:t>
      </w:r>
      <w:r>
        <w:t xml:space="preserve">did not solicit </w:t>
      </w:r>
      <w:r w:rsidR="00BF3769">
        <w:t>the non-compliant</w:t>
      </w:r>
      <w:r>
        <w:t xml:space="preserve"> foreign </w:t>
      </w:r>
      <w:r w:rsidRPr="0009081C">
        <w:t xml:space="preserve">investment </w:t>
      </w:r>
      <w:r>
        <w:t xml:space="preserve">and was not even aware of it until </w:t>
      </w:r>
      <w:r w:rsidR="00351980">
        <w:t xml:space="preserve">GMEI’s </w:t>
      </w:r>
      <w:r>
        <w:t>SEC filing</w:t>
      </w:r>
      <w:r w:rsidR="00497670">
        <w:t>,</w:t>
      </w:r>
      <w:r>
        <w:rPr>
          <w:rStyle w:val="FootnoteReference"/>
        </w:rPr>
        <w:footnoteReference w:id="41"/>
      </w:r>
      <w:r w:rsidR="00CE3DB4">
        <w:t xml:space="preserve"> </w:t>
      </w:r>
      <w:r w:rsidR="000E7D49">
        <w:t xml:space="preserve">and complied with the Commission’s rules </w:t>
      </w:r>
      <w:r w:rsidR="00082C9B">
        <w:t>for notifying the Commission upon learning</w:t>
      </w:r>
      <w:r w:rsidR="00E05F9E">
        <w:t xml:space="preserve"> about the</w:t>
      </w:r>
      <w:r w:rsidR="000E7D49">
        <w:t xml:space="preserve"> unsolicited investment,</w:t>
      </w:r>
      <w:r>
        <w:rPr>
          <w:rStyle w:val="FootnoteReference"/>
        </w:rPr>
        <w:footnoteReference w:id="42"/>
      </w:r>
      <w:r w:rsidR="000E7D49">
        <w:t xml:space="preserve"> </w:t>
      </w:r>
      <w:r w:rsidR="00CE3DB4">
        <w:t xml:space="preserve">we conclude that </w:t>
      </w:r>
      <w:r w:rsidR="00625E9F">
        <w:t xml:space="preserve">the public interest will be served by </w:t>
      </w:r>
      <w:r w:rsidR="00CE3DB4">
        <w:t>grant</w:t>
      </w:r>
      <w:r w:rsidR="00625E9F">
        <w:t xml:space="preserve"> of</w:t>
      </w:r>
      <w:r w:rsidR="00CE3DB4">
        <w:t xml:space="preserve"> the Applications with </w:t>
      </w:r>
      <w:r w:rsidR="002839AA">
        <w:t xml:space="preserve">the following </w:t>
      </w:r>
      <w:r w:rsidR="00CE3DB4">
        <w:t>conditions</w:t>
      </w:r>
      <w:r w:rsidR="002839AA">
        <w:t>, which are</w:t>
      </w:r>
      <w:r w:rsidR="00CE3DB4">
        <w:t xml:space="preserve"> </w:t>
      </w:r>
      <w:r>
        <w:t xml:space="preserve">designed to insulate, to the extent possible, the </w:t>
      </w:r>
      <w:r w:rsidR="00770E2E">
        <w:t>new foreign</w:t>
      </w:r>
      <w:r>
        <w:t xml:space="preserve"> interest</w:t>
      </w:r>
      <w:r w:rsidR="00770E2E">
        <w:t>s</w:t>
      </w:r>
      <w:r>
        <w:t xml:space="preserve"> </w:t>
      </w:r>
      <w:r w:rsidRPr="0009081C">
        <w:t>while the remedial PDR</w:t>
      </w:r>
      <w:r>
        <w:t xml:space="preserve"> seeking specific approval</w:t>
      </w:r>
      <w:r w:rsidRPr="0009081C">
        <w:t xml:space="preserve"> </w:t>
      </w:r>
      <w:r w:rsidR="00AA70E2">
        <w:t xml:space="preserve">of such interests </w:t>
      </w:r>
      <w:r w:rsidRPr="0009081C">
        <w:t>is pending</w:t>
      </w:r>
      <w:r w:rsidR="002839AA">
        <w:t>:</w:t>
      </w:r>
    </w:p>
    <w:p w:rsidR="00BD643F" w:rsidRPr="00387BB6" w:rsidP="004B58F3" w14:paraId="7698DD26" w14:textId="082D4E39">
      <w:pPr>
        <w:numPr>
          <w:ilvl w:val="0"/>
          <w:numId w:val="14"/>
        </w:numPr>
        <w:spacing w:after="120"/>
      </w:pPr>
      <w:bookmarkStart w:id="4" w:name="_Hlk67476675"/>
      <w:r w:rsidRPr="00387BB6">
        <w:t>iHeart must suspend all voting rights associated with any stock held in iHeart, directly and/or indirectly, by Global Media &amp; Entertainment Investments Ltd., The Global Media &amp; Entertainment Investments Trust (The GMEI Trust), James Hill (as trustee of The GMEI Trust), Simon Groom (as trustee of The GMEI Trust), and Michael Tabor (as beneficiary of The GMEI Trust), or any of their affiliates or third parties to whom they may assign or transfer any of their rights or interests (collectively, the GMEI Investors), until and unless the Commission releases a declaratory ruling granting specific approval for each of the GMEI Investors to hold, directly and/or indirectly, more than 5% of the equity and/or voting interests in iHeart.</w:t>
      </w:r>
    </w:p>
    <w:p w:rsidR="00BD643F" w:rsidRPr="00387BB6" w:rsidP="004B58F3" w14:paraId="1072CFEE" w14:textId="610D5AD5">
      <w:pPr>
        <w:numPr>
          <w:ilvl w:val="0"/>
          <w:numId w:val="14"/>
        </w:numPr>
        <w:spacing w:after="120"/>
      </w:pPr>
      <w:r w:rsidRPr="00387BB6">
        <w:t>No GMEI Investor shall have the right to do any of the following, and iHeart shall not allow any GMEI Investor to do any of the following, until and unless the Commission releases a declaratory ruling granting specific approval for each of the GMEI Investors to hold, directly and/or indirectly, more than 5% of the equity and/or voting interests in iHeart:</w:t>
      </w:r>
    </w:p>
    <w:p w:rsidR="00BD643F" w:rsidRPr="00387BB6" w:rsidP="004B58F3" w14:paraId="4B620C80" w14:textId="73C7FBC1">
      <w:pPr>
        <w:numPr>
          <w:ilvl w:val="1"/>
          <w:numId w:val="14"/>
        </w:numPr>
        <w:spacing w:after="120"/>
      </w:pPr>
      <w:r w:rsidRPr="00387BB6">
        <w:t>Designate, appoint, nominate, or serve as a member of the board of directors of iHeart;</w:t>
      </w:r>
    </w:p>
    <w:p w:rsidR="00BD643F" w:rsidRPr="00387BB6" w:rsidP="004B58F3" w14:paraId="3E9605D6" w14:textId="520D0BCB">
      <w:pPr>
        <w:numPr>
          <w:ilvl w:val="1"/>
          <w:numId w:val="14"/>
        </w:numPr>
        <w:spacing w:after="120"/>
      </w:pPr>
      <w:r w:rsidRPr="00387BB6">
        <w:t>Attend any meeting of the board of directors of iHeart;</w:t>
      </w:r>
    </w:p>
    <w:p w:rsidR="00BD643F" w:rsidRPr="00387BB6" w:rsidP="004B58F3" w14:paraId="46A9081A" w14:textId="6942B46C">
      <w:pPr>
        <w:numPr>
          <w:ilvl w:val="1"/>
          <w:numId w:val="14"/>
        </w:numPr>
        <w:spacing w:after="120"/>
      </w:pPr>
      <w:r w:rsidRPr="00387BB6">
        <w:t>Receive any non-public materials from iHeart, including any non-public materials distributed to the board of directors of iHeart;</w:t>
      </w:r>
    </w:p>
    <w:p w:rsidR="00BD643F" w:rsidRPr="00387BB6" w:rsidP="004B58F3" w14:paraId="29C1D1B8" w14:textId="2AEA5430">
      <w:pPr>
        <w:numPr>
          <w:ilvl w:val="1"/>
          <w:numId w:val="14"/>
        </w:numPr>
        <w:spacing w:after="120"/>
      </w:pPr>
      <w:r w:rsidRPr="00387BB6">
        <w:t>Have any role in or communicate with iHeart concerning the day-to-day management or operations of iHeart’s radio stations; or</w:t>
      </w:r>
    </w:p>
    <w:p w:rsidR="00BD643F" w:rsidRPr="00387BB6" w:rsidP="004B58F3" w14:paraId="46E590EE" w14:textId="4B99828B">
      <w:pPr>
        <w:numPr>
          <w:ilvl w:val="1"/>
          <w:numId w:val="14"/>
        </w:numPr>
        <w:spacing w:after="120"/>
      </w:pPr>
      <w:r w:rsidRPr="00387BB6">
        <w:t>Have any role in or veto right with respect to a decision to buy or sell a radio station.</w:t>
      </w:r>
    </w:p>
    <w:p w:rsidR="00BD643F" w:rsidRPr="00387BB6" w:rsidP="004B58F3" w14:paraId="43FB49DD" w14:textId="4BD1BA91">
      <w:pPr>
        <w:widowControl/>
        <w:numPr>
          <w:ilvl w:val="0"/>
          <w:numId w:val="14"/>
        </w:numPr>
        <w:spacing w:after="120"/>
      </w:pPr>
      <w:r w:rsidRPr="00387BB6">
        <w:t xml:space="preserve">No employee, agent, or affiliate of the GMEI Investors shall be an officer, director, employee, or consultant of iHeart (including subsidiaries and affiliates of iHeart) until and unless the Commission releases a declaratory ruling granting specific approval for each of the GMEI Investors to hold, directly and/or indirectly, more than 5% of the equity and/or voting interests in iHeart.  iHeart shall not permit any employee, agent, or affiliate of the GMEI Investors to be an officer, director, employee, or consultant of iHeart (including subsidiaries and affiliates of iHeart) until and unless the Commission releases a declaratory ruling granting specific approval for each </w:t>
      </w:r>
      <w:r w:rsidRPr="00387BB6">
        <w:t>of the GMEI Investors to hold, directly and/or indirectly, more than 5% of the equity and/or voting interests in iHeart.</w:t>
      </w:r>
    </w:p>
    <w:p w:rsidR="00BD643F" w:rsidRPr="00387BB6" w:rsidP="004B58F3" w14:paraId="26C3A8F5" w14:textId="2FD52EF2">
      <w:pPr>
        <w:widowControl/>
        <w:numPr>
          <w:ilvl w:val="0"/>
          <w:numId w:val="14"/>
        </w:numPr>
        <w:spacing w:after="120"/>
      </w:pPr>
      <w:r w:rsidRPr="00387BB6">
        <w:t>iHeart must ensure that any and all dividends and/or distributions payable to the GMEI Investors are placed in escrow and that no such dividend or distribution is made to the GMEI Investors until and unless the Commission releases a declaratory ruling granting specific approval for each of the GMEI Investors to hold, directly and/or indirectly, more than 5% of the equity and/or voting interests in iHeart.</w:t>
      </w:r>
    </w:p>
    <w:p w:rsidR="00BD643F" w:rsidRPr="00387BB6" w:rsidP="004B58F3" w14:paraId="10EDB6E3" w14:textId="2BC03A46">
      <w:pPr>
        <w:numPr>
          <w:ilvl w:val="0"/>
          <w:numId w:val="14"/>
        </w:numPr>
        <w:spacing w:after="120"/>
      </w:pPr>
      <w:r w:rsidRPr="00387BB6">
        <w:t>Within seven days of the date of grant of the assignment application, iHeart shall submit a declaration to the Chief, Audio Division, Media Bureau, confirming that iHeart is in compliance with each of the preceding conditions and that iHeart will exercise its rights under its organizational documents to remain in compliance with each of the preceding conditions until and unless the Commission releases a declaratory ruling granting specific approval for each of the GMEI Investors to hold, directly and/or indirectly, more than 5% of the equity and/or voting interests in iHeart.</w:t>
      </w:r>
    </w:p>
    <w:p w:rsidR="00BD643F" w:rsidP="004B58F3" w14:paraId="237381D5" w14:textId="6A219033">
      <w:pPr>
        <w:numPr>
          <w:ilvl w:val="0"/>
          <w:numId w:val="14"/>
        </w:numPr>
        <w:spacing w:after="120"/>
      </w:pPr>
      <w:r w:rsidRPr="00387BB6">
        <w:t>Pursuant to Section 1.5004(f)(3)(iii) of the Commission’s rules, if the petition</w:t>
      </w:r>
      <w:r>
        <w:rPr>
          <w:rStyle w:val="FootnoteReference"/>
        </w:rPr>
        <w:footnoteReference w:id="43"/>
      </w:r>
      <w:r w:rsidRPr="00387BB6">
        <w:t xml:space="preserve"> is</w:t>
      </w:r>
      <w:r w:rsidR="00A21DDB">
        <w:t xml:space="preserve"> not granted in full</w:t>
      </w:r>
      <w:r w:rsidRPr="00387BB6">
        <w:t>, iHeart must come into compliance no later than 30 days following the Commission’s decision, unless the Commission determines under such rule that immediate remedial action is required.</w:t>
      </w:r>
      <w:r>
        <w:rPr>
          <w:rStyle w:val="FootnoteReference"/>
        </w:rPr>
        <w:footnoteReference w:id="44"/>
      </w:r>
      <w:r w:rsidRPr="00387BB6">
        <w:t xml:space="preserve">  </w:t>
      </w:r>
    </w:p>
    <w:bookmarkEnd w:id="4"/>
    <w:p w:rsidR="00CB4A2D" w:rsidP="001025A7" w14:paraId="4C30E122" w14:textId="6BA37163">
      <w:pPr>
        <w:pStyle w:val="ParaNum"/>
      </w:pPr>
      <w:r>
        <w:t>We emphasize</w:t>
      </w:r>
      <w:r w:rsidR="001025A7">
        <w:t xml:space="preserve"> that </w:t>
      </w:r>
      <w:r w:rsidR="00DE29D5">
        <w:t>the</w:t>
      </w:r>
      <w:r w:rsidR="001025A7">
        <w:t xml:space="preserve"> conditions </w:t>
      </w:r>
      <w:r w:rsidR="00476DB7">
        <w:t xml:space="preserve">set forth above, </w:t>
      </w:r>
      <w:r w:rsidR="00852D72">
        <w:t>which relate only to the specific facts of this case</w:t>
      </w:r>
      <w:r w:rsidR="00476DB7">
        <w:t>,</w:t>
      </w:r>
      <w:r w:rsidR="00DE29D5">
        <w:t xml:space="preserve"> </w:t>
      </w:r>
      <w:r w:rsidR="001025A7">
        <w:t xml:space="preserve">do not convert </w:t>
      </w:r>
      <w:r w:rsidR="0062049E">
        <w:t xml:space="preserve">the non-compliant foreign </w:t>
      </w:r>
      <w:r w:rsidR="00F66DE6">
        <w:t>interests</w:t>
      </w:r>
      <w:r w:rsidR="00AF1958">
        <w:t xml:space="preserve"> held by GMEI, its beneficial owners, and equity interest holders</w:t>
      </w:r>
      <w:r w:rsidR="002C76B7">
        <w:t>,</w:t>
      </w:r>
      <w:r w:rsidR="001025A7">
        <w:t xml:space="preserve"> into something </w:t>
      </w:r>
      <w:r w:rsidR="00AF39AB">
        <w:t>other than</w:t>
      </w:r>
      <w:r w:rsidR="001025A7">
        <w:t xml:space="preserve"> “</w:t>
      </w:r>
      <w:r w:rsidR="001025A7">
        <w:rPr>
          <w:shd w:val="clear" w:color="auto" w:fill="FFFFFF"/>
        </w:rPr>
        <w:t>capital stock [] owned of record”</w:t>
      </w:r>
      <w:r w:rsidR="001025A7">
        <w:t xml:space="preserve"> </w:t>
      </w:r>
      <w:r w:rsidR="0067182F">
        <w:t xml:space="preserve">and that </w:t>
      </w:r>
      <w:r w:rsidR="00544AB7">
        <w:t>the GMEI</w:t>
      </w:r>
      <w:r w:rsidR="0067182F">
        <w:t xml:space="preserve"> interests </w:t>
      </w:r>
      <w:r w:rsidR="00544AB7">
        <w:t xml:space="preserve">remain </w:t>
      </w:r>
      <w:r w:rsidR="001025A7">
        <w:t xml:space="preserve">subject to </w:t>
      </w:r>
      <w:r w:rsidR="00544AB7">
        <w:t>s</w:t>
      </w:r>
      <w:r w:rsidR="001025A7">
        <w:t>ection 310(b)(4)</w:t>
      </w:r>
      <w:r w:rsidR="00544AB7">
        <w:t xml:space="preserve"> of the Act</w:t>
      </w:r>
      <w:r w:rsidR="001025A7">
        <w:t>.</w:t>
      </w:r>
      <w:r>
        <w:rPr>
          <w:rStyle w:val="FootnoteReference"/>
        </w:rPr>
        <w:footnoteReference w:id="45"/>
      </w:r>
      <w:r w:rsidR="001025A7">
        <w:t xml:space="preserve">  </w:t>
      </w:r>
      <w:r w:rsidR="00544AB7">
        <w:t>W</w:t>
      </w:r>
      <w:r w:rsidR="001025A7">
        <w:t xml:space="preserve">hile the conditions are </w:t>
      </w:r>
      <w:r w:rsidR="00720534">
        <w:t>designed</w:t>
      </w:r>
      <w:r w:rsidR="001025A7">
        <w:t xml:space="preserve"> to limit the ability of the non-compliant foreign investors to control or influence iHeart, </w:t>
      </w:r>
      <w:r w:rsidR="004F32C9">
        <w:t xml:space="preserve">we note that </w:t>
      </w:r>
      <w:r w:rsidR="001025A7">
        <w:t>the</w:t>
      </w:r>
      <w:r w:rsidR="008E33E9">
        <w:t xml:space="preserve"> foreign ownership</w:t>
      </w:r>
      <w:r w:rsidR="001025A7">
        <w:t xml:space="preserve"> restrictions in </w:t>
      </w:r>
      <w:r w:rsidR="008E33E9">
        <w:t>s</w:t>
      </w:r>
      <w:r w:rsidR="001025A7">
        <w:t>ection 310(b)(4) extend beyond interests that confer control or influence.</w:t>
      </w:r>
      <w:r>
        <w:rPr>
          <w:rStyle w:val="FootnoteReference"/>
        </w:rPr>
        <w:footnoteReference w:id="46"/>
      </w:r>
      <w:r w:rsidR="001025A7">
        <w:t xml:space="preserve">  </w:t>
      </w:r>
    </w:p>
    <w:p w:rsidR="001025A7" w:rsidRPr="001025A7" w:rsidP="001025A7" w14:paraId="425F7F48" w14:textId="4ADCBA20">
      <w:pPr>
        <w:pStyle w:val="ParaNum"/>
      </w:pPr>
      <w:r>
        <w:t>O</w:t>
      </w:r>
      <w:r w:rsidR="00E1136C">
        <w:t>ur decision to grant the Applications with conditions is based on our finding</w:t>
      </w:r>
      <w:r w:rsidR="00E354C8">
        <w:t>s</w:t>
      </w:r>
      <w:r w:rsidR="00E1136C">
        <w:t xml:space="preserve"> </w:t>
      </w:r>
      <w:r>
        <w:t xml:space="preserve">under </w:t>
      </w:r>
      <w:r w:rsidR="00C119E7">
        <w:t>s</w:t>
      </w:r>
      <w:r>
        <w:t>ections 310(b)(4) and 310(d)</w:t>
      </w:r>
      <w:r w:rsidR="00E354C8">
        <w:t xml:space="preserve"> of the Act that the public interest will be served by</w:t>
      </w:r>
      <w:r>
        <w:t xml:space="preserve"> grant of the </w:t>
      </w:r>
      <w:r w:rsidR="00C119E7">
        <w:t>Applications</w:t>
      </w:r>
      <w:r w:rsidR="005B03D7">
        <w:t xml:space="preserve"> (subject to the conditions enumerated herein)</w:t>
      </w:r>
      <w:r w:rsidR="001A731A">
        <w:t>,</w:t>
      </w:r>
      <w:r>
        <w:t xml:space="preserve"> despite the </w:t>
      </w:r>
      <w:r w:rsidR="00284838">
        <w:t>non-compliant foreign investment</w:t>
      </w:r>
      <w:r w:rsidR="001A731A">
        <w:t>,</w:t>
      </w:r>
      <w:r>
        <w:t xml:space="preserve"> based on the specific facts of this case</w:t>
      </w:r>
      <w:r w:rsidR="00AE6153">
        <w:t xml:space="preserve">.  </w:t>
      </w:r>
      <w:r w:rsidR="001C1EEA">
        <w:t xml:space="preserve">We note that </w:t>
      </w:r>
      <w:r w:rsidR="00875F45">
        <w:t>iHeart is</w:t>
      </w:r>
      <w:r w:rsidR="001C1EEA">
        <w:t xml:space="preserve"> </w:t>
      </w:r>
      <w:r w:rsidR="00383F00">
        <w:t xml:space="preserve">the </w:t>
      </w:r>
      <w:r w:rsidR="00875F45">
        <w:t xml:space="preserve">publicly traded controlling U.S. parent of </w:t>
      </w:r>
      <w:r w:rsidR="006F1634">
        <w:t>broadcast licensees</w:t>
      </w:r>
      <w:r w:rsidR="00F41983">
        <w:t xml:space="preserve"> and that the </w:t>
      </w:r>
      <w:r w:rsidR="00D66613">
        <w:t>company’s existing declaratory ruling authorizes up to and including 100% aggregate direct and/or indirect foreign investment (equity and voting</w:t>
      </w:r>
      <w:r w:rsidR="003F1729">
        <w:t xml:space="preserve"> interests) in iHeart and specifically approve</w:t>
      </w:r>
      <w:r w:rsidR="00660102">
        <w:t>s</w:t>
      </w:r>
      <w:r w:rsidR="003F1729">
        <w:t xml:space="preserve"> two groups of foreign entities</w:t>
      </w:r>
      <w:r w:rsidR="0042733A">
        <w:t xml:space="preserve"> </w:t>
      </w:r>
      <w:r w:rsidR="00464422">
        <w:t>(not including GMEI and its beneficial owners and equity interest holders) to hold more than 5% of the iHeart’s equity and/or voting interests</w:t>
      </w:r>
      <w:r w:rsidR="004578FD">
        <w:t>.</w:t>
      </w:r>
      <w:r>
        <w:rPr>
          <w:rStyle w:val="FootnoteReference"/>
        </w:rPr>
        <w:footnoteReference w:id="47"/>
      </w:r>
      <w:r w:rsidR="004578FD">
        <w:t xml:space="preserve">  </w:t>
      </w:r>
      <w:r w:rsidR="00F672B8">
        <w:t>We also note</w:t>
      </w:r>
      <w:r w:rsidR="00B315EE">
        <w:t xml:space="preserve"> </w:t>
      </w:r>
      <w:r w:rsidR="0077290C">
        <w:t xml:space="preserve">that </w:t>
      </w:r>
      <w:r w:rsidR="00DC02B4">
        <w:t xml:space="preserve">GMEI is a Bahamian entity owned and controlled by citizens of the United Kingdom and that </w:t>
      </w:r>
      <w:r w:rsidR="00F672B8">
        <w:t xml:space="preserve">according to </w:t>
      </w:r>
      <w:r w:rsidR="0077290C">
        <w:t>iHeart</w:t>
      </w:r>
      <w:r w:rsidR="00F672B8">
        <w:t xml:space="preserve">, GMEI’s acquisition of </w:t>
      </w:r>
      <w:r w:rsidR="00D9295D">
        <w:t xml:space="preserve">iHeart’s class A common stock on the NASDAQ Stock Exchange was an independent investment decision </w:t>
      </w:r>
      <w:r w:rsidR="002A264F">
        <w:t>by GMEI and was wholly outside of iHeart’s control</w:t>
      </w:r>
      <w:r w:rsidR="00ED3E07">
        <w:t xml:space="preserve"> </w:t>
      </w:r>
      <w:r w:rsidR="00ED3E07">
        <w:t>and</w:t>
      </w:r>
      <w:r w:rsidR="002A264F">
        <w:t xml:space="preserve"> not reasonably foreseeable </w:t>
      </w:r>
      <w:r w:rsidR="00ED3E07">
        <w:t>or</w:t>
      </w:r>
      <w:r w:rsidR="002A264F">
        <w:t xml:space="preserve"> known to iHeart before or at the time </w:t>
      </w:r>
      <w:r w:rsidR="00B251C4">
        <w:t xml:space="preserve">the investment </w:t>
      </w:r>
      <w:r w:rsidR="002A264F">
        <w:t>occurred.</w:t>
      </w:r>
      <w:r>
        <w:rPr>
          <w:rStyle w:val="FootnoteReference"/>
        </w:rPr>
        <w:footnoteReference w:id="48"/>
      </w:r>
      <w:r w:rsidR="002A264F">
        <w:t xml:space="preserve">  </w:t>
      </w:r>
      <w:r w:rsidR="00B251C4">
        <w:t xml:space="preserve">In addition, we note that the Applications had been pending for well over 30 days before the filing of the SEC Form 13D reporting </w:t>
      </w:r>
      <w:r w:rsidR="00B03B53">
        <w:t>GMEI’s</w:t>
      </w:r>
      <w:r w:rsidR="00B251C4">
        <w:t xml:space="preserve"> non-compliant foreign investment.</w:t>
      </w:r>
      <w:r>
        <w:rPr>
          <w:rStyle w:val="FootnoteReference"/>
        </w:rPr>
        <w:footnoteReference w:id="49"/>
      </w:r>
      <w:r w:rsidR="00B251C4">
        <w:t xml:space="preserve">  </w:t>
      </w:r>
      <w:r w:rsidR="00CB4A2D">
        <w:t>And</w:t>
      </w:r>
      <w:r w:rsidR="00D007DC">
        <w:t>,</w:t>
      </w:r>
      <w:r w:rsidR="00CB4A2D">
        <w:t xml:space="preserve"> as discussed above, </w:t>
      </w:r>
      <w:r w:rsidR="001A1456">
        <w:t xml:space="preserve">pending action on the remedial PDR, </w:t>
      </w:r>
      <w:r w:rsidR="00CB4A2D">
        <w:t>we</w:t>
      </w:r>
      <w:r w:rsidR="001A1456">
        <w:t xml:space="preserve"> </w:t>
      </w:r>
      <w:r w:rsidR="00B608A1">
        <w:t>require that</w:t>
      </w:r>
      <w:r>
        <w:t xml:space="preserve"> </w:t>
      </w:r>
      <w:r w:rsidR="00B608A1">
        <w:t xml:space="preserve">iHeart </w:t>
      </w:r>
      <w:r>
        <w:t xml:space="preserve">comply with the conditions </w:t>
      </w:r>
      <w:r w:rsidR="001A1456">
        <w:t>specified herein</w:t>
      </w:r>
      <w:r w:rsidR="00C865E3">
        <w:t xml:space="preserve">, which are designed to limit the ability of </w:t>
      </w:r>
      <w:r w:rsidR="00720534">
        <w:t>GMEI</w:t>
      </w:r>
      <w:r w:rsidR="00DC30CA">
        <w:t xml:space="preserve">, including </w:t>
      </w:r>
      <w:r w:rsidR="00720534">
        <w:t>its beneficial owners and equity interest holders</w:t>
      </w:r>
      <w:r w:rsidR="00DC30CA">
        <w:t>,</w:t>
      </w:r>
      <w:r w:rsidR="00720534">
        <w:t xml:space="preserve"> to </w:t>
      </w:r>
      <w:r w:rsidR="00B57689">
        <w:t>control or influence iHeart</w:t>
      </w:r>
      <w:r>
        <w:t xml:space="preserve">.  </w:t>
      </w:r>
    </w:p>
    <w:p w:rsidR="00340152" w:rsidP="00340152" w14:paraId="207ACBCB" w14:textId="25399437">
      <w:pPr>
        <w:pStyle w:val="Heading1"/>
      </w:pPr>
      <w:r>
        <w:t>ordering clauses</w:t>
      </w:r>
      <w:r w:rsidRPr="0074566D" w:rsidR="00BA5933">
        <w:t xml:space="preserve">  </w:t>
      </w:r>
    </w:p>
    <w:p w:rsidR="00BA5933" w:rsidRPr="0074566D" w:rsidP="00BA5933" w14:paraId="0A0EAF1C" w14:textId="68C7447A">
      <w:pPr>
        <w:pStyle w:val="ParaNum"/>
      </w:pPr>
      <w:r w:rsidRPr="0074566D">
        <w:t>Accordingly, IT IS ORDERED that the petitions to deny filed by</w:t>
      </w:r>
      <w:r>
        <w:t xml:space="preserve"> Pamela Young (Pleading File No. </w:t>
      </w:r>
      <w:r w:rsidRPr="005056D0">
        <w:t>130169</w:t>
      </w:r>
      <w:r>
        <w:t xml:space="preserve">), </w:t>
      </w:r>
      <w:r w:rsidRPr="005056D0">
        <w:t>Xavier E Sanders</w:t>
      </w:r>
      <w:r>
        <w:t xml:space="preserve"> (Pleading File No. </w:t>
      </w:r>
      <w:r w:rsidRPr="005056D0">
        <w:t>130179</w:t>
      </w:r>
      <w:r>
        <w:t xml:space="preserve">), </w:t>
      </w:r>
      <w:r w:rsidRPr="005056D0">
        <w:t>Shenita L. Cleveland</w:t>
      </w:r>
      <w:r>
        <w:t xml:space="preserve"> (Pleading File No. </w:t>
      </w:r>
      <w:r w:rsidRPr="005056D0">
        <w:t>130211</w:t>
      </w:r>
      <w:r>
        <w:t xml:space="preserve">), </w:t>
      </w:r>
      <w:r w:rsidRPr="005056D0">
        <w:t>Brian Berry</w:t>
      </w:r>
      <w:r>
        <w:t xml:space="preserve"> (Pleading File No. </w:t>
      </w:r>
      <w:r w:rsidRPr="005056D0">
        <w:t>130247</w:t>
      </w:r>
      <w:r>
        <w:t xml:space="preserve">), and </w:t>
      </w:r>
      <w:r w:rsidRPr="005056D0">
        <w:t>Yolanda G Butler</w:t>
      </w:r>
      <w:r>
        <w:t xml:space="preserve"> (Pleading File No. </w:t>
      </w:r>
      <w:r w:rsidRPr="005056D0">
        <w:t>130305</w:t>
      </w:r>
      <w:r>
        <w:t>)</w:t>
      </w:r>
      <w:r w:rsidR="001F43B7">
        <w:t xml:space="preserve"> </w:t>
      </w:r>
      <w:r w:rsidRPr="0074566D">
        <w:t xml:space="preserve">ARE DISMISSED </w:t>
      </w:r>
      <w:r w:rsidR="00FF127F">
        <w:t xml:space="preserve">and alternatively </w:t>
      </w:r>
      <w:r w:rsidRPr="0074566D">
        <w:t>ARE DENIED</w:t>
      </w:r>
      <w:r w:rsidR="00C102C5">
        <w:t xml:space="preserve"> as discussed herein</w:t>
      </w:r>
      <w:r w:rsidRPr="0074566D">
        <w:t xml:space="preserve">. </w:t>
      </w:r>
    </w:p>
    <w:p w:rsidR="007A177D" w:rsidRPr="005B20EF" w:rsidP="00BA5933" w14:paraId="652A9073" w14:textId="34A86691">
      <w:pPr>
        <w:pStyle w:val="ParaNum"/>
        <w:rPr>
          <w:bCs/>
        </w:rPr>
      </w:pPr>
      <w:bookmarkStart w:id="5" w:name="_Ref67487112"/>
      <w:r w:rsidRPr="0074566D">
        <w:t>IT IS FURTHER ORDERED</w:t>
      </w:r>
      <w:r w:rsidR="008E0C08">
        <w:t xml:space="preserve"> that</w:t>
      </w:r>
      <w:r w:rsidR="00C102C5">
        <w:t xml:space="preserve">, pursuant to sections </w:t>
      </w:r>
      <w:r w:rsidR="00340809">
        <w:t>4(</w:t>
      </w:r>
      <w:r w:rsidR="00340809">
        <w:t>i</w:t>
      </w:r>
      <w:r w:rsidR="00340809">
        <w:t xml:space="preserve">), 4(j), </w:t>
      </w:r>
      <w:r w:rsidR="00021421">
        <w:t xml:space="preserve">309, </w:t>
      </w:r>
      <w:r w:rsidR="00A015BD">
        <w:t xml:space="preserve">310(b)(4) and 310(d) of the Act, 47 U.S.C. </w:t>
      </w:r>
      <w:r w:rsidR="00021421">
        <w:t>§</w:t>
      </w:r>
      <w:r w:rsidR="00A015BD">
        <w:t>§ </w:t>
      </w:r>
      <w:r w:rsidRPr="00590AFD" w:rsidR="006E46BA">
        <w:t>154(</w:t>
      </w:r>
      <w:r w:rsidRPr="00590AFD" w:rsidR="006E46BA">
        <w:t>i</w:t>
      </w:r>
      <w:r w:rsidRPr="00590AFD" w:rsidR="006E46BA">
        <w:t xml:space="preserve">), </w:t>
      </w:r>
      <w:r w:rsidR="006E46BA">
        <w:t>154</w:t>
      </w:r>
      <w:r w:rsidRPr="00590AFD" w:rsidR="006E46BA">
        <w:t>(</w:t>
      </w:r>
      <w:r w:rsidR="006E46BA">
        <w:t>j</w:t>
      </w:r>
      <w:r w:rsidRPr="00590AFD" w:rsidR="006E46BA">
        <w:t>)</w:t>
      </w:r>
      <w:r w:rsidR="006E46BA">
        <w:t xml:space="preserve">, 309, </w:t>
      </w:r>
      <w:r w:rsidR="00A015BD">
        <w:t>310(b)(4), (d),</w:t>
      </w:r>
      <w:r w:rsidR="00021421">
        <w:t xml:space="preserve"> and sections 0.61(a) and 0.283 of the Commission’s rules, </w:t>
      </w:r>
      <w:r w:rsidR="006E46BA">
        <w:t xml:space="preserve">47 CFR §§ 0.61(a) and 0.283, </w:t>
      </w:r>
      <w:r w:rsidRPr="0074566D">
        <w:t>the amended application</w:t>
      </w:r>
      <w:r>
        <w:t>s</w:t>
      </w:r>
      <w:r w:rsidRPr="0074566D">
        <w:t xml:space="preserve"> to assign the licenses for station</w:t>
      </w:r>
      <w:r w:rsidR="008E0C08">
        <w:t>s</w:t>
      </w:r>
      <w:r w:rsidRPr="0074566D">
        <w:t xml:space="preserve"> KKGM(AM), Fort Worth, TX (File No. 129304), K221GV, Fort Worth, TX (File No. 129305), KHVN(AM), Fort Worth, TX (File No. 129306), and </w:t>
      </w:r>
      <w:r w:rsidRPr="0074566D">
        <w:rPr>
          <w:bCs/>
        </w:rPr>
        <w:t xml:space="preserve">K237HD, </w:t>
      </w:r>
      <w:r w:rsidRPr="0074566D">
        <w:t>Fort Worth, TX (File No. 129307) from</w:t>
      </w:r>
      <w:r w:rsidRPr="0074566D">
        <w:rPr>
          <w:bCs/>
        </w:rPr>
        <w:t xml:space="preserve"> </w:t>
      </w:r>
      <w:r w:rsidRPr="0074566D">
        <w:t>Mortenson Broadcasting Co. of Texas, Inc. to iHM Licenses, LLC</w:t>
      </w:r>
      <w:r>
        <w:t>,</w:t>
      </w:r>
      <w:r w:rsidRPr="0074566D">
        <w:t xml:space="preserve"> </w:t>
      </w:r>
      <w:r>
        <w:t>ARE</w:t>
      </w:r>
      <w:r w:rsidRPr="0074566D">
        <w:t xml:space="preserve"> GRANTED</w:t>
      </w:r>
      <w:r w:rsidR="00123834">
        <w:t xml:space="preserve">, SUBJECT TO THE CONDITIONS SPECIFIED BELOW in paragraph </w:t>
      </w:r>
      <w:r w:rsidR="005C2F02">
        <w:fldChar w:fldCharType="begin"/>
      </w:r>
      <w:r w:rsidR="005C2F02">
        <w:instrText xml:space="preserve"> REF _Ref67487077 \r \h </w:instrText>
      </w:r>
      <w:r w:rsidR="005C2F02">
        <w:fldChar w:fldCharType="separate"/>
      </w:r>
      <w:r w:rsidR="005C2F02">
        <w:t>17</w:t>
      </w:r>
      <w:r w:rsidR="005C2F02">
        <w:fldChar w:fldCharType="end"/>
      </w:r>
      <w:r w:rsidRPr="0074566D">
        <w:t>.</w:t>
      </w:r>
      <w:bookmarkEnd w:id="5"/>
    </w:p>
    <w:p w:rsidR="005B20EF" w:rsidRPr="00BA5933" w:rsidP="005B20EF" w14:paraId="6290FA7B" w14:textId="1EDB8001">
      <w:pPr>
        <w:pStyle w:val="ParaNum"/>
        <w:rPr>
          <w:bCs/>
        </w:rPr>
      </w:pPr>
      <w:r w:rsidRPr="0074566D">
        <w:t>IT IS FURTHER ORDERED</w:t>
      </w:r>
      <w:r>
        <w:t xml:space="preserve"> that, pursuant to sections 4(</w:t>
      </w:r>
      <w:r>
        <w:t>i</w:t>
      </w:r>
      <w:r>
        <w:t>), 4(j), 309, 310(b)(4) and 310(d) of the Act, 47 U.S.C. §§ </w:t>
      </w:r>
      <w:r w:rsidRPr="00590AFD" w:rsidR="006E46BA">
        <w:t>154(</w:t>
      </w:r>
      <w:r w:rsidRPr="00590AFD" w:rsidR="006E46BA">
        <w:t>i</w:t>
      </w:r>
      <w:r w:rsidRPr="00590AFD" w:rsidR="006E46BA">
        <w:t xml:space="preserve">), </w:t>
      </w:r>
      <w:r w:rsidR="006E46BA">
        <w:t>154</w:t>
      </w:r>
      <w:r w:rsidRPr="00590AFD" w:rsidR="006E46BA">
        <w:t>(</w:t>
      </w:r>
      <w:r w:rsidR="006E46BA">
        <w:t>j</w:t>
      </w:r>
      <w:r w:rsidRPr="00590AFD" w:rsidR="006E46BA">
        <w:t>)</w:t>
      </w:r>
      <w:r w:rsidR="006E46BA">
        <w:t xml:space="preserve">, 309, </w:t>
      </w:r>
      <w:r>
        <w:t xml:space="preserve">310(b)(4), (d), and sections 0.61(a) and 0.283 of the Commission’s rules, </w:t>
      </w:r>
      <w:r w:rsidR="006E46BA">
        <w:t xml:space="preserve">47 CFR §§ 0.61(a) and 0.283, </w:t>
      </w:r>
      <w:r w:rsidRPr="0074566D">
        <w:t>the amended application</w:t>
      </w:r>
      <w:r>
        <w:t>s</w:t>
      </w:r>
      <w:r w:rsidRPr="0074566D">
        <w:t xml:space="preserve"> to assign the license for station </w:t>
      </w:r>
      <w:r>
        <w:t>KXZY</w:t>
      </w:r>
      <w:r w:rsidRPr="0074566D">
        <w:t xml:space="preserve">(AM), </w:t>
      </w:r>
      <w:r>
        <w:t>Houston</w:t>
      </w:r>
      <w:r w:rsidRPr="0074566D">
        <w:t xml:space="preserve">, TX (File No. </w:t>
      </w:r>
      <w:r w:rsidRPr="00872848">
        <w:rPr>
          <w:spacing w:val="-2"/>
        </w:rPr>
        <w:t>129419</w:t>
      </w:r>
      <w:r w:rsidRPr="0074566D">
        <w:t>)</w:t>
      </w:r>
      <w:r>
        <w:t xml:space="preserve"> </w:t>
      </w:r>
      <w:r w:rsidRPr="0074566D">
        <w:t>from</w:t>
      </w:r>
      <w:r w:rsidRPr="0074566D">
        <w:rPr>
          <w:bCs/>
        </w:rPr>
        <w:t xml:space="preserve"> </w:t>
      </w:r>
      <w:r>
        <w:t>Multicultural Radio Broadcasting Licensee, LLC,</w:t>
      </w:r>
      <w:r w:rsidRPr="0074566D">
        <w:t xml:space="preserve"> to iHM Licenses, LLC</w:t>
      </w:r>
      <w:r>
        <w:t>,</w:t>
      </w:r>
      <w:r w:rsidRPr="0074566D">
        <w:t xml:space="preserve"> </w:t>
      </w:r>
      <w:r w:rsidR="00583922">
        <w:t>IS</w:t>
      </w:r>
      <w:r w:rsidRPr="0074566D">
        <w:t xml:space="preserve"> GRANTED</w:t>
      </w:r>
      <w:r>
        <w:t xml:space="preserve">, SUBJECT TO THE CONDITIONS SPECIFIED BELOW in paragraph </w:t>
      </w:r>
      <w:r w:rsidR="005C2F02">
        <w:fldChar w:fldCharType="begin"/>
      </w:r>
      <w:r w:rsidR="005C2F02">
        <w:instrText xml:space="preserve"> REF _Ref67487077 \r \h </w:instrText>
      </w:r>
      <w:r w:rsidR="005C2F02">
        <w:fldChar w:fldCharType="separate"/>
      </w:r>
      <w:r w:rsidR="005C2F02">
        <w:t>17</w:t>
      </w:r>
      <w:r w:rsidR="005C2F02">
        <w:fldChar w:fldCharType="end"/>
      </w:r>
      <w:r w:rsidRPr="0074566D">
        <w:t>.</w:t>
      </w:r>
    </w:p>
    <w:p w:rsidR="00583922" w:rsidRPr="00BA5933" w:rsidP="00583922" w14:paraId="0F58FE55" w14:textId="64BC1AE6">
      <w:pPr>
        <w:pStyle w:val="ParaNum"/>
        <w:rPr>
          <w:bCs/>
        </w:rPr>
      </w:pPr>
      <w:bookmarkStart w:id="6" w:name="_Ref67487116"/>
      <w:r w:rsidRPr="0074566D">
        <w:t>IT IS FURTHER ORDERED</w:t>
      </w:r>
      <w:r>
        <w:t xml:space="preserve"> that, pursuant to sections 4(</w:t>
      </w:r>
      <w:r>
        <w:t>i</w:t>
      </w:r>
      <w:r>
        <w:t>), 4(j), 309, 310(b)(4) and 310(d) of the Act, 47 U.S.C. §§ </w:t>
      </w:r>
      <w:r w:rsidRPr="00590AFD" w:rsidR="006E46BA">
        <w:t>154(</w:t>
      </w:r>
      <w:r w:rsidRPr="00590AFD" w:rsidR="006E46BA">
        <w:t>i</w:t>
      </w:r>
      <w:r w:rsidRPr="00590AFD" w:rsidR="006E46BA">
        <w:t xml:space="preserve">), </w:t>
      </w:r>
      <w:r w:rsidR="006E46BA">
        <w:t>154</w:t>
      </w:r>
      <w:r w:rsidRPr="00590AFD" w:rsidR="006E46BA">
        <w:t>(</w:t>
      </w:r>
      <w:r w:rsidR="006E46BA">
        <w:t>j</w:t>
      </w:r>
      <w:r w:rsidRPr="00590AFD" w:rsidR="006E46BA">
        <w:t>)</w:t>
      </w:r>
      <w:r w:rsidR="006E46BA">
        <w:t xml:space="preserve">, 309, </w:t>
      </w:r>
      <w:r>
        <w:t xml:space="preserve">310(b)(4), (d), and sections 0.61(a) and 0.283 of the Commission’s rules, </w:t>
      </w:r>
      <w:r w:rsidR="006E46BA">
        <w:t xml:space="preserve">47 CFR §§ 0.61(a) and 0.283, </w:t>
      </w:r>
      <w:r w:rsidRPr="0074566D">
        <w:t>the amended application</w:t>
      </w:r>
      <w:r>
        <w:t>s</w:t>
      </w:r>
      <w:r w:rsidRPr="0074566D">
        <w:t xml:space="preserve"> to assign the license for station </w:t>
      </w:r>
      <w:r>
        <w:t>KSNR</w:t>
      </w:r>
      <w:r w:rsidRPr="0074566D">
        <w:t>(</w:t>
      </w:r>
      <w:r>
        <w:t>F</w:t>
      </w:r>
      <w:r w:rsidRPr="0074566D">
        <w:t xml:space="preserve">M), </w:t>
      </w:r>
      <w:r w:rsidR="00C9578D">
        <w:t>Fisher, MN</w:t>
      </w:r>
      <w:r w:rsidRPr="0074566D">
        <w:t xml:space="preserve"> (File No. </w:t>
      </w:r>
      <w:r w:rsidRPr="00872848" w:rsidR="00C9578D">
        <w:rPr>
          <w:spacing w:val="-2"/>
        </w:rPr>
        <w:t>130061</w:t>
      </w:r>
      <w:r w:rsidRPr="0074566D">
        <w:t>)</w:t>
      </w:r>
      <w:r>
        <w:t xml:space="preserve"> </w:t>
      </w:r>
      <w:r w:rsidRPr="0074566D">
        <w:t>from</w:t>
      </w:r>
      <w:r w:rsidRPr="0074566D">
        <w:rPr>
          <w:bCs/>
        </w:rPr>
        <w:t xml:space="preserve"> </w:t>
      </w:r>
      <w:r w:rsidR="00C9578D">
        <w:t>the Sun and Snow Station Trust LLC</w:t>
      </w:r>
      <w:r w:rsidRPr="0074566D">
        <w:t xml:space="preserve"> to iHM Licenses, LLC</w:t>
      </w:r>
      <w:r>
        <w:t>,</w:t>
      </w:r>
      <w:r w:rsidRPr="0074566D">
        <w:t xml:space="preserve"> </w:t>
      </w:r>
      <w:r>
        <w:t>IS</w:t>
      </w:r>
      <w:r w:rsidRPr="0074566D">
        <w:t xml:space="preserve"> GRANTED</w:t>
      </w:r>
      <w:r>
        <w:t xml:space="preserve">, SUBJECT TO THE CONDITIONS SPECIFIED BELOW in paragraph </w:t>
      </w:r>
      <w:r w:rsidR="005C2F02">
        <w:fldChar w:fldCharType="begin"/>
      </w:r>
      <w:r w:rsidR="005C2F02">
        <w:instrText xml:space="preserve"> REF _Ref67487077 \r \h </w:instrText>
      </w:r>
      <w:r w:rsidR="005C2F02">
        <w:fldChar w:fldCharType="separate"/>
      </w:r>
      <w:r w:rsidR="005C2F02">
        <w:t>17</w:t>
      </w:r>
      <w:r w:rsidR="005C2F02">
        <w:fldChar w:fldCharType="end"/>
      </w:r>
      <w:r w:rsidRPr="0074566D">
        <w:t>.</w:t>
      </w:r>
      <w:bookmarkEnd w:id="6"/>
    </w:p>
    <w:p w:rsidR="00257C9F" w:rsidRPr="00257C9F" w:rsidP="00BA5933" w14:paraId="4A98E83F" w14:textId="1F60DF45">
      <w:pPr>
        <w:pStyle w:val="ParaNum"/>
        <w:rPr>
          <w:bCs/>
        </w:rPr>
      </w:pPr>
      <w:bookmarkStart w:id="7" w:name="_Ref67487077"/>
      <w:r w:rsidRPr="0074566D">
        <w:t>IT IS FURTHER ORDERED</w:t>
      </w:r>
      <w:r>
        <w:t xml:space="preserve"> that, pursuant to sections 4(</w:t>
      </w:r>
      <w:r>
        <w:t>i</w:t>
      </w:r>
      <w:r>
        <w:t>), 4(j), 309, 310(b)(4) and 310(d) of the Act, 47 U.S.C. §§ </w:t>
      </w:r>
      <w:r w:rsidRPr="00590AFD" w:rsidR="006E46BA">
        <w:t>154(</w:t>
      </w:r>
      <w:r w:rsidRPr="00590AFD" w:rsidR="006E46BA">
        <w:t>i</w:t>
      </w:r>
      <w:r w:rsidRPr="00590AFD" w:rsidR="006E46BA">
        <w:t xml:space="preserve">), </w:t>
      </w:r>
      <w:r w:rsidR="006E46BA">
        <w:t>154</w:t>
      </w:r>
      <w:r w:rsidRPr="00590AFD" w:rsidR="006E46BA">
        <w:t>(</w:t>
      </w:r>
      <w:r w:rsidR="006E46BA">
        <w:t>j</w:t>
      </w:r>
      <w:r w:rsidRPr="00590AFD" w:rsidR="006E46BA">
        <w:t>)</w:t>
      </w:r>
      <w:r w:rsidR="006E46BA">
        <w:t xml:space="preserve">, 309, </w:t>
      </w:r>
      <w:r>
        <w:t xml:space="preserve">310(b)(4), (d), and sections 0.61(a) and 0.283 of the Commission’s rules, </w:t>
      </w:r>
      <w:r w:rsidR="006E46BA">
        <w:t xml:space="preserve">47 CFR §§ 0.61(a) and 0.283, </w:t>
      </w:r>
      <w:r w:rsidR="002276C3">
        <w:t xml:space="preserve">the grants of the applications </w:t>
      </w:r>
      <w:r w:rsidR="007D1187">
        <w:t xml:space="preserve">as set forth in </w:t>
      </w:r>
      <w:r>
        <w:t>paragraphs</w:t>
      </w:r>
      <w:r w:rsidR="005C2F02">
        <w:t xml:space="preserve"> </w:t>
      </w:r>
      <w:r w:rsidR="005C2F02">
        <w:fldChar w:fldCharType="begin"/>
      </w:r>
      <w:r w:rsidR="005C2F02">
        <w:instrText xml:space="preserve"> REF _Ref67487112 \r \h </w:instrText>
      </w:r>
      <w:r w:rsidR="005C2F02">
        <w:fldChar w:fldCharType="separate"/>
      </w:r>
      <w:r w:rsidR="005C2F02">
        <w:t>14</w:t>
      </w:r>
      <w:r w:rsidR="005C2F02">
        <w:fldChar w:fldCharType="end"/>
      </w:r>
      <w:r w:rsidR="005C2F02">
        <w:t xml:space="preserve"> through </w:t>
      </w:r>
      <w:r w:rsidR="005C2F02">
        <w:fldChar w:fldCharType="begin"/>
      </w:r>
      <w:r w:rsidR="005C2F02">
        <w:instrText xml:space="preserve"> REF _Ref67487116 \r \h </w:instrText>
      </w:r>
      <w:r w:rsidR="005C2F02">
        <w:fldChar w:fldCharType="separate"/>
      </w:r>
      <w:r w:rsidR="005C2F02">
        <w:t>16</w:t>
      </w:r>
      <w:r w:rsidR="005C2F02">
        <w:fldChar w:fldCharType="end"/>
      </w:r>
      <w:r>
        <w:t xml:space="preserve"> ARE SUBJECT TO THE FOLLOWING CONDITIONS:</w:t>
      </w:r>
      <w:bookmarkEnd w:id="7"/>
    </w:p>
    <w:p w:rsidR="00257C9F" w:rsidRPr="00257C9F" w:rsidP="00257C9F" w14:paraId="01497466" w14:textId="6E90C5B3">
      <w:pPr>
        <w:numPr>
          <w:ilvl w:val="0"/>
          <w:numId w:val="13"/>
        </w:numPr>
        <w:spacing w:after="120"/>
      </w:pPr>
      <w:bookmarkStart w:id="8" w:name="_Hlk67495849"/>
      <w:r w:rsidRPr="00257C9F">
        <w:t xml:space="preserve">iHeart must suspend all voting rights associated with any stock held in iHeart, directly and/or indirectly, by Global Media &amp; Entertainment Investments Ltd., The Global Media &amp; Entertainment Investments Trust (The GMEI Trust), James Hill (as trustee of The GMEI Trust), Simon Groom (as trustee of The GMEI Trust), and Michael Tabor (as beneficiary of The GMEI Trust), or any of their affiliates or third parties to whom they may assign or transfer any of their rights or interests (collectively, the GMEI Investors), until and unless the Commission releases a </w:t>
      </w:r>
      <w:r w:rsidRPr="00257C9F">
        <w:t>declaratory ruling granting specific approval for each of the GMEI Investors to hold, directly and/or indirectly, more than 5% of the equity and/or voting interests in iHeart.</w:t>
      </w:r>
    </w:p>
    <w:p w:rsidR="00257C9F" w:rsidRPr="00257C9F" w:rsidP="00257C9F" w14:paraId="7A032C8E" w14:textId="77777777">
      <w:pPr>
        <w:numPr>
          <w:ilvl w:val="0"/>
          <w:numId w:val="13"/>
        </w:numPr>
        <w:spacing w:after="120"/>
      </w:pPr>
      <w:r w:rsidRPr="00257C9F">
        <w:t>No GMEI Investor shall have the right to do any of the following, and iHeart shall not allow any GMEI Investor to do any of the following, until and unless the Commission releases a declaratory ruling granting specific approval for each of the GMEI Investors to hold, directly and/or indirectly, more than 5% of the equity and/or voting interests in iHeart:</w:t>
      </w:r>
    </w:p>
    <w:p w:rsidR="00257C9F" w:rsidRPr="00257C9F" w:rsidP="00257C9F" w14:paraId="66D12E52" w14:textId="77777777">
      <w:pPr>
        <w:numPr>
          <w:ilvl w:val="1"/>
          <w:numId w:val="13"/>
        </w:numPr>
        <w:spacing w:after="120"/>
      </w:pPr>
      <w:r w:rsidRPr="00257C9F">
        <w:t>Designate, appoint, nominate, or serve as a member of the board of directors of iHeart;</w:t>
      </w:r>
    </w:p>
    <w:p w:rsidR="00257C9F" w:rsidRPr="00257C9F" w:rsidP="00257C9F" w14:paraId="01EAEE9D" w14:textId="0888569E">
      <w:pPr>
        <w:numPr>
          <w:ilvl w:val="1"/>
          <w:numId w:val="13"/>
        </w:numPr>
        <w:spacing w:after="120"/>
      </w:pPr>
      <w:r w:rsidRPr="00257C9F">
        <w:t>Attend any meeting of the board of directors of iHeart;</w:t>
      </w:r>
    </w:p>
    <w:p w:rsidR="00257C9F" w:rsidRPr="00257C9F" w:rsidP="00257C9F" w14:paraId="2CD0A2F3" w14:textId="77777777">
      <w:pPr>
        <w:numPr>
          <w:ilvl w:val="1"/>
          <w:numId w:val="13"/>
        </w:numPr>
        <w:spacing w:after="120"/>
      </w:pPr>
      <w:r w:rsidRPr="00257C9F">
        <w:t>Receive any non-public materials from iHeart, including any non-public materials distributed to the board of directors of iHeart;</w:t>
      </w:r>
    </w:p>
    <w:p w:rsidR="00257C9F" w:rsidRPr="00257C9F" w:rsidP="00257C9F" w14:paraId="5B081AAC" w14:textId="77777777">
      <w:pPr>
        <w:numPr>
          <w:ilvl w:val="1"/>
          <w:numId w:val="13"/>
        </w:numPr>
        <w:spacing w:after="120"/>
      </w:pPr>
      <w:r w:rsidRPr="00257C9F">
        <w:t>Have any role in or communicate with iHeart concerning the day-to-day management or operations of iHeart’s radio stations; or</w:t>
      </w:r>
    </w:p>
    <w:p w:rsidR="00257C9F" w:rsidRPr="00257C9F" w:rsidP="00257C9F" w14:paraId="60F41385" w14:textId="77777777">
      <w:pPr>
        <w:numPr>
          <w:ilvl w:val="1"/>
          <w:numId w:val="13"/>
        </w:numPr>
        <w:spacing w:after="120"/>
      </w:pPr>
      <w:r w:rsidRPr="00257C9F">
        <w:t>Have any role in or veto right with respect to a decision to buy or sell a radio station.</w:t>
      </w:r>
    </w:p>
    <w:p w:rsidR="00257C9F" w:rsidRPr="00257C9F" w:rsidP="00257C9F" w14:paraId="0E9DC9C2" w14:textId="77777777">
      <w:pPr>
        <w:numPr>
          <w:ilvl w:val="0"/>
          <w:numId w:val="13"/>
        </w:numPr>
        <w:spacing w:after="120"/>
      </w:pPr>
      <w:r w:rsidRPr="00257C9F">
        <w:t>No employee, agent, or affiliate of the GMEI Investors shall be an officer, director, employee, or consultant of iHeart (including subsidiaries and affiliates of iHeart) until and unless the Commission releases a declaratory ruling granting specific approval for each of the GMEI Investors to hold, directly and/or indirectly, more than 5% of the equity and/or voting interests in iHeart.  iHeart shall not permit any employee, agent, or affiliate of the GMEI Investors to be an officer, director, employee, or consultant of iHeart (including subsidiaries and affiliates of iHeart) until and unless the Commission releases a declaratory ruling granting specific approval for each of the GMEI Investors to hold, directly and/or indirectly, more than 5% of the equity and/or voting interests in iHeart.</w:t>
      </w:r>
    </w:p>
    <w:p w:rsidR="00257C9F" w:rsidRPr="00257C9F" w:rsidP="00257C9F" w14:paraId="5651D54B" w14:textId="77777777">
      <w:pPr>
        <w:numPr>
          <w:ilvl w:val="0"/>
          <w:numId w:val="13"/>
        </w:numPr>
        <w:spacing w:after="120"/>
      </w:pPr>
      <w:r w:rsidRPr="00257C9F">
        <w:t>iHeart must ensure that any and all dividends and/or distributions payable to the GMEI Investors are placed in escrow and that no such dividend or distribution is made to the GMEI Investors until and unless the Commission releases a declaratory ruling granting specific approval for each of the GMEI Investors to hold, directly and/or indirectly, more than 5% of the equity and/or voting interests in iHeart.</w:t>
      </w:r>
    </w:p>
    <w:p w:rsidR="00257C9F" w:rsidRPr="00257C9F" w:rsidP="00257C9F" w14:paraId="1C707278" w14:textId="5FA52646">
      <w:pPr>
        <w:numPr>
          <w:ilvl w:val="0"/>
          <w:numId w:val="13"/>
        </w:numPr>
        <w:spacing w:after="120"/>
      </w:pPr>
      <w:r w:rsidRPr="00257C9F">
        <w:t>Within seven days of the date of grant of the assignment application, iHeart shall submit a declaration to the Chief, Audio Division, Media Bureau, confirming that iHeart is in compliance with each of the preceding conditions and that iHeart will exercise its rights under its organizational documents to remain in compliance with each of the preceding conditions until and unless the Commission releases a declaratory ruling granting specific approval for each of the GMEI Investors to hold, directly and/or indirectly, more than 5% of the equity and/or voting interests in iHeart.</w:t>
      </w:r>
    </w:p>
    <w:p w:rsidR="005B20EF" w:rsidP="00257C9F" w14:paraId="238C9085" w14:textId="4AE5829C">
      <w:pPr>
        <w:numPr>
          <w:ilvl w:val="0"/>
          <w:numId w:val="13"/>
        </w:numPr>
        <w:spacing w:after="120"/>
      </w:pPr>
      <w:r w:rsidRPr="00257C9F">
        <w:t xml:space="preserve">Pursuant to </w:t>
      </w:r>
      <w:r w:rsidR="00D007DC">
        <w:t>s</w:t>
      </w:r>
      <w:r w:rsidRPr="00257C9F">
        <w:t>ection 1.5004(f)(3)(iii) of the Commission’s rules, if the petition is denied, iHeart must come into compliance no later than 30 days following the Commission’s decision, unless the Commission determines under such rule that immediate remedial action is required.</w:t>
      </w:r>
      <w:bookmarkEnd w:id="8"/>
    </w:p>
    <w:p w:rsidR="009002AC" w:rsidP="009002AC" w14:paraId="2D6B47AE" w14:textId="77777777">
      <w:pPr>
        <w:pStyle w:val="ParaNum"/>
        <w:numPr>
          <w:ilvl w:val="0"/>
          <w:numId w:val="0"/>
        </w:numPr>
        <w:ind w:firstLine="720"/>
      </w:pPr>
    </w:p>
    <w:p w:rsidR="009002AC" w:rsidP="009002AC" w14:paraId="07A9A120" w14:textId="77777777">
      <w:pPr>
        <w:pStyle w:val="ParaNum"/>
        <w:numPr>
          <w:ilvl w:val="0"/>
          <w:numId w:val="0"/>
        </w:numPr>
        <w:ind w:left="3600" w:firstLine="720"/>
      </w:pPr>
      <w:r>
        <w:t>FEDERAL COMMUNICATIONS COMMISSION</w:t>
      </w:r>
    </w:p>
    <w:p w:rsidR="009002AC" w:rsidP="009002AC" w14:paraId="119703F9" w14:textId="77777777">
      <w:pPr>
        <w:pStyle w:val="ParaNum"/>
        <w:numPr>
          <w:ilvl w:val="0"/>
          <w:numId w:val="0"/>
        </w:numPr>
        <w:ind w:firstLine="720"/>
      </w:pPr>
    </w:p>
    <w:p w:rsidR="009002AC" w:rsidP="009002AC" w14:paraId="69801589" w14:textId="77777777">
      <w:pPr>
        <w:pStyle w:val="ParaNum"/>
        <w:numPr>
          <w:ilvl w:val="0"/>
          <w:numId w:val="0"/>
        </w:numPr>
        <w:ind w:firstLine="720"/>
      </w:pPr>
    </w:p>
    <w:p w:rsidR="009002AC" w:rsidP="009002AC" w14:paraId="71C71DCE" w14:textId="56188E9E">
      <w:pPr>
        <w:pStyle w:val="ParaNum"/>
        <w:widowControl/>
        <w:numPr>
          <w:ilvl w:val="0"/>
          <w:numId w:val="0"/>
        </w:numPr>
        <w:tabs>
          <w:tab w:val="left" w:pos="0"/>
        </w:tabs>
        <w:spacing w:after="0"/>
      </w:pPr>
      <w:r>
        <w:tab/>
      </w:r>
      <w:r>
        <w:tab/>
      </w:r>
      <w:r>
        <w:tab/>
      </w:r>
      <w:r>
        <w:tab/>
      </w:r>
      <w:r>
        <w:tab/>
      </w:r>
      <w:r>
        <w:tab/>
        <w:t>Albert Shuldiner</w:t>
      </w:r>
    </w:p>
    <w:p w:rsidR="009002AC" w:rsidP="009002AC" w14:paraId="7ECF5D65" w14:textId="072424CF">
      <w:pPr>
        <w:pStyle w:val="ParaNum"/>
        <w:widowControl/>
        <w:numPr>
          <w:ilvl w:val="0"/>
          <w:numId w:val="0"/>
        </w:numPr>
        <w:tabs>
          <w:tab w:val="left" w:pos="0"/>
        </w:tabs>
        <w:spacing w:after="0"/>
      </w:pPr>
      <w:r>
        <w:tab/>
      </w:r>
      <w:r>
        <w:tab/>
      </w:r>
      <w:r>
        <w:tab/>
      </w:r>
      <w:r>
        <w:tab/>
      </w:r>
      <w:r>
        <w:tab/>
      </w:r>
      <w:r>
        <w:tab/>
        <w:t xml:space="preserve">Chief, Audio Division </w:t>
      </w:r>
    </w:p>
    <w:p w:rsidR="00906FCF" w:rsidRPr="00257C9F" w:rsidP="009002AC" w14:paraId="6835FF71" w14:textId="10A4D1C6">
      <w:pPr>
        <w:pStyle w:val="ParaNum"/>
        <w:widowControl/>
        <w:numPr>
          <w:ilvl w:val="0"/>
          <w:numId w:val="0"/>
        </w:numPr>
        <w:tabs>
          <w:tab w:val="left" w:pos="0"/>
        </w:tabs>
        <w:spacing w:after="0"/>
      </w:pPr>
      <w:r>
        <w:tab/>
      </w:r>
      <w:r>
        <w:tab/>
      </w:r>
      <w:r>
        <w:tab/>
      </w:r>
      <w:r>
        <w:tab/>
      </w:r>
      <w:r>
        <w:tab/>
      </w:r>
      <w:r>
        <w:tab/>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A90C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531A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50D40" w14:paraId="19719B48" w14:textId="63D5964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2B1035" w:rsidP="00F50D40" w14:paraId="13F43A28"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3A24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6448" w14:paraId="64B616FA" w14:textId="77777777">
      <w:r>
        <w:separator/>
      </w:r>
    </w:p>
  </w:footnote>
  <w:footnote w:type="continuationSeparator" w:id="1">
    <w:p w:rsidR="00C66448" w:rsidP="00C721AC" w14:paraId="60E12B49" w14:textId="77777777">
      <w:pPr>
        <w:spacing w:before="120"/>
        <w:rPr>
          <w:sz w:val="20"/>
        </w:rPr>
      </w:pPr>
      <w:r>
        <w:rPr>
          <w:sz w:val="20"/>
        </w:rPr>
        <w:t xml:space="preserve">(Continued from previous page)  </w:t>
      </w:r>
      <w:r>
        <w:rPr>
          <w:sz w:val="20"/>
        </w:rPr>
        <w:separator/>
      </w:r>
    </w:p>
  </w:footnote>
  <w:footnote w:type="continuationNotice" w:id="2">
    <w:p w:rsidR="00C66448" w:rsidP="00C721AC" w14:paraId="625805A3" w14:textId="77777777">
      <w:pPr>
        <w:jc w:val="right"/>
        <w:rPr>
          <w:sz w:val="20"/>
        </w:rPr>
      </w:pPr>
      <w:r>
        <w:rPr>
          <w:sz w:val="20"/>
        </w:rPr>
        <w:t>(continued….)</w:t>
      </w:r>
    </w:p>
  </w:footnote>
  <w:footnote w:id="3">
    <w:p w:rsidR="00620C3A" w:rsidRPr="00C949AB" w14:paraId="35338969" w14:textId="56A0DA7D">
      <w:pPr>
        <w:pStyle w:val="FootnoteText"/>
      </w:pPr>
      <w:r>
        <w:rPr>
          <w:rStyle w:val="FootnoteReference"/>
        </w:rPr>
        <w:footnoteRef/>
      </w:r>
      <w:r>
        <w:t xml:space="preserve"> </w:t>
      </w:r>
      <w:r w:rsidR="00C514F5">
        <w:t xml:space="preserve">The KXYZ(AM) </w:t>
      </w:r>
      <w:r w:rsidR="0001123B">
        <w:t>Application</w:t>
      </w:r>
      <w:r w:rsidR="00C514F5">
        <w:t xml:space="preserve"> was filed </w:t>
      </w:r>
      <w:r w:rsidR="0001123B">
        <w:t xml:space="preserve">on December 4, 2020, and accepted for filing on </w:t>
      </w:r>
      <w:r w:rsidR="002810E1">
        <w:t>December 8, 2020.</w:t>
      </w:r>
      <w:r w:rsidR="00C949AB">
        <w:t xml:space="preserve">  </w:t>
      </w:r>
      <w:r w:rsidR="00C949AB">
        <w:rPr>
          <w:i/>
          <w:iCs/>
        </w:rPr>
        <w:t>See Applications</w:t>
      </w:r>
      <w:r w:rsidR="00C949AB">
        <w:t xml:space="preserve">, Public Notice, Report No. </w:t>
      </w:r>
      <w:r w:rsidR="0050316A">
        <w:t>P</w:t>
      </w:r>
      <w:r w:rsidRPr="0050316A" w:rsidR="0050316A">
        <w:t>N-1-201208-01</w:t>
      </w:r>
      <w:r w:rsidR="0050316A">
        <w:t xml:space="preserve"> (Dec. </w:t>
      </w:r>
      <w:r w:rsidR="005F4EE7">
        <w:t>9</w:t>
      </w:r>
      <w:r w:rsidR="0050316A">
        <w:t>, 2020).</w:t>
      </w:r>
      <w:r w:rsidR="00263AC1">
        <w:t xml:space="preserve">  The KSNR(FM) Application was filed on December 2</w:t>
      </w:r>
      <w:r w:rsidR="00314164">
        <w:t>3</w:t>
      </w:r>
      <w:r w:rsidR="00263AC1">
        <w:t>, 2020, and accepted for filing on</w:t>
      </w:r>
      <w:r w:rsidR="00314164">
        <w:t xml:space="preserve"> December 29, 2020.</w:t>
      </w:r>
      <w:r w:rsidR="00263AC1">
        <w:t xml:space="preserve"> </w:t>
      </w:r>
      <w:r w:rsidR="00314164">
        <w:t xml:space="preserve"> </w:t>
      </w:r>
      <w:r w:rsidR="00314164">
        <w:rPr>
          <w:i/>
          <w:iCs/>
        </w:rPr>
        <w:t>See Applications</w:t>
      </w:r>
      <w:r w:rsidR="00314164">
        <w:t xml:space="preserve">, Public Notice, Report No. </w:t>
      </w:r>
      <w:r w:rsidRPr="00A65F00" w:rsidR="00A65F00">
        <w:t>PN-1-201229-01</w:t>
      </w:r>
      <w:r w:rsidR="00314164">
        <w:t xml:space="preserve"> (Dec. 29, 2020).</w:t>
      </w:r>
      <w:r w:rsidR="003978AF">
        <w:t xml:space="preserve">  </w:t>
      </w:r>
    </w:p>
  </w:footnote>
  <w:footnote w:id="4">
    <w:p w:rsidR="00620C3A" w:rsidRPr="002E1D5C" w14:paraId="383517F1" w14:textId="5D998089">
      <w:pPr>
        <w:pStyle w:val="FootnoteText"/>
      </w:pPr>
      <w:r>
        <w:rPr>
          <w:rStyle w:val="FootnoteReference"/>
        </w:rPr>
        <w:footnoteRef/>
      </w:r>
      <w:r>
        <w:t xml:space="preserve"> </w:t>
      </w:r>
      <w:r w:rsidR="00B1054F">
        <w:t xml:space="preserve">The two AM stations are </w:t>
      </w:r>
      <w:r w:rsidR="00280E38">
        <w:t>KKGM(AM)</w:t>
      </w:r>
      <w:r w:rsidR="00C65D19">
        <w:t>, Fort Worth</w:t>
      </w:r>
      <w:r w:rsidR="00442D86">
        <w:t>, Texas,</w:t>
      </w:r>
      <w:r w:rsidR="00280E38">
        <w:t xml:space="preserve"> and </w:t>
      </w:r>
      <w:r w:rsidR="00C06518">
        <w:t>KHVN(AM)</w:t>
      </w:r>
      <w:r w:rsidR="00442D86">
        <w:t>, Fort Worth, Texas</w:t>
      </w:r>
      <w:r w:rsidR="00C06518">
        <w:t xml:space="preserve">, and their cross-service translator stations are </w:t>
      </w:r>
      <w:r w:rsidR="00C52D6F">
        <w:t>K221GV</w:t>
      </w:r>
      <w:r w:rsidR="00442D86">
        <w:t>, Fort Worth, Texas,</w:t>
      </w:r>
      <w:r w:rsidR="00C52D6F">
        <w:t xml:space="preserve"> and K237HD</w:t>
      </w:r>
      <w:r w:rsidR="00442D86">
        <w:t>, Fort Worth, Texas</w:t>
      </w:r>
      <w:r w:rsidR="00C52D6F">
        <w:t>, respectively.</w:t>
      </w:r>
      <w:r w:rsidR="008107F7">
        <w:t xml:space="preserve">  The</w:t>
      </w:r>
      <w:r w:rsidR="00BA36F5">
        <w:t>se Applications were filed on December 2, 2020, and accepted for filing on December 4, 2020.</w:t>
      </w:r>
      <w:r w:rsidR="00711BBB">
        <w:t xml:space="preserve">  </w:t>
      </w:r>
      <w:r w:rsidR="00711BBB">
        <w:rPr>
          <w:i/>
          <w:iCs/>
        </w:rPr>
        <w:t>See</w:t>
      </w:r>
      <w:r w:rsidR="002E1D5C">
        <w:rPr>
          <w:i/>
          <w:iCs/>
        </w:rPr>
        <w:t xml:space="preserve"> Applications</w:t>
      </w:r>
      <w:r w:rsidR="002E1D5C">
        <w:t xml:space="preserve">, Public Notice, Report No. </w:t>
      </w:r>
      <w:r w:rsidRPr="002E1D5C" w:rsidR="002E1D5C">
        <w:t>PN-1-201204-01</w:t>
      </w:r>
      <w:r w:rsidR="002E1D5C">
        <w:t xml:space="preserve"> (Dec. 4, 2020).</w:t>
      </w:r>
    </w:p>
  </w:footnote>
  <w:footnote w:id="5">
    <w:p w:rsidR="00E51BBC" w14:paraId="5D39A4F6" w14:textId="61D088D1">
      <w:pPr>
        <w:pStyle w:val="FootnoteText"/>
      </w:pPr>
      <w:r>
        <w:rPr>
          <w:rStyle w:val="FootnoteReference"/>
        </w:rPr>
        <w:footnoteRef/>
      </w:r>
      <w:r>
        <w:t xml:space="preserve"> </w:t>
      </w:r>
      <w:r w:rsidRPr="00533625" w:rsidR="00533625">
        <w:t xml:space="preserve">The listeners </w:t>
      </w:r>
      <w:r w:rsidR="00533625">
        <w:t>object to the</w:t>
      </w:r>
      <w:r w:rsidR="00E043AA">
        <w:t>se</w:t>
      </w:r>
      <w:r w:rsidR="00533625">
        <w:t xml:space="preserve"> </w:t>
      </w:r>
      <w:r w:rsidR="00E043AA">
        <w:t xml:space="preserve">Applications </w:t>
      </w:r>
      <w:r w:rsidRPr="00533625" w:rsidR="00533625">
        <w:t xml:space="preserve">based on </w:t>
      </w:r>
      <w:r w:rsidR="00E043AA">
        <w:t>the</w:t>
      </w:r>
      <w:r w:rsidR="00E03A59">
        <w:t>ir</w:t>
      </w:r>
      <w:r w:rsidRPr="00533625" w:rsidR="00533625">
        <w:t xml:space="preserve"> concerns about potential changes to the stations’ programming format if the Applications are granted and if the proposed sale is consummated.</w:t>
      </w:r>
      <w:r w:rsidR="00533625">
        <w:t xml:space="preserve">  </w:t>
      </w:r>
      <w:r w:rsidRPr="0074566D" w:rsidR="00EE1720">
        <w:t xml:space="preserve">Petition to Deny of Pamela Young, Pleading No. 130169 (filed </w:t>
      </w:r>
      <w:r w:rsidR="00847BD3">
        <w:t>Dec.</w:t>
      </w:r>
      <w:r w:rsidRPr="0074566D" w:rsidR="00EE1720">
        <w:t xml:space="preserve"> 28, 2020) (Young Petition); Petition to Deny of Xavier E Sanders, Pleading No. 130179 (filed </w:t>
      </w:r>
      <w:r w:rsidR="00847BD3">
        <w:t>Dec.</w:t>
      </w:r>
      <w:r w:rsidRPr="0074566D" w:rsidR="00EE1720">
        <w:t xml:space="preserve"> 28, 2020) (Sanders Petition); Petition to Deny of Shenita L. Cleveland, Pleading No. 130211 (filed </w:t>
      </w:r>
      <w:r w:rsidR="00847BD3">
        <w:t>Dec.</w:t>
      </w:r>
      <w:r w:rsidRPr="0074566D" w:rsidR="00EE1720">
        <w:t xml:space="preserve"> 29, 2020) (Cleveland Petition); Petition to Deny of Brian Berry, Pleading No. 130247 (filed </w:t>
      </w:r>
      <w:r w:rsidR="00847BD3">
        <w:t>Dec.</w:t>
      </w:r>
      <w:r w:rsidRPr="0074566D" w:rsidR="00EE1720">
        <w:t xml:space="preserve"> 30, 2020) (Berry Petition); Petition to Deny of Yolanda G Butler, Pleading No. 130305 (</w:t>
      </w:r>
      <w:r w:rsidR="00847BD3">
        <w:t>f</w:t>
      </w:r>
      <w:r w:rsidRPr="0074566D" w:rsidR="00EE1720">
        <w:t xml:space="preserve">iled </w:t>
      </w:r>
      <w:r w:rsidR="00847BD3">
        <w:t>Jan.</w:t>
      </w:r>
      <w:r w:rsidRPr="0074566D" w:rsidR="00EE1720">
        <w:t xml:space="preserve"> 1, 2021) (Butler Petition)</w:t>
      </w:r>
      <w:r w:rsidR="00FF7BBE">
        <w:t>.  As discussed below, th</w:t>
      </w:r>
      <w:r w:rsidR="00AD167C">
        <w:t xml:space="preserve">ese pleadings </w:t>
      </w:r>
      <w:r w:rsidR="00913468">
        <w:t>are</w:t>
      </w:r>
      <w:r w:rsidR="00B75DEF">
        <w:t xml:space="preserve"> not accompanied by supporting affidavits and </w:t>
      </w:r>
      <w:r w:rsidR="00913468">
        <w:t>were</w:t>
      </w:r>
      <w:r w:rsidR="00B75DEF">
        <w:t xml:space="preserve"> not served on the applicants as required for petitions to de</w:t>
      </w:r>
      <w:r w:rsidR="00913468">
        <w:t>ny.  Accordingly, we consider these pleadings as informal objections</w:t>
      </w:r>
      <w:r w:rsidR="000439B3">
        <w:t xml:space="preserve"> pursuant to section</w:t>
      </w:r>
      <w:r w:rsidR="00E03A59">
        <w:t xml:space="preserve"> </w:t>
      </w:r>
      <w:r w:rsidR="000439B3">
        <w:t>73.3587 of the Commission’s rules.  47 CFR § 73.3587.</w:t>
      </w:r>
    </w:p>
  </w:footnote>
  <w:footnote w:id="6">
    <w:p w:rsidR="000439B3" w14:paraId="77DA985E" w14:textId="68F3F7EB">
      <w:pPr>
        <w:pStyle w:val="FootnoteText"/>
      </w:pPr>
      <w:r>
        <w:rPr>
          <w:rStyle w:val="FootnoteReference"/>
        </w:rPr>
        <w:footnoteRef/>
      </w:r>
      <w:r>
        <w:t xml:space="preserve"> </w:t>
      </w:r>
      <w:r w:rsidR="00E325CF">
        <w:t>Petition for Declaratory Ruling of iHeart</w:t>
      </w:r>
      <w:r w:rsidR="00AB7339">
        <w:t xml:space="preserve"> (filed Mar. 8, 2021) (Remedial PDR)</w:t>
      </w:r>
      <w:r w:rsidR="006D49CE">
        <w:t>.</w:t>
      </w:r>
      <w:r w:rsidR="003A2CC5">
        <w:t xml:space="preserve">  A public notice seeking comment on the remedial PDR is forthcoming.</w:t>
      </w:r>
    </w:p>
  </w:footnote>
  <w:footnote w:id="7">
    <w:p w:rsidR="00DE32B5" w14:paraId="1DE0A45D" w14:textId="2F8639E9">
      <w:pPr>
        <w:pStyle w:val="FootnoteText"/>
      </w:pPr>
      <w:r>
        <w:rPr>
          <w:rStyle w:val="FootnoteReference"/>
        </w:rPr>
        <w:footnoteRef/>
      </w:r>
      <w:r>
        <w:t xml:space="preserve"> </w:t>
      </w:r>
      <w:r w:rsidRPr="00DE32B5">
        <w:rPr>
          <w:i/>
          <w:iCs/>
        </w:rPr>
        <w:t>iHeart Media, Inc., Petition for Declaratory Ruling Under Section 310(b)(4) of the Communications Act of 1934, as Amended</w:t>
      </w:r>
      <w:r w:rsidRPr="00DE32B5">
        <w:t>, MB Docket No. 20-51, Declaratory Ruling, 35 FCC Rcd 12770</w:t>
      </w:r>
      <w:r w:rsidR="002D1767">
        <w:t>, 1277</w:t>
      </w:r>
      <w:r w:rsidR="00FE3F08">
        <w:t>6</w:t>
      </w:r>
      <w:r w:rsidR="002D1767">
        <w:t>, para. 17</w:t>
      </w:r>
      <w:r w:rsidRPr="00DE32B5">
        <w:t xml:space="preserve"> (MB 2020) (</w:t>
      </w:r>
      <w:r w:rsidR="00F31DB4">
        <w:rPr>
          <w:i/>
          <w:iCs/>
        </w:rPr>
        <w:t>2020</w:t>
      </w:r>
      <w:r w:rsidRPr="00DE32B5">
        <w:rPr>
          <w:i/>
          <w:iCs/>
        </w:rPr>
        <w:t xml:space="preserve"> Declaratory Ruling</w:t>
      </w:r>
      <w:r w:rsidRPr="00DE32B5">
        <w:t>).</w:t>
      </w:r>
    </w:p>
  </w:footnote>
  <w:footnote w:id="8">
    <w:p w:rsidR="00DE32B5" w:rsidRPr="00AB7339" w14:paraId="05CC828D" w14:textId="6189A89F">
      <w:pPr>
        <w:pStyle w:val="FootnoteText"/>
      </w:pPr>
      <w:r>
        <w:rPr>
          <w:rStyle w:val="FootnoteReference"/>
        </w:rPr>
        <w:footnoteRef/>
      </w:r>
      <w:r>
        <w:t xml:space="preserve"> </w:t>
      </w:r>
      <w:r w:rsidR="00AB7339">
        <w:rPr>
          <w:i/>
          <w:iCs/>
        </w:rPr>
        <w:t>Id.</w:t>
      </w:r>
    </w:p>
  </w:footnote>
  <w:footnote w:id="9">
    <w:p w:rsidR="00DE32B5" w:rsidRPr="00511980" w14:paraId="0098A93B" w14:textId="33A3DB13">
      <w:pPr>
        <w:pStyle w:val="FootnoteText"/>
      </w:pPr>
      <w:r>
        <w:rPr>
          <w:rStyle w:val="FootnoteReference"/>
        </w:rPr>
        <w:footnoteRef/>
      </w:r>
      <w:r>
        <w:t xml:space="preserve"> </w:t>
      </w:r>
      <w:r w:rsidR="00511980">
        <w:rPr>
          <w:i/>
          <w:iCs/>
        </w:rPr>
        <w:t>Id.</w:t>
      </w:r>
      <w:r w:rsidR="00511980">
        <w:t xml:space="preserve"> at</w:t>
      </w:r>
      <w:r w:rsidR="005D21D8">
        <w:t xml:space="preserve"> 12777-78, paras. 18-19.</w:t>
      </w:r>
    </w:p>
  </w:footnote>
  <w:footnote w:id="10">
    <w:p w:rsidR="00DE32B5" w:rsidRPr="005D21D8" w14:paraId="286926D5" w14:textId="651F9533">
      <w:pPr>
        <w:pStyle w:val="FootnoteText"/>
      </w:pPr>
      <w:r>
        <w:rPr>
          <w:rStyle w:val="FootnoteReference"/>
        </w:rPr>
        <w:footnoteRef/>
      </w:r>
      <w:r>
        <w:t xml:space="preserve"> </w:t>
      </w:r>
      <w:r w:rsidR="005D21D8">
        <w:rPr>
          <w:i/>
          <w:iCs/>
        </w:rPr>
        <w:t>Id.</w:t>
      </w:r>
      <w:r w:rsidR="005D21D8">
        <w:t xml:space="preserve"> at </w:t>
      </w:r>
      <w:r w:rsidR="00602340">
        <w:t>12777-78, para. 19</w:t>
      </w:r>
      <w:r w:rsidR="00ED6444">
        <w:t xml:space="preserve"> (citing 47 CFR § 1.5004(f))</w:t>
      </w:r>
      <w:r w:rsidR="00602340">
        <w:t>.</w:t>
      </w:r>
    </w:p>
  </w:footnote>
  <w:footnote w:id="11">
    <w:p w:rsidR="00DE32B5" w14:paraId="11C14D06" w14:textId="3F9262CE">
      <w:pPr>
        <w:pStyle w:val="FootnoteText"/>
      </w:pPr>
      <w:r>
        <w:rPr>
          <w:rStyle w:val="FootnoteReference"/>
        </w:rPr>
        <w:footnoteRef/>
      </w:r>
      <w:r>
        <w:t xml:space="preserve"> </w:t>
      </w:r>
      <w:r w:rsidR="001A0CAB">
        <w:t>Letter from Eve Klindera Reed</w:t>
      </w:r>
      <w:r w:rsidR="00AC060F">
        <w:t xml:space="preserve">, Counsel to iHeart, </w:t>
      </w:r>
      <w:r w:rsidR="0099268C">
        <w:t xml:space="preserve">to Albert Shuldiner, Chief, Audio Division, </w:t>
      </w:r>
      <w:r w:rsidR="00835460">
        <w:t xml:space="preserve">FCC </w:t>
      </w:r>
      <w:r w:rsidR="0099268C">
        <w:t>Media Bureau (Feb. 16, 2021)</w:t>
      </w:r>
      <w:r w:rsidR="00835460">
        <w:t xml:space="preserve"> </w:t>
      </w:r>
      <w:r w:rsidR="0060131F">
        <w:t>(February Letter)</w:t>
      </w:r>
      <w:r w:rsidR="0099268C">
        <w:t>.</w:t>
      </w:r>
    </w:p>
  </w:footnote>
  <w:footnote w:id="12">
    <w:p w:rsidR="00DE32B5" w14:paraId="0DE772D7" w14:textId="6990D988">
      <w:pPr>
        <w:pStyle w:val="FootnoteText"/>
      </w:pPr>
      <w:r>
        <w:rPr>
          <w:rStyle w:val="FootnoteReference"/>
        </w:rPr>
        <w:footnoteRef/>
      </w:r>
      <w:r>
        <w:t xml:space="preserve"> </w:t>
      </w:r>
      <w:r w:rsidR="00790486">
        <w:t xml:space="preserve">February Letter at 1; </w:t>
      </w:r>
      <w:r w:rsidR="00523395">
        <w:t xml:space="preserve">Remedial PDR at </w:t>
      </w:r>
      <w:r w:rsidR="00CD26EC">
        <w:t>3-4</w:t>
      </w:r>
      <w:r w:rsidR="00426B7D">
        <w:t xml:space="preserve"> &amp; Exh. C, iHeart</w:t>
      </w:r>
      <w:r w:rsidR="009024B8">
        <w:t xml:space="preserve"> Ownership and Control Structure.</w:t>
      </w:r>
      <w:r w:rsidR="00684137">
        <w:t xml:space="preserve">  </w:t>
      </w:r>
      <w:r w:rsidR="00A80F52">
        <w:t xml:space="preserve">GMEI was previously named Honeycomb Investments Limited.  Remedial PDR at 1; </w:t>
      </w:r>
      <w:r w:rsidR="00A80F52">
        <w:rPr>
          <w:i/>
          <w:iCs/>
        </w:rPr>
        <w:t xml:space="preserve">see </w:t>
      </w:r>
      <w:r w:rsidR="00A80F52">
        <w:t>February Letter at 1</w:t>
      </w:r>
      <w:r w:rsidR="001648D2">
        <w:t>-2</w:t>
      </w:r>
      <w:r w:rsidR="00A80F52">
        <w:t>.</w:t>
      </w:r>
      <w:r w:rsidR="00684137">
        <w:t xml:space="preserve"> </w:t>
      </w:r>
    </w:p>
  </w:footnote>
  <w:footnote w:id="13">
    <w:p w:rsidR="00DE32B5" w14:paraId="3011189A" w14:textId="232104AE">
      <w:pPr>
        <w:pStyle w:val="FootnoteText"/>
      </w:pPr>
      <w:r>
        <w:rPr>
          <w:rStyle w:val="FootnoteReference"/>
        </w:rPr>
        <w:footnoteRef/>
      </w:r>
      <w:r>
        <w:t xml:space="preserve"> </w:t>
      </w:r>
      <w:r w:rsidR="00941133">
        <w:t>47 CFR § 1.5004(f)(3)</w:t>
      </w:r>
      <w:r w:rsidR="001F7F57">
        <w:t>(</w:t>
      </w:r>
      <w:r w:rsidR="001F7F57">
        <w:t>i</w:t>
      </w:r>
      <w:r w:rsidR="001F7F57">
        <w:t>)</w:t>
      </w:r>
      <w:r w:rsidR="00941133">
        <w:t xml:space="preserve"> </w:t>
      </w:r>
      <w:r w:rsidR="00FB2F12">
        <w:t>(“</w:t>
      </w:r>
      <w:r w:rsidR="009B1638">
        <w:t>T</w:t>
      </w:r>
      <w:r w:rsidRPr="009B1638" w:rsidR="009B1638">
        <w:t>he licensee shall notify the relevant Bureau by letter no later than 10 days after learning of the investment(s) that rendered the licensee non-compliant with its foreign ownership ruling or the Commission's rules relating to foreign ownership and specify in the letter that it will file a petition for declaratory ruling under §1.5000(a)(1) or, alternatively, take remedial action to come into compliance within 30 days of the date it learned of the non-compliant foreign interest(s).</w:t>
      </w:r>
      <w:r w:rsidR="009B1638">
        <w:t>”)</w:t>
      </w:r>
      <w:r w:rsidR="00941133">
        <w:t>.</w:t>
      </w:r>
    </w:p>
  </w:footnote>
  <w:footnote w:id="14">
    <w:p w:rsidR="00DE32B5" w14:paraId="6D088FEA" w14:textId="5B15639E">
      <w:pPr>
        <w:pStyle w:val="FootnoteText"/>
      </w:pPr>
      <w:r>
        <w:rPr>
          <w:rStyle w:val="FootnoteReference"/>
        </w:rPr>
        <w:footnoteRef/>
      </w:r>
      <w:r>
        <w:t xml:space="preserve"> </w:t>
      </w:r>
      <w:r w:rsidR="009B1638">
        <w:t xml:space="preserve">February Letter </w:t>
      </w:r>
      <w:r w:rsidR="006F08DF">
        <w:t>at 2.</w:t>
      </w:r>
    </w:p>
  </w:footnote>
  <w:footnote w:id="15">
    <w:p w:rsidR="00DE32B5" w:rsidRPr="007962E3" w14:paraId="5D97A6FE" w14:textId="07882376">
      <w:pPr>
        <w:pStyle w:val="FootnoteText"/>
      </w:pPr>
      <w:r>
        <w:rPr>
          <w:rStyle w:val="FootnoteReference"/>
        </w:rPr>
        <w:footnoteRef/>
      </w:r>
      <w:r>
        <w:t xml:space="preserve"> </w:t>
      </w:r>
      <w:r w:rsidR="007962E3">
        <w:rPr>
          <w:i/>
          <w:iCs/>
        </w:rPr>
        <w:t xml:space="preserve">See supra </w:t>
      </w:r>
      <w:r w:rsidR="007962E3">
        <w:t xml:space="preserve">note </w:t>
      </w:r>
      <w:r w:rsidR="009E7E5B">
        <w:fldChar w:fldCharType="begin"/>
      </w:r>
      <w:r w:rsidR="009E7E5B">
        <w:instrText xml:space="preserve"> NOTEREF _Ref67479987 \h </w:instrText>
      </w:r>
      <w:r w:rsidR="009E7E5B">
        <w:fldChar w:fldCharType="separate"/>
      </w:r>
      <w:r w:rsidR="009E7E5B">
        <w:t>4</w:t>
      </w:r>
      <w:r w:rsidR="009E7E5B">
        <w:fldChar w:fldCharType="end"/>
      </w:r>
      <w:r w:rsidR="009E7E5B">
        <w:t>.</w:t>
      </w:r>
    </w:p>
  </w:footnote>
  <w:footnote w:id="16">
    <w:p w:rsidR="00BD43A8" w14:paraId="332A8A4C" w14:textId="0D4A9B3F">
      <w:pPr>
        <w:pStyle w:val="FootnoteText"/>
      </w:pPr>
      <w:r>
        <w:rPr>
          <w:rStyle w:val="FootnoteReference"/>
        </w:rPr>
        <w:footnoteRef/>
      </w:r>
      <w:r>
        <w:t xml:space="preserve"> 47 CFR § 1.5004(f)(3)(ii) (</w:t>
      </w:r>
      <w:r w:rsidR="002C7258">
        <w:t>“</w:t>
      </w:r>
      <w:r w:rsidRPr="000D0275" w:rsidR="000D0275">
        <w:t>The licensee shall demonstrate in its petition for declaratory ruling (or in a letter notifying the relevant Bureau that the non-compliance has been timely remedied) that the licensee's non-compliance with the terms of the licensee's existing foreign ownership ruling or the foreign ownership rules was due solely to circumstances beyond the licensee's control that were not reasonably foreseeable to or known by the licensee with the exercise of the required due diligence.</w:t>
      </w:r>
      <w:r w:rsidR="000D0275">
        <w:t>”).</w:t>
      </w:r>
    </w:p>
  </w:footnote>
  <w:footnote w:id="17">
    <w:p w:rsidR="0025515B" w14:paraId="50056CDD" w14:textId="6CD67C5D">
      <w:pPr>
        <w:pStyle w:val="FootnoteText"/>
      </w:pPr>
      <w:r>
        <w:rPr>
          <w:rStyle w:val="FootnoteReference"/>
        </w:rPr>
        <w:footnoteRef/>
      </w:r>
      <w:r>
        <w:t xml:space="preserve"> </w:t>
      </w:r>
      <w:r w:rsidR="009E7E5B">
        <w:t xml:space="preserve">Remedial PDR at </w:t>
      </w:r>
      <w:r w:rsidR="00BD43A8">
        <w:t>4</w:t>
      </w:r>
      <w:r w:rsidR="009D4E10">
        <w:t xml:space="preserve">; February Letter at </w:t>
      </w:r>
      <w:r w:rsidR="006F75C5">
        <w:t>1-</w:t>
      </w:r>
      <w:r w:rsidR="009D4E10">
        <w:t>2</w:t>
      </w:r>
      <w:r w:rsidR="00BD43A8">
        <w:t>.</w:t>
      </w:r>
    </w:p>
  </w:footnote>
  <w:footnote w:id="18">
    <w:p w:rsidR="000418ED" w:rsidRPr="0074566D" w:rsidP="000418ED" w14:paraId="1E737BF3" w14:textId="5A52F770">
      <w:pPr>
        <w:pStyle w:val="FootnoteText"/>
      </w:pPr>
      <w:r w:rsidRPr="0074566D">
        <w:rPr>
          <w:rStyle w:val="FootnoteReference"/>
        </w:rPr>
        <w:footnoteRef/>
      </w:r>
      <w:r w:rsidRPr="0074566D">
        <w:rPr>
          <w:i/>
          <w:iCs/>
        </w:rPr>
        <w:t xml:space="preserve"> See</w:t>
      </w:r>
      <w:r w:rsidRPr="0074566D">
        <w:t xml:space="preserve"> </w:t>
      </w:r>
      <w:r w:rsidRPr="0074566D" w:rsidR="00D95ACB">
        <w:t>Sanders Petition at 1 (</w:t>
      </w:r>
      <w:r w:rsidR="00D95ACB">
        <w:t xml:space="preserve">asserting that </w:t>
      </w:r>
      <w:r w:rsidR="006F3AD6">
        <w:t xml:space="preserve"> </w:t>
      </w:r>
      <w:r w:rsidR="00D95ACB">
        <w:t>“proceeding with this buyout would be inconsistent with the public’s interest</w:t>
      </w:r>
      <w:r w:rsidRPr="0074566D" w:rsidR="00D95ACB">
        <w:t>”</w:t>
      </w:r>
      <w:r w:rsidR="009514B5">
        <w:t xml:space="preserve"> due to the vital current programming on Mortenson’s KHVN</w:t>
      </w:r>
      <w:r w:rsidRPr="0074566D" w:rsidR="00D95ACB">
        <w:t>)</w:t>
      </w:r>
      <w:r w:rsidR="00D95ACB">
        <w:t xml:space="preserve">; </w:t>
      </w:r>
      <w:r w:rsidR="00243C9C">
        <w:t xml:space="preserve">Young Petition at 1 (asking the FCC to deny the </w:t>
      </w:r>
      <w:r w:rsidR="00C173CA">
        <w:t>Mortenson</w:t>
      </w:r>
      <w:r w:rsidR="00243C9C">
        <w:t xml:space="preserve">-iHeart Applications </w:t>
      </w:r>
      <w:r w:rsidR="007A1AAE">
        <w:t xml:space="preserve">due to </w:t>
      </w:r>
      <w:r w:rsidR="00DF2DEB">
        <w:t xml:space="preserve">Young’s concerns about potential changes to </w:t>
      </w:r>
      <w:r w:rsidR="00BD6A35">
        <w:t xml:space="preserve">the </w:t>
      </w:r>
      <w:r w:rsidR="000B4BEF">
        <w:t>programming aired on the stations);</w:t>
      </w:r>
      <w:r w:rsidR="00DF2DEB">
        <w:t xml:space="preserve"> </w:t>
      </w:r>
      <w:r w:rsidR="00086D97">
        <w:t xml:space="preserve">Berry Petition at 1 </w:t>
      </w:r>
      <w:r w:rsidR="007F60EB">
        <w:t>(</w:t>
      </w:r>
      <w:r w:rsidR="006F3AD6">
        <w:t>stating</w:t>
      </w:r>
      <w:r w:rsidR="007F60EB">
        <w:t xml:space="preserve"> that </w:t>
      </w:r>
      <w:r w:rsidR="00C173CA">
        <w:t>Mortenson</w:t>
      </w:r>
      <w:r w:rsidR="00D021DE">
        <w:t xml:space="preserve"> </w:t>
      </w:r>
      <w:r w:rsidR="0072500D">
        <w:t xml:space="preserve">provides “unique programming” </w:t>
      </w:r>
      <w:r w:rsidR="00C173CA">
        <w:t xml:space="preserve">on KHVN </w:t>
      </w:r>
      <w:r w:rsidR="0072500D">
        <w:t xml:space="preserve">that “is indispensable for </w:t>
      </w:r>
      <w:r w:rsidR="00680848">
        <w:t>demographics within the Dallas-Fort Worth Metroplex” and</w:t>
      </w:r>
      <w:r w:rsidR="006F3AD6">
        <w:t xml:space="preserve"> asserting on that basis</w:t>
      </w:r>
      <w:r w:rsidR="00680848">
        <w:t xml:space="preserve"> that the proposed sale of KHVN “is inconsistent with the public interest”); </w:t>
      </w:r>
      <w:r w:rsidRPr="0074566D">
        <w:t>Cleveland Petition at 1 (</w:t>
      </w:r>
      <w:r w:rsidR="00A574FB">
        <w:t xml:space="preserve">asserting that </w:t>
      </w:r>
      <w:r w:rsidR="00C173CA">
        <w:t>Mor</w:t>
      </w:r>
      <w:r w:rsidR="00B00A9C">
        <w:t>tenson’s</w:t>
      </w:r>
      <w:r w:rsidR="003D77E7">
        <w:t xml:space="preserve"> </w:t>
      </w:r>
      <w:r w:rsidR="00B00A9C">
        <w:t>KHVN</w:t>
      </w:r>
      <w:r w:rsidR="003D77E7">
        <w:t xml:space="preserve"> programming “will be replaced with a generic 24 hour news wire service” </w:t>
      </w:r>
      <w:r w:rsidR="004E1296">
        <w:t xml:space="preserve">if the proposed assignment is consummated </w:t>
      </w:r>
      <w:r w:rsidR="0094064E">
        <w:t xml:space="preserve">and asking that the FCC deny the </w:t>
      </w:r>
      <w:r w:rsidR="00B00A9C">
        <w:t>Mortenson</w:t>
      </w:r>
      <w:r w:rsidR="0094064E">
        <w:t>-iHeart Applications</w:t>
      </w:r>
      <w:r w:rsidR="000410C1">
        <w:t xml:space="preserve"> because Mortenson’s KHVN programming “is </w:t>
      </w:r>
      <w:r w:rsidR="00506C25">
        <w:t>a pillar in the Dallas and Ft. Worth communities”</w:t>
      </w:r>
      <w:r w:rsidRPr="0074566D">
        <w:t>); Butler Petition at 1 (</w:t>
      </w:r>
      <w:r w:rsidR="00BA721F">
        <w:t xml:space="preserve">asserting that </w:t>
      </w:r>
      <w:r w:rsidR="00C51EE0">
        <w:t xml:space="preserve">the FCC should deny the </w:t>
      </w:r>
      <w:r w:rsidR="00B00A9C">
        <w:t>Mortenson</w:t>
      </w:r>
      <w:r w:rsidR="00C51EE0">
        <w:t>-iHeart Applications</w:t>
      </w:r>
      <w:r w:rsidRPr="00CC4210" w:rsidR="00CC4210">
        <w:t xml:space="preserve"> </w:t>
      </w:r>
      <w:r w:rsidR="00CC4210">
        <w:t>because “[w]e need [KHVN’s existing programming] in our community”</w:t>
      </w:r>
      <w:r w:rsidRPr="0074566D">
        <w:t>);.</w:t>
      </w:r>
    </w:p>
  </w:footnote>
  <w:footnote w:id="19">
    <w:p w:rsidR="000418ED" w:rsidRPr="0074566D" w:rsidP="000418ED" w14:paraId="4F66D4FF" w14:textId="59813C62">
      <w:pPr>
        <w:pStyle w:val="FootnoteText"/>
      </w:pPr>
      <w:r w:rsidRPr="0074566D">
        <w:rPr>
          <w:rStyle w:val="FootnoteReference"/>
        </w:rPr>
        <w:footnoteRef/>
      </w:r>
      <w:r w:rsidRPr="0074566D">
        <w:t xml:space="preserve"> </w:t>
      </w:r>
      <w:r w:rsidR="00506C25">
        <w:t xml:space="preserve">Consolidated </w:t>
      </w:r>
      <w:r w:rsidRPr="0074566D">
        <w:t>Opposition</w:t>
      </w:r>
      <w:r w:rsidR="00506C25">
        <w:t xml:space="preserve"> of iHeart to Petitions to Deny, Pleading No</w:t>
      </w:r>
      <w:r w:rsidR="00AF72CB">
        <w:t>s</w:t>
      </w:r>
      <w:r w:rsidR="00506C25">
        <w:t xml:space="preserve">. </w:t>
      </w:r>
      <w:r w:rsidRPr="00AF72CB" w:rsidR="00AF72CB">
        <w:t>131134</w:t>
      </w:r>
      <w:r w:rsidR="00AF72CB">
        <w:t>-39,</w:t>
      </w:r>
      <w:r w:rsidRPr="0074566D">
        <w:t xml:space="preserve"> at 2</w:t>
      </w:r>
      <w:r w:rsidR="00AF72CB">
        <w:t xml:space="preserve"> (filed Jan. 13, 2021)</w:t>
      </w:r>
      <w:r w:rsidR="00A80AFB">
        <w:t xml:space="preserve"> (Opposition)</w:t>
      </w:r>
      <w:r w:rsidRPr="0074566D">
        <w:t>.</w:t>
      </w:r>
    </w:p>
  </w:footnote>
  <w:footnote w:id="20">
    <w:p w:rsidR="000418ED" w:rsidRPr="0074566D" w:rsidP="000418ED" w14:paraId="37060B8F" w14:textId="612379EF">
      <w:pPr>
        <w:pStyle w:val="FootnoteText"/>
      </w:pPr>
      <w:r w:rsidRPr="0074566D">
        <w:rPr>
          <w:rStyle w:val="FootnoteReference"/>
        </w:rPr>
        <w:footnoteRef/>
      </w:r>
      <w:r w:rsidRPr="0074566D">
        <w:t xml:space="preserve"> </w:t>
      </w:r>
      <w:r w:rsidRPr="0074566D">
        <w:rPr>
          <w:i/>
          <w:iCs/>
        </w:rPr>
        <w:t>Id</w:t>
      </w:r>
      <w:r w:rsidRPr="0074566D">
        <w:t>. at 2-3 (citing</w:t>
      </w:r>
      <w:r w:rsidR="00B3230B">
        <w:t xml:space="preserve">, </w:t>
      </w:r>
      <w:r w:rsidR="00B3230B">
        <w:rPr>
          <w:i/>
          <w:iCs/>
        </w:rPr>
        <w:t>inter alia</w:t>
      </w:r>
      <w:r w:rsidR="00B3230B">
        <w:t>,</w:t>
      </w:r>
      <w:r w:rsidR="00B3230B">
        <w:rPr>
          <w:i/>
          <w:iCs/>
        </w:rPr>
        <w:t xml:space="preserve"> </w:t>
      </w:r>
      <w:r w:rsidRPr="000418ED">
        <w:rPr>
          <w:rFonts w:eastAsia="Calibri"/>
          <w:i/>
          <w:iCs/>
        </w:rPr>
        <w:t>Peter Davidson</w:t>
      </w:r>
      <w:r w:rsidRPr="000418ED">
        <w:rPr>
          <w:rFonts w:eastAsia="Calibri"/>
        </w:rPr>
        <w:t>, Letter</w:t>
      </w:r>
      <w:r w:rsidR="009B174F">
        <w:rPr>
          <w:rFonts w:eastAsia="Calibri"/>
        </w:rPr>
        <w:t xml:space="preserve"> Order</w:t>
      </w:r>
      <w:r w:rsidRPr="000418ED">
        <w:rPr>
          <w:rFonts w:eastAsia="Calibri"/>
        </w:rPr>
        <w:t>, 22 FCC Rcd 18605, 18606-07 (MB 2007)).</w:t>
      </w:r>
    </w:p>
  </w:footnote>
  <w:footnote w:id="21">
    <w:p w:rsidR="000418ED" w:rsidRPr="0074566D" w:rsidP="000418ED" w14:paraId="7DF64D61" w14:textId="699E5940">
      <w:pPr>
        <w:pStyle w:val="FootnoteText"/>
      </w:pPr>
      <w:r w:rsidRPr="0074566D">
        <w:rPr>
          <w:rStyle w:val="FootnoteReference"/>
        </w:rPr>
        <w:footnoteRef/>
      </w:r>
      <w:r w:rsidRPr="0074566D">
        <w:t xml:space="preserve"> </w:t>
      </w:r>
      <w:r w:rsidRPr="0074566D">
        <w:rPr>
          <w:i/>
          <w:iCs/>
        </w:rPr>
        <w:t>Id</w:t>
      </w:r>
      <w:r w:rsidRPr="0074566D">
        <w:t>. at 3.</w:t>
      </w:r>
    </w:p>
  </w:footnote>
  <w:footnote w:id="22">
    <w:p w:rsidR="000418ED" w:rsidRPr="0074566D" w:rsidP="000418ED" w14:paraId="6D0379AC" w14:textId="55AEEBB8">
      <w:pPr>
        <w:pStyle w:val="FootnoteText"/>
      </w:pPr>
      <w:r w:rsidRPr="0074566D">
        <w:rPr>
          <w:rStyle w:val="FootnoteReference"/>
        </w:rPr>
        <w:footnoteRef/>
      </w:r>
      <w:r w:rsidRPr="0074566D">
        <w:t xml:space="preserve"> </w:t>
      </w:r>
      <w:r w:rsidRPr="0074566D">
        <w:rPr>
          <w:i/>
          <w:iCs/>
        </w:rPr>
        <w:t>Id</w:t>
      </w:r>
      <w:r w:rsidRPr="0074566D">
        <w:t>.</w:t>
      </w:r>
    </w:p>
  </w:footnote>
  <w:footnote w:id="23">
    <w:p w:rsidR="0057343F" w:rsidRPr="0074566D" w:rsidP="0057343F" w14:paraId="27EBF904" w14:textId="277814CC">
      <w:pPr>
        <w:pStyle w:val="FootnoteText"/>
      </w:pPr>
      <w:r w:rsidRPr="0074566D">
        <w:rPr>
          <w:rStyle w:val="FootnoteReference"/>
        </w:rPr>
        <w:footnoteRef/>
      </w:r>
      <w:r w:rsidRPr="0074566D">
        <w:t xml:space="preserve"> 47 U.S.C. § 309(d)(1)</w:t>
      </w:r>
      <w:r w:rsidR="00C53F15">
        <w:t xml:space="preserve"> (</w:t>
      </w:r>
      <w:r w:rsidR="00974165">
        <w:t>requiring that “[t]</w:t>
      </w:r>
      <w:r w:rsidRPr="00C53F15" w:rsidR="00C53F15">
        <w:t>he petitioner shall serve a copy of such petition on the applicant</w:t>
      </w:r>
      <w:r w:rsidR="00974165">
        <w:t>”</w:t>
      </w:r>
      <w:r w:rsidRPr="00C53F15" w:rsidR="00C53F15">
        <w:t xml:space="preserve"> </w:t>
      </w:r>
      <w:r w:rsidR="00974165">
        <w:t>and that</w:t>
      </w:r>
      <w:r w:rsidRPr="00C53F15" w:rsidR="00C53F15">
        <w:t xml:space="preserve"> </w:t>
      </w:r>
      <w:r w:rsidR="00974165">
        <w:t>“</w:t>
      </w:r>
      <w:r w:rsidRPr="00C53F15" w:rsidR="00C53F15">
        <w:t>allegations of fact shall, except for those of which official notice may be taken, be supported by affidavit of a person or persons with personal knowledge thereof</w:t>
      </w:r>
      <w:r w:rsidR="00974165">
        <w:t>”)</w:t>
      </w:r>
      <w:r w:rsidRPr="0074566D" w:rsidR="00BF1F49">
        <w:t>; 47 CFR § 1.47</w:t>
      </w:r>
      <w:r w:rsidR="00520755">
        <w:t xml:space="preserve"> (</w:t>
      </w:r>
      <w:r w:rsidR="00E06E81">
        <w:t>specifying how documents are to be served where service is required by the Act or the rules</w:t>
      </w:r>
      <w:r w:rsidR="007F5819">
        <w:t xml:space="preserve"> and requiring proof of service</w:t>
      </w:r>
      <w:r w:rsidR="0025294C">
        <w:t>)</w:t>
      </w:r>
      <w:r w:rsidRPr="0074566D">
        <w:t>.</w:t>
      </w:r>
    </w:p>
  </w:footnote>
  <w:footnote w:id="24">
    <w:p w:rsidR="0057343F" w:rsidRPr="0074566D" w:rsidP="0057343F" w14:paraId="3F73ED1B" w14:textId="77777777">
      <w:pPr>
        <w:pStyle w:val="FootnoteText"/>
      </w:pPr>
      <w:r w:rsidRPr="0074566D">
        <w:rPr>
          <w:rStyle w:val="FootnoteReference"/>
        </w:rPr>
        <w:footnoteRef/>
      </w:r>
      <w:r w:rsidRPr="0074566D">
        <w:t xml:space="preserve"> 47 CFR § 73.3587; </w:t>
      </w:r>
      <w:r w:rsidRPr="0074566D">
        <w:rPr>
          <w:i/>
          <w:iCs/>
        </w:rPr>
        <w:t>see Geraldine R. Miller</w:t>
      </w:r>
      <w:r w:rsidRPr="0074566D">
        <w:t>, 24 FCC Rcd 11814, 11815 (MB 2009) (petition to deny treated as an informal objection due to lack of supporting affidavit and lack of proper service on the parties to the application).</w:t>
      </w:r>
    </w:p>
  </w:footnote>
  <w:footnote w:id="25">
    <w:p w:rsidR="00D552FE" w:rsidRPr="0074566D" w:rsidP="00D552FE" w14:paraId="49D8A4B8" w14:textId="28D30250">
      <w:pPr>
        <w:pStyle w:val="FootnoteText"/>
      </w:pPr>
      <w:r w:rsidRPr="0074566D">
        <w:rPr>
          <w:rStyle w:val="FootnoteReference"/>
        </w:rPr>
        <w:footnoteRef/>
      </w:r>
      <w:r w:rsidRPr="0074566D">
        <w:t xml:space="preserve"> 47 U.S.C. § </w:t>
      </w:r>
      <w:r w:rsidR="00A7738D">
        <w:t>310(d)</w:t>
      </w:r>
      <w:r w:rsidRPr="0074566D">
        <w:t>.</w:t>
      </w:r>
    </w:p>
  </w:footnote>
  <w:footnote w:id="26">
    <w:p w:rsidR="0057343F" w:rsidRPr="0074566D" w:rsidP="0057343F" w14:paraId="5BA3A151" w14:textId="77777777">
      <w:pPr>
        <w:pStyle w:val="FootnoteText"/>
      </w:pPr>
      <w:r w:rsidRPr="0074566D">
        <w:rPr>
          <w:rStyle w:val="FootnoteReference"/>
        </w:rPr>
        <w:footnoteRef/>
      </w:r>
      <w:r w:rsidRPr="0074566D">
        <w:t xml:space="preserve"> </w:t>
      </w:r>
      <w:r w:rsidRPr="0074566D">
        <w:rPr>
          <w:i/>
          <w:iCs/>
        </w:rPr>
        <w:t>See Richard Eiswerth and Dan Baughman,</w:t>
      </w:r>
      <w:r w:rsidRPr="0074566D">
        <w:t> 22 FCC Rcd 6807 (MB 2007).</w:t>
      </w:r>
    </w:p>
  </w:footnote>
  <w:footnote w:id="27">
    <w:p w:rsidR="006D56B8" w:rsidRPr="006227DC" w:rsidP="006D56B8" w14:paraId="3A59FDF9" w14:textId="77777777">
      <w:pPr>
        <w:pStyle w:val="FootnoteText"/>
      </w:pPr>
      <w:r>
        <w:rPr>
          <w:rStyle w:val="FootnoteReference"/>
        </w:rPr>
        <w:footnoteRef/>
      </w:r>
      <w:r>
        <w:t xml:space="preserve"> </w:t>
      </w:r>
      <w:r>
        <w:rPr>
          <w:i/>
          <w:iCs/>
        </w:rPr>
        <w:t>See, e.g.</w:t>
      </w:r>
      <w:r>
        <w:t xml:space="preserve">, </w:t>
      </w:r>
      <w:r>
        <w:rPr>
          <w:i/>
          <w:iCs/>
        </w:rPr>
        <w:t>Fox Television Stations, Inc.</w:t>
      </w:r>
      <w:r>
        <w:t>, Memorandum Opinion and Order, 20 FCC Rcd 4800, 4801, para. 3 (2005).</w:t>
      </w:r>
    </w:p>
  </w:footnote>
  <w:footnote w:id="28">
    <w:p w:rsidR="006D56B8" w:rsidP="006D56B8" w14:paraId="2970FDA5" w14:textId="77777777">
      <w:pPr>
        <w:pStyle w:val="FootnoteText"/>
      </w:pPr>
      <w:r>
        <w:rPr>
          <w:rStyle w:val="FootnoteReference"/>
        </w:rPr>
        <w:footnoteRef/>
      </w:r>
      <w:r>
        <w:t xml:space="preserve"> </w:t>
      </w:r>
      <w:r>
        <w:rPr>
          <w:i/>
          <w:iCs/>
        </w:rPr>
        <w:t>Id.</w:t>
      </w:r>
      <w:r>
        <w:t xml:space="preserve"> (citing U.S. </w:t>
      </w:r>
      <w:r w:rsidRPr="0001694B">
        <w:rPr>
          <w:smallCaps/>
        </w:rPr>
        <w:t>Const</w:t>
      </w:r>
      <w:r>
        <w:t>., amend. I, and 47 U.S.C. § 326).</w:t>
      </w:r>
    </w:p>
  </w:footnote>
  <w:footnote w:id="29">
    <w:p w:rsidR="0057343F" w:rsidRPr="0074566D" w:rsidP="0057343F" w14:paraId="2F7094A4" w14:textId="77777777">
      <w:pPr>
        <w:pStyle w:val="FootnoteText"/>
      </w:pPr>
      <w:r w:rsidRPr="0074566D">
        <w:rPr>
          <w:rStyle w:val="FootnoteReference"/>
        </w:rPr>
        <w:footnoteRef/>
      </w:r>
      <w:r w:rsidRPr="0074566D">
        <w:t xml:space="preserve"> </w:t>
      </w:r>
      <w:r w:rsidRPr="0074566D">
        <w:rPr>
          <w:i/>
          <w:iCs/>
        </w:rPr>
        <w:t>See Changes in the Entertainment Formats of Broadcast Stations</w:t>
      </w:r>
      <w:r w:rsidRPr="006547B4">
        <w:t>,</w:t>
      </w:r>
      <w:r w:rsidRPr="0074566D">
        <w:t> Memorandum Opinion and Order, 60 FCC 2d 858, 865-66 (1976), </w:t>
      </w:r>
      <w:r w:rsidRPr="0074566D">
        <w:rPr>
          <w:i/>
          <w:iCs/>
        </w:rPr>
        <w:t>recon. denied</w:t>
      </w:r>
      <w:r w:rsidRPr="0074566D">
        <w:t>, Memorandum Opinion and Order, 66 FCC 2d 78 (1977), </w:t>
      </w:r>
      <w:r w:rsidRPr="0074566D">
        <w:rPr>
          <w:i/>
          <w:iCs/>
        </w:rPr>
        <w:t>rev'd</w:t>
      </w:r>
      <w:r w:rsidRPr="0074566D">
        <w:rPr>
          <w:i/>
          <w:iCs/>
        </w:rPr>
        <w:t xml:space="preserve"> sub nom.</w:t>
      </w:r>
      <w:r w:rsidRPr="006547B4">
        <w:t>,</w:t>
      </w:r>
      <w:r w:rsidRPr="0074566D">
        <w:rPr>
          <w:i/>
          <w:iCs/>
        </w:rPr>
        <w:t> WNCN Listeners Guild v. FCC</w:t>
      </w:r>
      <w:r w:rsidRPr="0074566D">
        <w:t>, 610 F.2d 838 (D.C. Cir. 1979), </w:t>
      </w:r>
      <w:r w:rsidRPr="0074566D">
        <w:rPr>
          <w:i/>
          <w:iCs/>
        </w:rPr>
        <w:t>rev'd</w:t>
      </w:r>
      <w:r w:rsidRPr="00A05C0E">
        <w:t>,</w:t>
      </w:r>
      <w:r w:rsidRPr="0074566D">
        <w:t xml:space="preserve"> 450 U.S. 582 (1981). </w:t>
      </w:r>
      <w:r>
        <w:t xml:space="preserve"> </w:t>
      </w:r>
      <w:r w:rsidRPr="0074566D">
        <w:t>Note that Section 326 of the Act expressly prohibits the Commission from interfering with the right of free speech of broadcasters.  47 U.S.C. § 326.</w:t>
      </w:r>
    </w:p>
  </w:footnote>
  <w:footnote w:id="30">
    <w:p w:rsidR="0057343F" w:rsidRPr="0074566D" w:rsidP="0057343F" w14:paraId="0D0326DB" w14:textId="52047C38">
      <w:pPr>
        <w:pStyle w:val="FootnoteText"/>
        <w:rPr>
          <w:i/>
          <w:iCs/>
        </w:rPr>
      </w:pPr>
      <w:r w:rsidRPr="0074566D">
        <w:rPr>
          <w:rStyle w:val="FootnoteReference"/>
        </w:rPr>
        <w:footnoteRef/>
      </w:r>
      <w:r w:rsidRPr="0074566D">
        <w:t xml:space="preserve"> </w:t>
      </w:r>
      <w:r w:rsidRPr="0074566D">
        <w:rPr>
          <w:i/>
          <w:iCs/>
        </w:rPr>
        <w:t xml:space="preserve">See </w:t>
      </w:r>
      <w:r w:rsidRPr="00BA5933">
        <w:rPr>
          <w:rFonts w:eastAsia="Calibri"/>
          <w:i/>
          <w:iCs/>
        </w:rPr>
        <w:t>Peter Davidson</w:t>
      </w:r>
      <w:r w:rsidRPr="00BA5933">
        <w:rPr>
          <w:rFonts w:eastAsia="Calibri"/>
        </w:rPr>
        <w:t>, 22 FCC Rcd at 18606</w:t>
      </w:r>
      <w:r w:rsidR="004F25F0">
        <w:rPr>
          <w:rFonts w:eastAsia="Calibri"/>
        </w:rPr>
        <w:t>-07</w:t>
      </w:r>
      <w:r w:rsidRPr="00BA5933">
        <w:rPr>
          <w:rFonts w:eastAsia="Calibri"/>
        </w:rPr>
        <w:t xml:space="preserve"> (MB 2007)</w:t>
      </w:r>
      <w:r w:rsidRPr="0074566D">
        <w:t xml:space="preserve"> (citing</w:t>
      </w:r>
      <w:r w:rsidRPr="0074566D">
        <w:rPr>
          <w:i/>
          <w:iCs/>
        </w:rPr>
        <w:t> FCC v. WNCN Listener's Guild</w:t>
      </w:r>
      <w:r w:rsidRPr="0074566D">
        <w:t>, 450 U.S. 582, 585 (1981)).</w:t>
      </w:r>
    </w:p>
  </w:footnote>
  <w:footnote w:id="31">
    <w:p w:rsidR="00376F67" w14:paraId="5B1FBE98" w14:textId="44C2A515">
      <w:pPr>
        <w:pStyle w:val="FootnoteText"/>
      </w:pPr>
      <w:r>
        <w:rPr>
          <w:rStyle w:val="FootnoteReference"/>
        </w:rPr>
        <w:footnoteRef/>
      </w:r>
      <w:r>
        <w:t xml:space="preserve"> </w:t>
      </w:r>
      <w:r w:rsidR="002E5F83">
        <w:t>47 U.S.C. § 310(b)(4)</w:t>
      </w:r>
      <w:r w:rsidR="007F1C86">
        <w:t xml:space="preserve"> (</w:t>
      </w:r>
      <w:r w:rsidR="00540B30">
        <w:t xml:space="preserve">“No broadcast . . . license shall be granted to or held by . . . any corporation directly or indirectly </w:t>
      </w:r>
      <w:r w:rsidRPr="000E23FD" w:rsidR="000E23FD">
        <w:t>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sidR="000E23FD">
        <w:t>”)</w:t>
      </w:r>
      <w:r w:rsidR="0025294C">
        <w:t>.</w:t>
      </w:r>
    </w:p>
  </w:footnote>
  <w:footnote w:id="32">
    <w:p w:rsidR="00FC2876" w:rsidP="00FC2876" w14:paraId="2549651F" w14:textId="77777777">
      <w:pPr>
        <w:pStyle w:val="FootnoteText"/>
      </w:pPr>
      <w:r>
        <w:rPr>
          <w:rStyle w:val="FootnoteReference"/>
        </w:rPr>
        <w:footnoteRef/>
      </w:r>
      <w:r>
        <w:t xml:space="preserve"> 47 U.S.C. § 310(b)(4).</w:t>
      </w:r>
    </w:p>
  </w:footnote>
  <w:footnote w:id="33">
    <w:p w:rsidR="00FC2876" w:rsidP="00FC2876" w14:paraId="0BB90ECC" w14:textId="0B7E8D6C">
      <w:pPr>
        <w:pStyle w:val="FootnoteText"/>
      </w:pPr>
      <w:r>
        <w:rPr>
          <w:rStyle w:val="FootnoteReference"/>
        </w:rPr>
        <w:footnoteRef/>
      </w:r>
      <w:r>
        <w:t xml:space="preserve"> </w:t>
      </w:r>
      <w:r w:rsidRPr="001B2BDE">
        <w:rPr>
          <w:i/>
          <w:iCs/>
        </w:rPr>
        <w:t>Id</w:t>
      </w:r>
      <w:r>
        <w:t>.</w:t>
      </w:r>
    </w:p>
  </w:footnote>
  <w:footnote w:id="34">
    <w:p w:rsidR="00376F67" w:rsidRPr="00F31DB4" w14:paraId="183E028B" w14:textId="3D594BCE">
      <w:pPr>
        <w:pStyle w:val="FootnoteText"/>
      </w:pPr>
      <w:r>
        <w:rPr>
          <w:rStyle w:val="FootnoteReference"/>
        </w:rPr>
        <w:footnoteRef/>
      </w:r>
      <w:r>
        <w:t xml:space="preserve"> </w:t>
      </w:r>
      <w:r w:rsidR="00F31DB4">
        <w:rPr>
          <w:i/>
          <w:iCs/>
        </w:rPr>
        <w:t xml:space="preserve">See supra </w:t>
      </w:r>
      <w:r w:rsidR="00F31DB4">
        <w:t xml:space="preserve">para. </w:t>
      </w:r>
      <w:r w:rsidR="00F31DB4">
        <w:rPr>
          <w:highlight w:val="yellow"/>
        </w:rPr>
        <w:fldChar w:fldCharType="begin"/>
      </w:r>
      <w:r w:rsidR="00F31DB4">
        <w:instrText xml:space="preserve"> PAGEREF _Ref67483397 \h </w:instrText>
      </w:r>
      <w:r w:rsidR="00F31DB4">
        <w:rPr>
          <w:highlight w:val="yellow"/>
        </w:rPr>
        <w:fldChar w:fldCharType="separate"/>
      </w:r>
      <w:r w:rsidR="00F31DB4">
        <w:rPr>
          <w:noProof/>
        </w:rPr>
        <w:t>2</w:t>
      </w:r>
      <w:r w:rsidR="00F31DB4">
        <w:rPr>
          <w:highlight w:val="yellow"/>
        </w:rPr>
        <w:fldChar w:fldCharType="end"/>
      </w:r>
      <w:r w:rsidR="00F31DB4">
        <w:t>.</w:t>
      </w:r>
    </w:p>
  </w:footnote>
  <w:footnote w:id="35">
    <w:p w:rsidR="00376F67" w14:paraId="105A69D1" w14:textId="35D4FF10">
      <w:pPr>
        <w:pStyle w:val="FootnoteText"/>
      </w:pPr>
      <w:r>
        <w:rPr>
          <w:rStyle w:val="FootnoteReference"/>
        </w:rPr>
        <w:footnoteRef/>
      </w:r>
      <w:r>
        <w:t xml:space="preserve"> </w:t>
      </w:r>
      <w:r w:rsidR="00F31DB4">
        <w:rPr>
          <w:i/>
          <w:iCs/>
        </w:rPr>
        <w:t xml:space="preserve">See supra </w:t>
      </w:r>
      <w:r w:rsidR="00F31DB4">
        <w:t xml:space="preserve">para. </w:t>
      </w:r>
      <w:r w:rsidR="00F31DB4">
        <w:rPr>
          <w:highlight w:val="yellow"/>
        </w:rPr>
        <w:fldChar w:fldCharType="begin"/>
      </w:r>
      <w:r w:rsidR="00F31DB4">
        <w:instrText xml:space="preserve"> PAGEREF _Ref67483397 \h </w:instrText>
      </w:r>
      <w:r w:rsidR="00F31DB4">
        <w:rPr>
          <w:highlight w:val="yellow"/>
        </w:rPr>
        <w:fldChar w:fldCharType="separate"/>
      </w:r>
      <w:r w:rsidR="00F31DB4">
        <w:rPr>
          <w:noProof/>
        </w:rPr>
        <w:t>2</w:t>
      </w:r>
      <w:r w:rsidR="00F31DB4">
        <w:rPr>
          <w:highlight w:val="yellow"/>
        </w:rPr>
        <w:fldChar w:fldCharType="end"/>
      </w:r>
      <w:r w:rsidR="00F31DB4">
        <w:t>.</w:t>
      </w:r>
    </w:p>
  </w:footnote>
  <w:footnote w:id="36">
    <w:p w:rsidR="00376F67" w:rsidRPr="00BB7B13" w14:paraId="44BCE6FF" w14:textId="23023C09">
      <w:pPr>
        <w:pStyle w:val="FootnoteText"/>
      </w:pPr>
      <w:r>
        <w:rPr>
          <w:rStyle w:val="FootnoteReference"/>
        </w:rPr>
        <w:footnoteRef/>
      </w:r>
      <w:r>
        <w:t xml:space="preserve"> </w:t>
      </w:r>
      <w:r w:rsidR="00BB7B13">
        <w:rPr>
          <w:i/>
          <w:iCs/>
        </w:rPr>
        <w:t>See 2020 Declaratory Ruling</w:t>
      </w:r>
      <w:r w:rsidR="00BB7B13">
        <w:t>, 3</w:t>
      </w:r>
      <w:r w:rsidR="009D2C09">
        <w:t>5 FCC Rcd at 12777</w:t>
      </w:r>
      <w:r w:rsidR="00B84142">
        <w:t xml:space="preserve">, para. 19 (“[T]he ruling is subject to the requirement that iHeart obtain Commission approval for any new or additional foreign individual, entity, or group of such individuals </w:t>
      </w:r>
      <w:r w:rsidR="00D9241F">
        <w:t>or</w:t>
      </w:r>
      <w:r w:rsidR="00B84142">
        <w:t xml:space="preserve"> entities to hold, directly and/or indirectly, more than 5% (or more than 10% for certain institutional investors) of the equity and/or voting interests, or a controlling interest, in the company.” (</w:t>
      </w:r>
      <w:r w:rsidR="003870F0">
        <w:t>citing 47 CFR §§ 1.5001(</w:t>
      </w:r>
      <w:r w:rsidR="003870F0">
        <w:t>i</w:t>
      </w:r>
      <w:r w:rsidR="003870F0">
        <w:t>), 1.5004(a)(1))</w:t>
      </w:r>
      <w:r w:rsidR="005E0479">
        <w:t>).</w:t>
      </w:r>
    </w:p>
  </w:footnote>
  <w:footnote w:id="37">
    <w:p w:rsidR="00376F67" w14:paraId="45BB454A" w14:textId="421E8302">
      <w:pPr>
        <w:pStyle w:val="FootnoteText"/>
      </w:pPr>
      <w:r>
        <w:rPr>
          <w:rStyle w:val="FootnoteReference"/>
        </w:rPr>
        <w:footnoteRef/>
      </w:r>
      <w:r>
        <w:t xml:space="preserve"> </w:t>
      </w:r>
      <w:r w:rsidR="0001032B">
        <w:t>47 CFR § 1.5004(f)(3).</w:t>
      </w:r>
    </w:p>
  </w:footnote>
  <w:footnote w:id="38">
    <w:p w:rsidR="00376F67" w:rsidRPr="00A967CA" w14:paraId="2EE63F90" w14:textId="7BC33814">
      <w:pPr>
        <w:pStyle w:val="FootnoteText"/>
      </w:pPr>
      <w:r>
        <w:rPr>
          <w:rStyle w:val="FootnoteReference"/>
        </w:rPr>
        <w:footnoteRef/>
      </w:r>
      <w:r>
        <w:t xml:space="preserve"> </w:t>
      </w:r>
      <w:r w:rsidR="00A967CA">
        <w:rPr>
          <w:i/>
          <w:iCs/>
        </w:rPr>
        <w:t>Id.</w:t>
      </w:r>
    </w:p>
  </w:footnote>
  <w:footnote w:id="39">
    <w:p w:rsidR="00376F67" w14:paraId="1166B0F5" w14:textId="6466DAD9">
      <w:pPr>
        <w:pStyle w:val="FootnoteText"/>
      </w:pPr>
      <w:r>
        <w:rPr>
          <w:rStyle w:val="FootnoteReference"/>
        </w:rPr>
        <w:footnoteRef/>
      </w:r>
      <w:r>
        <w:t xml:space="preserve"> </w:t>
      </w:r>
      <w:r w:rsidR="00A967CA">
        <w:rPr>
          <w:i/>
          <w:iCs/>
        </w:rPr>
        <w:t xml:space="preserve">See </w:t>
      </w:r>
      <w:r w:rsidR="00A967CA">
        <w:t xml:space="preserve">47 U.S.C. § 310(b)(4); </w:t>
      </w:r>
      <w:r w:rsidR="0073789C">
        <w:t xml:space="preserve">47 CFR </w:t>
      </w:r>
      <w:r w:rsidRPr="00656E62" w:rsidR="0073789C">
        <w:t>§</w:t>
      </w:r>
      <w:r w:rsidR="0073789C">
        <w:t xml:space="preserve"> </w:t>
      </w:r>
      <w:r w:rsidR="000D0E38">
        <w:t xml:space="preserve">1.5000 </w:t>
      </w:r>
      <w:r w:rsidR="000D0E38">
        <w:rPr>
          <w:i/>
          <w:iCs/>
        </w:rPr>
        <w:t>et seq.</w:t>
      </w:r>
      <w:r w:rsidR="00C33CBD">
        <w:t xml:space="preserve">  </w:t>
      </w:r>
      <w:r w:rsidRPr="00C33CBD" w:rsidR="00C33CBD">
        <w:t>We note that</w:t>
      </w:r>
      <w:r w:rsidR="00D007DC">
        <w:t>,</w:t>
      </w:r>
      <w:r w:rsidRPr="00C33CBD" w:rsidR="00C33CBD">
        <w:t xml:space="preserve"> </w:t>
      </w:r>
      <w:r w:rsidR="00C33CBD">
        <w:t xml:space="preserve">among other things, the </w:t>
      </w:r>
      <w:r w:rsidR="00C33CBD">
        <w:rPr>
          <w:i/>
          <w:iCs/>
        </w:rPr>
        <w:t>2020 Declaratory Ruling</w:t>
      </w:r>
      <w:r w:rsidRPr="00C33CBD" w:rsidR="00C33CBD">
        <w:t xml:space="preserve"> authorizes up to and including 100% aggregate direct and/or indirect foreign investment (equity and voting interests) in iHeart</w:t>
      </w:r>
      <w:r w:rsidR="00C33CBD">
        <w:t>, subject to the terms and conditions specified in the ruling</w:t>
      </w:r>
      <w:r w:rsidR="00A967CA">
        <w:t>.</w:t>
      </w:r>
      <w:r w:rsidR="004272F0">
        <w:t xml:space="preserve">  </w:t>
      </w:r>
      <w:r w:rsidR="004272F0">
        <w:rPr>
          <w:i/>
          <w:iCs/>
        </w:rPr>
        <w:t>See 2020 Declaratory Ruling</w:t>
      </w:r>
      <w:r w:rsidR="004272F0">
        <w:t>, 35 FCC Rcd at 12776-78, paras. 16-19.</w:t>
      </w:r>
    </w:p>
  </w:footnote>
  <w:footnote w:id="40">
    <w:p w:rsidR="00376F67" w:rsidRPr="00881839" w14:paraId="100184A9" w14:textId="23E2784A">
      <w:pPr>
        <w:pStyle w:val="FootnoteText"/>
      </w:pPr>
      <w:r>
        <w:rPr>
          <w:rStyle w:val="FootnoteReference"/>
        </w:rPr>
        <w:footnoteRef/>
      </w:r>
      <w:r>
        <w:t xml:space="preserve"> </w:t>
      </w:r>
      <w:r w:rsidR="00881839">
        <w:rPr>
          <w:i/>
          <w:iCs/>
        </w:rPr>
        <w:t xml:space="preserve">See </w:t>
      </w:r>
      <w:r w:rsidR="00881839">
        <w:t>Remedial PDR</w:t>
      </w:r>
      <w:r w:rsidR="00065503">
        <w:t xml:space="preserve"> at 2 &amp; Exh. A, </w:t>
      </w:r>
      <w:r w:rsidR="00DA02A8">
        <w:t>Subsidiaries and Licenses.</w:t>
      </w:r>
    </w:p>
  </w:footnote>
  <w:footnote w:id="41">
    <w:p w:rsidR="00376F67" w14:paraId="5A845C21" w14:textId="2870196F">
      <w:pPr>
        <w:pStyle w:val="FootnoteText"/>
      </w:pPr>
      <w:r>
        <w:rPr>
          <w:rStyle w:val="FootnoteReference"/>
        </w:rPr>
        <w:footnoteRef/>
      </w:r>
      <w:r>
        <w:t xml:space="preserve"> </w:t>
      </w:r>
      <w:r w:rsidR="00913833">
        <w:t>Remedial PDR at 4.</w:t>
      </w:r>
    </w:p>
  </w:footnote>
  <w:footnote w:id="42">
    <w:p w:rsidR="000E7D49" w:rsidP="000E7D49" w14:paraId="23B6A3D7" w14:textId="67C3504B">
      <w:pPr>
        <w:pStyle w:val="FootnoteText"/>
      </w:pPr>
      <w:r>
        <w:rPr>
          <w:rStyle w:val="FootnoteReference"/>
        </w:rPr>
        <w:footnoteRef/>
      </w:r>
      <w:r>
        <w:t xml:space="preserve"> </w:t>
      </w:r>
      <w:r w:rsidRPr="00984699">
        <w:rPr>
          <w:i/>
          <w:iCs/>
        </w:rPr>
        <w:t>See supra</w:t>
      </w:r>
      <w:r>
        <w:t xml:space="preserve"> paras. 2-4.</w:t>
      </w:r>
    </w:p>
  </w:footnote>
  <w:footnote w:id="43">
    <w:p w:rsidR="00376F67" w:rsidRPr="0038446A" w14:paraId="79E712BA" w14:textId="472C136F">
      <w:pPr>
        <w:pStyle w:val="FootnoteText"/>
      </w:pPr>
      <w:r>
        <w:rPr>
          <w:rStyle w:val="FootnoteReference"/>
        </w:rPr>
        <w:footnoteRef/>
      </w:r>
      <w:r>
        <w:t xml:space="preserve"> </w:t>
      </w:r>
      <w:r w:rsidR="0038446A">
        <w:rPr>
          <w:i/>
          <w:iCs/>
        </w:rPr>
        <w:t xml:space="preserve">See </w:t>
      </w:r>
      <w:r w:rsidR="0038446A">
        <w:t xml:space="preserve">Remedial PDR </w:t>
      </w:r>
      <w:r w:rsidR="0038446A">
        <w:rPr>
          <w:i/>
          <w:iCs/>
        </w:rPr>
        <w:t xml:space="preserve">supra </w:t>
      </w:r>
      <w:r w:rsidR="0038446A">
        <w:t xml:space="preserve">note </w:t>
      </w:r>
      <w:r w:rsidR="0038446A">
        <w:rPr>
          <w:highlight w:val="yellow"/>
        </w:rPr>
        <w:fldChar w:fldCharType="begin"/>
      </w:r>
      <w:r w:rsidR="0038446A">
        <w:instrText xml:space="preserve"> NOTEREF _Ref67479987 \h </w:instrText>
      </w:r>
      <w:r w:rsidR="0038446A">
        <w:rPr>
          <w:highlight w:val="yellow"/>
        </w:rPr>
        <w:fldChar w:fldCharType="separate"/>
      </w:r>
      <w:r w:rsidR="0038446A">
        <w:t>4</w:t>
      </w:r>
      <w:r w:rsidR="0038446A">
        <w:rPr>
          <w:highlight w:val="yellow"/>
        </w:rPr>
        <w:fldChar w:fldCharType="end"/>
      </w:r>
      <w:r w:rsidR="0038446A">
        <w:t>.</w:t>
      </w:r>
    </w:p>
  </w:footnote>
  <w:footnote w:id="44">
    <w:p w:rsidR="005F2EB0" w14:paraId="3D7D37EA" w14:textId="3A41C518">
      <w:pPr>
        <w:pStyle w:val="FootnoteText"/>
      </w:pPr>
      <w:r>
        <w:rPr>
          <w:rStyle w:val="FootnoteReference"/>
        </w:rPr>
        <w:footnoteRef/>
      </w:r>
      <w:r>
        <w:t xml:space="preserve"> 47 CFR § 1.5004(f)(3)(iii).</w:t>
      </w:r>
    </w:p>
  </w:footnote>
  <w:footnote w:id="45">
    <w:p w:rsidR="00376F67" w14:paraId="3A6D1F0F" w14:textId="724BEE4D">
      <w:pPr>
        <w:pStyle w:val="FootnoteText"/>
      </w:pPr>
      <w:r>
        <w:rPr>
          <w:rStyle w:val="FootnoteReference"/>
        </w:rPr>
        <w:footnoteRef/>
      </w:r>
      <w:r>
        <w:t xml:space="preserve"> </w:t>
      </w:r>
      <w:r w:rsidR="005821B6">
        <w:t>47 U.S.C. § 310(b)(4).</w:t>
      </w:r>
    </w:p>
  </w:footnote>
  <w:footnote w:id="46">
    <w:p w:rsidR="00A968C9" w14:paraId="722796F1" w14:textId="11ADB985">
      <w:pPr>
        <w:pStyle w:val="FootnoteText"/>
      </w:pPr>
      <w:r>
        <w:rPr>
          <w:rStyle w:val="FootnoteReference"/>
        </w:rPr>
        <w:footnoteRef/>
      </w:r>
      <w:r>
        <w:t xml:space="preserve"> </w:t>
      </w:r>
      <w:r w:rsidRPr="00A968C9">
        <w:rPr>
          <w:i/>
          <w:iCs/>
        </w:rPr>
        <w:t>Request for Declaratory Ruling Concerning the Citizenship Requirements of Sections 310(b)(3) and (4) of the Communications Act of 1934, as amended</w:t>
      </w:r>
      <w:r w:rsidRPr="00A968C9">
        <w:t>, Memorandum Opinion and Order, 1 FCC Rcd 12,</w:t>
      </w:r>
      <w:r w:rsidR="003F0127">
        <w:t xml:space="preserve"> 13,</w:t>
      </w:r>
      <w:r w:rsidRPr="00A968C9">
        <w:t xml:space="preserve"> para. </w:t>
      </w:r>
      <w:r w:rsidR="003F0127">
        <w:t>7</w:t>
      </w:r>
      <w:r w:rsidRPr="00A968C9">
        <w:t xml:space="preserve"> (1986) (“The adoption of the equity benchmarks in Section 310(b) reflects congressional concern over substantial alien ownership . . . even where the alien’s ownership interest is noninfluential in nature.”). </w:t>
      </w:r>
    </w:p>
  </w:footnote>
  <w:footnote w:id="47">
    <w:p w:rsidR="001062FE" w:rsidRPr="000B58BF" w14:paraId="52E1332C" w14:textId="6EE6741B">
      <w:pPr>
        <w:pStyle w:val="FootnoteText"/>
      </w:pPr>
      <w:r>
        <w:rPr>
          <w:rStyle w:val="FootnoteReference"/>
        </w:rPr>
        <w:footnoteRef/>
      </w:r>
      <w:r>
        <w:t xml:space="preserve"> </w:t>
      </w:r>
      <w:r w:rsidR="009B1FF5">
        <w:rPr>
          <w:i/>
          <w:iCs/>
        </w:rPr>
        <w:t>2020 Declaratory Ruling</w:t>
      </w:r>
      <w:r w:rsidR="009B1FF5">
        <w:t>, 35 FCC Rcd at 1277</w:t>
      </w:r>
      <w:r w:rsidR="00EB6FB5">
        <w:t>6</w:t>
      </w:r>
      <w:r w:rsidR="009B1FF5">
        <w:t>, para. 17.</w:t>
      </w:r>
      <w:r w:rsidR="000B58BF">
        <w:t xml:space="preserve">  </w:t>
      </w:r>
      <w:r w:rsidRPr="000B58BF" w:rsidR="000B58BF">
        <w:t xml:space="preserve">The ruling </w:t>
      </w:r>
      <w:r w:rsidR="000B58BF">
        <w:t>is</w:t>
      </w:r>
      <w:r w:rsidRPr="000B58BF" w:rsidR="000B58BF">
        <w:t xml:space="preserve"> subject to conditions that require iHeart to comply with the commitments and undertakings set forth in the </w:t>
      </w:r>
      <w:r w:rsidR="000B58BF">
        <w:t>L</w:t>
      </w:r>
      <w:r w:rsidRPr="000B58BF" w:rsidR="000B58BF">
        <w:t>OA</w:t>
      </w:r>
      <w:r w:rsidR="000B58BF">
        <w:t xml:space="preserve"> and</w:t>
      </w:r>
      <w:r w:rsidRPr="000B58BF" w:rsidR="000B58BF">
        <w:t xml:space="preserve"> the standard terms and conditions set forth in section 1.5004 of the Commission’s rules.</w:t>
      </w:r>
      <w:r w:rsidR="000B58BF">
        <w:t xml:space="preserve">  </w:t>
      </w:r>
      <w:r w:rsidR="000B58BF">
        <w:rPr>
          <w:i/>
          <w:iCs/>
        </w:rPr>
        <w:t>Id.</w:t>
      </w:r>
      <w:r w:rsidR="000B58BF">
        <w:t xml:space="preserve"> at 12777</w:t>
      </w:r>
      <w:r w:rsidR="00EA3DC6">
        <w:t>-78, paras. 18-19.</w:t>
      </w:r>
    </w:p>
  </w:footnote>
  <w:footnote w:id="48">
    <w:p w:rsidR="001062FE" w:rsidRPr="009B1FF5" w14:paraId="5AC73E56" w14:textId="3235603B">
      <w:pPr>
        <w:pStyle w:val="FootnoteText"/>
      </w:pPr>
      <w:r>
        <w:rPr>
          <w:rStyle w:val="FootnoteReference"/>
        </w:rPr>
        <w:footnoteRef/>
      </w:r>
      <w:r>
        <w:t xml:space="preserve"> </w:t>
      </w:r>
      <w:r w:rsidR="00AF77F6">
        <w:t>Remedial PDR at 3-6.</w:t>
      </w:r>
    </w:p>
  </w:footnote>
  <w:footnote w:id="49">
    <w:p w:rsidR="001062FE" w14:paraId="6B10B31A" w14:textId="5DBA2F75">
      <w:pPr>
        <w:pStyle w:val="FootnoteText"/>
      </w:pPr>
      <w:r>
        <w:rPr>
          <w:rStyle w:val="FootnoteReference"/>
        </w:rPr>
        <w:footnoteRef/>
      </w:r>
      <w:r>
        <w:t xml:space="preserve"> </w:t>
      </w:r>
      <w:r w:rsidRPr="00D71DBB" w:rsidR="00D71DBB">
        <w:rPr>
          <w:i/>
          <w:iCs/>
        </w:rPr>
        <w:t xml:space="preserve"> </w:t>
      </w:r>
      <w:r w:rsidR="00D71DBB">
        <w:rPr>
          <w:i/>
          <w:iCs/>
        </w:rPr>
        <w:t xml:space="preserve">See </w:t>
      </w:r>
      <w:r w:rsidR="00AF77F6">
        <w:rPr>
          <w:i/>
          <w:iCs/>
        </w:rPr>
        <w:t>id.</w:t>
      </w:r>
      <w:r w:rsidR="00D71DBB">
        <w:t xml:space="preserve"> at 2 &amp; Exh. A, Subsidiaries and Licenses; </w:t>
      </w:r>
      <w:r w:rsidR="00D71DBB">
        <w:rPr>
          <w:i/>
          <w:iCs/>
        </w:rPr>
        <w:t>s</w:t>
      </w:r>
      <w:r w:rsidR="0027577B">
        <w:rPr>
          <w:i/>
          <w:iCs/>
        </w:rPr>
        <w:t xml:space="preserve">upra </w:t>
      </w:r>
      <w:r w:rsidR="0027577B">
        <w:t xml:space="preserve">notes </w:t>
      </w:r>
      <w:r w:rsidR="0027577B">
        <w:fldChar w:fldCharType="begin"/>
      </w:r>
      <w:r w:rsidR="0027577B">
        <w:instrText xml:space="preserve"> NOTEREF _Ref67484869 \h </w:instrText>
      </w:r>
      <w:r w:rsidR="0027577B">
        <w:fldChar w:fldCharType="separate"/>
      </w:r>
      <w:r w:rsidR="0027577B">
        <w:t>1</w:t>
      </w:r>
      <w:r w:rsidR="0027577B">
        <w:fldChar w:fldCharType="end"/>
      </w:r>
      <w:r w:rsidR="0027577B">
        <w:t>-</w:t>
      </w:r>
      <w:r w:rsidR="0027577B">
        <w:fldChar w:fldCharType="begin"/>
      </w:r>
      <w:r w:rsidR="0027577B">
        <w:instrText xml:space="preserve"> NOTEREF _Ref67484872 \h </w:instrText>
      </w:r>
      <w:r w:rsidR="0027577B">
        <w:fldChar w:fldCharType="separate"/>
      </w:r>
      <w:r w:rsidR="0027577B">
        <w:t>2</w:t>
      </w:r>
      <w:r w:rsidR="0027577B">
        <w:fldChar w:fldCharType="end"/>
      </w:r>
      <w:r w:rsidR="00D71DBB">
        <w:t>.</w:t>
      </w:r>
      <w:r w:rsidR="00F265D0">
        <w:t xml:space="preserve">  </w:t>
      </w:r>
      <w:r w:rsidR="00C57D52">
        <w:t xml:space="preserve">We note that the all but one of the subject stations are located in </w:t>
      </w:r>
      <w:r w:rsidRPr="00151534" w:rsidR="00151534">
        <w:t>Texas</w:t>
      </w:r>
      <w:r w:rsidR="008B1CC6">
        <w:t xml:space="preserve"> and that the Commission’s rules require that</w:t>
      </w:r>
      <w:r w:rsidR="008D7DAC">
        <w:t xml:space="preserve"> </w:t>
      </w:r>
      <w:r w:rsidR="001F572A">
        <w:t>these</w:t>
      </w:r>
      <w:r w:rsidRPr="00151534" w:rsidR="00151534">
        <w:t xml:space="preserve"> stations file </w:t>
      </w:r>
      <w:r w:rsidR="001F572A">
        <w:t xml:space="preserve">their </w:t>
      </w:r>
      <w:r w:rsidR="008D7DAC">
        <w:t xml:space="preserve">license </w:t>
      </w:r>
      <w:r w:rsidRPr="00151534" w:rsidR="00151534">
        <w:t xml:space="preserve">renewals </w:t>
      </w:r>
      <w:r w:rsidR="003F6CA1">
        <w:t xml:space="preserve">no later than April 1, 2021.  </w:t>
      </w:r>
      <w:r w:rsidR="003F6CA1">
        <w:rPr>
          <w:i/>
          <w:iCs/>
        </w:rPr>
        <w:t xml:space="preserve">See </w:t>
      </w:r>
      <w:r w:rsidR="008B1CC6">
        <w:t xml:space="preserve">47 CFR §§ 73.1020, 73.3539. </w:t>
      </w:r>
      <w:r w:rsidRPr="00151534" w:rsidR="00151534">
        <w:t xml:space="preserve"> </w:t>
      </w:r>
      <w:r w:rsidR="00F6566B">
        <w:t xml:space="preserve">Because the Bureau’s practice has been to delay action on </w:t>
      </w:r>
      <w:r w:rsidR="00307C76">
        <w:t>assignment applications</w:t>
      </w:r>
      <w:r w:rsidR="00370FC9">
        <w:t xml:space="preserve"> that are still pending </w:t>
      </w:r>
      <w:r w:rsidR="009C0CB4">
        <w:t xml:space="preserve">on the renewal </w:t>
      </w:r>
      <w:r w:rsidR="009609DD">
        <w:t>filing</w:t>
      </w:r>
      <w:r w:rsidR="009C0CB4">
        <w:t xml:space="preserve"> deadline</w:t>
      </w:r>
      <w:r w:rsidR="009609DD">
        <w:t xml:space="preserve"> for the subject station(s)</w:t>
      </w:r>
      <w:r w:rsidR="000B46D8">
        <w:t xml:space="preserve">, </w:t>
      </w:r>
      <w:r w:rsidR="005C3695">
        <w:t>our decision to grant the Applications with conditions is also based on the unique timing issues</w:t>
      </w:r>
      <w:r w:rsidR="005300A1">
        <w:t xml:space="preserve"> relating to our processing of the Applications</w:t>
      </w:r>
      <w:r w:rsidRPr="00151534" w:rsidR="0015153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9D4917" w14:textId="4A3884A6">
    <w:pPr>
      <w:pStyle w:val="Header"/>
      <w:rPr>
        <w:b w:val="0"/>
      </w:rPr>
    </w:pPr>
    <w:r>
      <w:tab/>
      <w:t>Federal Communications Commission</w:t>
    </w:r>
    <w:r>
      <w:tab/>
    </w:r>
    <w:r w:rsidR="002515E2">
      <w:t>DA 21-</w:t>
    </w:r>
    <w:r w:rsidR="004F01D2">
      <w:t>360</w:t>
    </w:r>
  </w:p>
  <w:p w:rsidR="00D25FB5" w14:paraId="6909DB28" w14:textId="7CB30F4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A298BA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F66551" w14:textId="2EA470F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65B27">
      <w:rPr>
        <w:spacing w:val="-2"/>
      </w:rPr>
      <w:t>DA 21-</w:t>
    </w:r>
    <w:r w:rsidR="004F01D2">
      <w:rPr>
        <w:spacing w:val="-2"/>
      </w:rPr>
      <w:t>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4B2D07"/>
    <w:multiLevelType w:val="hybridMultilevel"/>
    <w:tmpl w:val="2B44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D84890"/>
    <w:multiLevelType w:val="hybridMultilevel"/>
    <w:tmpl w:val="226C15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056674"/>
    <w:multiLevelType w:val="hybridMultilevel"/>
    <w:tmpl w:val="5F8E3B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FC0985"/>
    <w:multiLevelType w:val="hybridMultilevel"/>
    <w:tmpl w:val="DB3E7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5832375"/>
    <w:multiLevelType w:val="hybridMultilevel"/>
    <w:tmpl w:val="7EF866B0"/>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110909"/>
    <w:multiLevelType w:val="hybridMultilevel"/>
    <w:tmpl w:val="7B76DF6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3"/>
  </w:num>
  <w:num w:numId="6">
    <w:abstractNumId w:val="0"/>
  </w:num>
  <w:num w:numId="7">
    <w:abstractNumId w:val="9"/>
    <w:lvlOverride w:ilvl="0">
      <w:startOverride w:val="1"/>
    </w:lvlOverride>
  </w:num>
  <w:num w:numId="8">
    <w:abstractNumId w:val="9"/>
    <w:lvlOverride w:ilvl="0">
      <w:startOverride w:val="1"/>
    </w:lvlOverride>
  </w:num>
  <w:num w:numId="9">
    <w:abstractNumId w:val="10"/>
  </w:num>
  <w:num w:numId="10">
    <w:abstractNumId w:val="6"/>
  </w:num>
  <w:num w:numId="11">
    <w:abstractNumId w:val="1"/>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04"/>
    <w:rsid w:val="0001032B"/>
    <w:rsid w:val="0001123B"/>
    <w:rsid w:val="0001694B"/>
    <w:rsid w:val="00016981"/>
    <w:rsid w:val="00017F61"/>
    <w:rsid w:val="00021421"/>
    <w:rsid w:val="00026F61"/>
    <w:rsid w:val="0003012C"/>
    <w:rsid w:val="0003216E"/>
    <w:rsid w:val="00036039"/>
    <w:rsid w:val="00037868"/>
    <w:rsid w:val="00037E0E"/>
    <w:rsid w:val="00037F90"/>
    <w:rsid w:val="0004095C"/>
    <w:rsid w:val="000410C1"/>
    <w:rsid w:val="000418ED"/>
    <w:rsid w:val="000439B3"/>
    <w:rsid w:val="00051342"/>
    <w:rsid w:val="000555B8"/>
    <w:rsid w:val="00064330"/>
    <w:rsid w:val="00065503"/>
    <w:rsid w:val="000725F6"/>
    <w:rsid w:val="00073B6C"/>
    <w:rsid w:val="00082C9B"/>
    <w:rsid w:val="00086D97"/>
    <w:rsid w:val="000875BF"/>
    <w:rsid w:val="000877DD"/>
    <w:rsid w:val="0009081C"/>
    <w:rsid w:val="00095599"/>
    <w:rsid w:val="00096D8C"/>
    <w:rsid w:val="000A3D8E"/>
    <w:rsid w:val="000A4F4C"/>
    <w:rsid w:val="000B0573"/>
    <w:rsid w:val="000B10AA"/>
    <w:rsid w:val="000B1BFB"/>
    <w:rsid w:val="000B46D8"/>
    <w:rsid w:val="000B4BEF"/>
    <w:rsid w:val="000B58BF"/>
    <w:rsid w:val="000C0B65"/>
    <w:rsid w:val="000C6407"/>
    <w:rsid w:val="000C7093"/>
    <w:rsid w:val="000D0275"/>
    <w:rsid w:val="000D0E38"/>
    <w:rsid w:val="000D3749"/>
    <w:rsid w:val="000E05FE"/>
    <w:rsid w:val="000E23FD"/>
    <w:rsid w:val="000E3D42"/>
    <w:rsid w:val="000E664A"/>
    <w:rsid w:val="000E68FE"/>
    <w:rsid w:val="000E705E"/>
    <w:rsid w:val="000E7D49"/>
    <w:rsid w:val="000F6CA8"/>
    <w:rsid w:val="001006E1"/>
    <w:rsid w:val="001025A7"/>
    <w:rsid w:val="00103EEB"/>
    <w:rsid w:val="001062FE"/>
    <w:rsid w:val="00114C9F"/>
    <w:rsid w:val="00120AFA"/>
    <w:rsid w:val="0012247B"/>
    <w:rsid w:val="00122556"/>
    <w:rsid w:val="00122BD5"/>
    <w:rsid w:val="00123834"/>
    <w:rsid w:val="001256E7"/>
    <w:rsid w:val="00132097"/>
    <w:rsid w:val="00133411"/>
    <w:rsid w:val="00133A22"/>
    <w:rsid w:val="00133B78"/>
    <w:rsid w:val="00133F79"/>
    <w:rsid w:val="001440B9"/>
    <w:rsid w:val="00151534"/>
    <w:rsid w:val="00151D7E"/>
    <w:rsid w:val="001557B4"/>
    <w:rsid w:val="00161506"/>
    <w:rsid w:val="001632ED"/>
    <w:rsid w:val="0016375C"/>
    <w:rsid w:val="00163E31"/>
    <w:rsid w:val="001648D2"/>
    <w:rsid w:val="00165DE3"/>
    <w:rsid w:val="00170E72"/>
    <w:rsid w:val="001741E2"/>
    <w:rsid w:val="0017671B"/>
    <w:rsid w:val="00177353"/>
    <w:rsid w:val="00177B13"/>
    <w:rsid w:val="00190252"/>
    <w:rsid w:val="00194A66"/>
    <w:rsid w:val="001971FB"/>
    <w:rsid w:val="001A0CAB"/>
    <w:rsid w:val="001A1456"/>
    <w:rsid w:val="001A731A"/>
    <w:rsid w:val="001A7528"/>
    <w:rsid w:val="001B0B6F"/>
    <w:rsid w:val="001B2BDE"/>
    <w:rsid w:val="001B42A9"/>
    <w:rsid w:val="001C1A43"/>
    <w:rsid w:val="001C1EEA"/>
    <w:rsid w:val="001C40F6"/>
    <w:rsid w:val="001C6E0F"/>
    <w:rsid w:val="001D5F8F"/>
    <w:rsid w:val="001D6BCF"/>
    <w:rsid w:val="001D7F01"/>
    <w:rsid w:val="001E01CA"/>
    <w:rsid w:val="001E488F"/>
    <w:rsid w:val="001F1D91"/>
    <w:rsid w:val="001F43B7"/>
    <w:rsid w:val="001F572A"/>
    <w:rsid w:val="001F6F05"/>
    <w:rsid w:val="001F7F57"/>
    <w:rsid w:val="00201039"/>
    <w:rsid w:val="00204EDE"/>
    <w:rsid w:val="00213C1E"/>
    <w:rsid w:val="00220477"/>
    <w:rsid w:val="002276C3"/>
    <w:rsid w:val="00227785"/>
    <w:rsid w:val="00231358"/>
    <w:rsid w:val="00232C17"/>
    <w:rsid w:val="00232CCF"/>
    <w:rsid w:val="00233EF2"/>
    <w:rsid w:val="0023732E"/>
    <w:rsid w:val="0024070A"/>
    <w:rsid w:val="00242D19"/>
    <w:rsid w:val="00243C9C"/>
    <w:rsid w:val="002515E2"/>
    <w:rsid w:val="0025294C"/>
    <w:rsid w:val="002533E4"/>
    <w:rsid w:val="0025515B"/>
    <w:rsid w:val="002573D4"/>
    <w:rsid w:val="00257C9F"/>
    <w:rsid w:val="00262286"/>
    <w:rsid w:val="002632DD"/>
    <w:rsid w:val="0026335D"/>
    <w:rsid w:val="00263AC1"/>
    <w:rsid w:val="00271275"/>
    <w:rsid w:val="0027577B"/>
    <w:rsid w:val="00275CF5"/>
    <w:rsid w:val="00280E38"/>
    <w:rsid w:val="002810E1"/>
    <w:rsid w:val="00281F26"/>
    <w:rsid w:val="0028301F"/>
    <w:rsid w:val="002839AA"/>
    <w:rsid w:val="00284838"/>
    <w:rsid w:val="00284C93"/>
    <w:rsid w:val="00285017"/>
    <w:rsid w:val="00286261"/>
    <w:rsid w:val="00293BC9"/>
    <w:rsid w:val="002959B6"/>
    <w:rsid w:val="002A00D2"/>
    <w:rsid w:val="002A264F"/>
    <w:rsid w:val="002A2D2E"/>
    <w:rsid w:val="002A36FE"/>
    <w:rsid w:val="002A3CCD"/>
    <w:rsid w:val="002A7B40"/>
    <w:rsid w:val="002B0F68"/>
    <w:rsid w:val="002B1035"/>
    <w:rsid w:val="002B169F"/>
    <w:rsid w:val="002B21BF"/>
    <w:rsid w:val="002B29DF"/>
    <w:rsid w:val="002B31D4"/>
    <w:rsid w:val="002B390E"/>
    <w:rsid w:val="002C00E8"/>
    <w:rsid w:val="002C136D"/>
    <w:rsid w:val="002C1CE1"/>
    <w:rsid w:val="002C2E2D"/>
    <w:rsid w:val="002C7258"/>
    <w:rsid w:val="002C76B7"/>
    <w:rsid w:val="002D1767"/>
    <w:rsid w:val="002D262A"/>
    <w:rsid w:val="002E1D5C"/>
    <w:rsid w:val="002E206B"/>
    <w:rsid w:val="002E370E"/>
    <w:rsid w:val="002E5F83"/>
    <w:rsid w:val="002F02E5"/>
    <w:rsid w:val="002F2051"/>
    <w:rsid w:val="002F35E9"/>
    <w:rsid w:val="002F72F7"/>
    <w:rsid w:val="00301056"/>
    <w:rsid w:val="00304F55"/>
    <w:rsid w:val="0030723E"/>
    <w:rsid w:val="00307C76"/>
    <w:rsid w:val="00310588"/>
    <w:rsid w:val="00314164"/>
    <w:rsid w:val="00316059"/>
    <w:rsid w:val="00316C28"/>
    <w:rsid w:val="00325153"/>
    <w:rsid w:val="0032582F"/>
    <w:rsid w:val="00326559"/>
    <w:rsid w:val="003326E1"/>
    <w:rsid w:val="003333D9"/>
    <w:rsid w:val="00340152"/>
    <w:rsid w:val="00340809"/>
    <w:rsid w:val="0034147F"/>
    <w:rsid w:val="00343749"/>
    <w:rsid w:val="00351980"/>
    <w:rsid w:val="00351EEA"/>
    <w:rsid w:val="00362501"/>
    <w:rsid w:val="00363073"/>
    <w:rsid w:val="003660ED"/>
    <w:rsid w:val="00370FC9"/>
    <w:rsid w:val="00372595"/>
    <w:rsid w:val="00372946"/>
    <w:rsid w:val="00376F67"/>
    <w:rsid w:val="00380BBF"/>
    <w:rsid w:val="00383F00"/>
    <w:rsid w:val="0038446A"/>
    <w:rsid w:val="00386135"/>
    <w:rsid w:val="003870F0"/>
    <w:rsid w:val="00387BB6"/>
    <w:rsid w:val="0039309A"/>
    <w:rsid w:val="00393B09"/>
    <w:rsid w:val="00394715"/>
    <w:rsid w:val="003974C2"/>
    <w:rsid w:val="003978AF"/>
    <w:rsid w:val="00397FFE"/>
    <w:rsid w:val="003A226F"/>
    <w:rsid w:val="003A25EA"/>
    <w:rsid w:val="003A2CC5"/>
    <w:rsid w:val="003B0550"/>
    <w:rsid w:val="003B62DA"/>
    <w:rsid w:val="003B6611"/>
    <w:rsid w:val="003B673D"/>
    <w:rsid w:val="003B694F"/>
    <w:rsid w:val="003B69AE"/>
    <w:rsid w:val="003C3807"/>
    <w:rsid w:val="003C6A3E"/>
    <w:rsid w:val="003D77E7"/>
    <w:rsid w:val="003E15BB"/>
    <w:rsid w:val="003E7E3E"/>
    <w:rsid w:val="003F0127"/>
    <w:rsid w:val="003F171C"/>
    <w:rsid w:val="003F1729"/>
    <w:rsid w:val="003F599D"/>
    <w:rsid w:val="003F5C48"/>
    <w:rsid w:val="003F6CA1"/>
    <w:rsid w:val="00402873"/>
    <w:rsid w:val="0040681D"/>
    <w:rsid w:val="00406F31"/>
    <w:rsid w:val="004101D7"/>
    <w:rsid w:val="004126ED"/>
    <w:rsid w:val="00412FC5"/>
    <w:rsid w:val="0041467A"/>
    <w:rsid w:val="00414FCE"/>
    <w:rsid w:val="004174F3"/>
    <w:rsid w:val="0041754D"/>
    <w:rsid w:val="00421EB5"/>
    <w:rsid w:val="00422276"/>
    <w:rsid w:val="00423532"/>
    <w:rsid w:val="004242F1"/>
    <w:rsid w:val="00426B7D"/>
    <w:rsid w:val="004272F0"/>
    <w:rsid w:val="0042733A"/>
    <w:rsid w:val="00427507"/>
    <w:rsid w:val="00433B9C"/>
    <w:rsid w:val="0043631F"/>
    <w:rsid w:val="004373D7"/>
    <w:rsid w:val="004375E3"/>
    <w:rsid w:val="00441A5F"/>
    <w:rsid w:val="00442D86"/>
    <w:rsid w:val="0044322C"/>
    <w:rsid w:val="00445A00"/>
    <w:rsid w:val="00447B42"/>
    <w:rsid w:val="00450BCE"/>
    <w:rsid w:val="00451B0F"/>
    <w:rsid w:val="00457632"/>
    <w:rsid w:val="004578FD"/>
    <w:rsid w:val="004600C5"/>
    <w:rsid w:val="00464422"/>
    <w:rsid w:val="004653EF"/>
    <w:rsid w:val="004730EE"/>
    <w:rsid w:val="00473392"/>
    <w:rsid w:val="00475297"/>
    <w:rsid w:val="00475BFE"/>
    <w:rsid w:val="00476DB7"/>
    <w:rsid w:val="00481FA0"/>
    <w:rsid w:val="0048204B"/>
    <w:rsid w:val="00486E2E"/>
    <w:rsid w:val="00491458"/>
    <w:rsid w:val="0049195B"/>
    <w:rsid w:val="00495613"/>
    <w:rsid w:val="00497670"/>
    <w:rsid w:val="004979C4"/>
    <w:rsid w:val="004A19BF"/>
    <w:rsid w:val="004A51FA"/>
    <w:rsid w:val="004A6A79"/>
    <w:rsid w:val="004B58F3"/>
    <w:rsid w:val="004C0741"/>
    <w:rsid w:val="004C2A6A"/>
    <w:rsid w:val="004C2EE3"/>
    <w:rsid w:val="004D26F0"/>
    <w:rsid w:val="004D5AEE"/>
    <w:rsid w:val="004D6AFD"/>
    <w:rsid w:val="004E1296"/>
    <w:rsid w:val="004E26A2"/>
    <w:rsid w:val="004E2703"/>
    <w:rsid w:val="004E3207"/>
    <w:rsid w:val="004E3A71"/>
    <w:rsid w:val="004E4A22"/>
    <w:rsid w:val="004E5062"/>
    <w:rsid w:val="004F01D2"/>
    <w:rsid w:val="004F0ABC"/>
    <w:rsid w:val="004F25F0"/>
    <w:rsid w:val="004F32C9"/>
    <w:rsid w:val="00500141"/>
    <w:rsid w:val="0050316A"/>
    <w:rsid w:val="005033DC"/>
    <w:rsid w:val="005056D0"/>
    <w:rsid w:val="00506C25"/>
    <w:rsid w:val="00507B5C"/>
    <w:rsid w:val="0051105D"/>
    <w:rsid w:val="00511968"/>
    <w:rsid w:val="00511980"/>
    <w:rsid w:val="00512ADA"/>
    <w:rsid w:val="00520755"/>
    <w:rsid w:val="00522577"/>
    <w:rsid w:val="00523395"/>
    <w:rsid w:val="00527AAF"/>
    <w:rsid w:val="005300A1"/>
    <w:rsid w:val="005316E5"/>
    <w:rsid w:val="00531B68"/>
    <w:rsid w:val="0053248C"/>
    <w:rsid w:val="00533625"/>
    <w:rsid w:val="00540B30"/>
    <w:rsid w:val="00544AB7"/>
    <w:rsid w:val="00550B24"/>
    <w:rsid w:val="005541E3"/>
    <w:rsid w:val="0055614C"/>
    <w:rsid w:val="005626E1"/>
    <w:rsid w:val="00566D06"/>
    <w:rsid w:val="0057343F"/>
    <w:rsid w:val="005737E1"/>
    <w:rsid w:val="00573D4E"/>
    <w:rsid w:val="005821B6"/>
    <w:rsid w:val="00582CE9"/>
    <w:rsid w:val="00583922"/>
    <w:rsid w:val="00590AFD"/>
    <w:rsid w:val="00591513"/>
    <w:rsid w:val="005944DA"/>
    <w:rsid w:val="0059731F"/>
    <w:rsid w:val="005A0636"/>
    <w:rsid w:val="005A44BA"/>
    <w:rsid w:val="005B03D7"/>
    <w:rsid w:val="005B20EF"/>
    <w:rsid w:val="005B58BA"/>
    <w:rsid w:val="005C2F02"/>
    <w:rsid w:val="005C3695"/>
    <w:rsid w:val="005C48E4"/>
    <w:rsid w:val="005C58B8"/>
    <w:rsid w:val="005D21D8"/>
    <w:rsid w:val="005D2B26"/>
    <w:rsid w:val="005D47E0"/>
    <w:rsid w:val="005D526B"/>
    <w:rsid w:val="005E0479"/>
    <w:rsid w:val="005E14C2"/>
    <w:rsid w:val="005E2396"/>
    <w:rsid w:val="005E321F"/>
    <w:rsid w:val="005E487A"/>
    <w:rsid w:val="005F147B"/>
    <w:rsid w:val="005F2EB0"/>
    <w:rsid w:val="005F4EE7"/>
    <w:rsid w:val="005F5812"/>
    <w:rsid w:val="005F7591"/>
    <w:rsid w:val="0060129D"/>
    <w:rsid w:val="0060131F"/>
    <w:rsid w:val="00601CD5"/>
    <w:rsid w:val="00602340"/>
    <w:rsid w:val="00604438"/>
    <w:rsid w:val="0060742E"/>
    <w:rsid w:val="00607BA5"/>
    <w:rsid w:val="00607D29"/>
    <w:rsid w:val="0061180A"/>
    <w:rsid w:val="00612D2C"/>
    <w:rsid w:val="0062049E"/>
    <w:rsid w:val="00620C3A"/>
    <w:rsid w:val="006227DC"/>
    <w:rsid w:val="006251D3"/>
    <w:rsid w:val="00625E9F"/>
    <w:rsid w:val="00626EB6"/>
    <w:rsid w:val="00632BB0"/>
    <w:rsid w:val="00645F53"/>
    <w:rsid w:val="00647E47"/>
    <w:rsid w:val="00653C10"/>
    <w:rsid w:val="006547B4"/>
    <w:rsid w:val="00655D03"/>
    <w:rsid w:val="00656E62"/>
    <w:rsid w:val="00660102"/>
    <w:rsid w:val="00662EE0"/>
    <w:rsid w:val="0067182F"/>
    <w:rsid w:val="00673D41"/>
    <w:rsid w:val="00674B6A"/>
    <w:rsid w:val="006750BE"/>
    <w:rsid w:val="0067530F"/>
    <w:rsid w:val="00676CB6"/>
    <w:rsid w:val="00680848"/>
    <w:rsid w:val="00683388"/>
    <w:rsid w:val="00683D5C"/>
    <w:rsid w:val="00683F84"/>
    <w:rsid w:val="00684137"/>
    <w:rsid w:val="006A2976"/>
    <w:rsid w:val="006A6A81"/>
    <w:rsid w:val="006B68A0"/>
    <w:rsid w:val="006D25B9"/>
    <w:rsid w:val="006D49CE"/>
    <w:rsid w:val="006D56B8"/>
    <w:rsid w:val="006E46BA"/>
    <w:rsid w:val="006E5702"/>
    <w:rsid w:val="006F08DF"/>
    <w:rsid w:val="006F1634"/>
    <w:rsid w:val="006F1768"/>
    <w:rsid w:val="006F3319"/>
    <w:rsid w:val="006F3AD6"/>
    <w:rsid w:val="006F5AA2"/>
    <w:rsid w:val="006F65DD"/>
    <w:rsid w:val="006F7393"/>
    <w:rsid w:val="006F75C5"/>
    <w:rsid w:val="00701AF1"/>
    <w:rsid w:val="0070224F"/>
    <w:rsid w:val="007115F7"/>
    <w:rsid w:val="00711BBB"/>
    <w:rsid w:val="0071422E"/>
    <w:rsid w:val="00714373"/>
    <w:rsid w:val="00716F7E"/>
    <w:rsid w:val="007201E7"/>
    <w:rsid w:val="00720534"/>
    <w:rsid w:val="0072500D"/>
    <w:rsid w:val="00726AAB"/>
    <w:rsid w:val="00733623"/>
    <w:rsid w:val="0073632F"/>
    <w:rsid w:val="0073789C"/>
    <w:rsid w:val="00744974"/>
    <w:rsid w:val="0074566D"/>
    <w:rsid w:val="00745C1A"/>
    <w:rsid w:val="00747F48"/>
    <w:rsid w:val="007561EF"/>
    <w:rsid w:val="0076176F"/>
    <w:rsid w:val="007627E8"/>
    <w:rsid w:val="007647B8"/>
    <w:rsid w:val="00770E2E"/>
    <w:rsid w:val="00771355"/>
    <w:rsid w:val="0077290C"/>
    <w:rsid w:val="0077293E"/>
    <w:rsid w:val="00774C9D"/>
    <w:rsid w:val="00785689"/>
    <w:rsid w:val="00787E7D"/>
    <w:rsid w:val="00790486"/>
    <w:rsid w:val="00793A50"/>
    <w:rsid w:val="007962E3"/>
    <w:rsid w:val="00796730"/>
    <w:rsid w:val="0079754B"/>
    <w:rsid w:val="007A177D"/>
    <w:rsid w:val="007A1AAE"/>
    <w:rsid w:val="007A1E6D"/>
    <w:rsid w:val="007A22DF"/>
    <w:rsid w:val="007A25C1"/>
    <w:rsid w:val="007A7EC0"/>
    <w:rsid w:val="007B0C30"/>
    <w:rsid w:val="007B0EB2"/>
    <w:rsid w:val="007B2AA1"/>
    <w:rsid w:val="007C6DD7"/>
    <w:rsid w:val="007D1187"/>
    <w:rsid w:val="007D5BE5"/>
    <w:rsid w:val="007E4860"/>
    <w:rsid w:val="007F1C86"/>
    <w:rsid w:val="007F5819"/>
    <w:rsid w:val="007F60EB"/>
    <w:rsid w:val="007F7BD9"/>
    <w:rsid w:val="008107F7"/>
    <w:rsid w:val="00810B6F"/>
    <w:rsid w:val="00814863"/>
    <w:rsid w:val="0081657E"/>
    <w:rsid w:val="00820F86"/>
    <w:rsid w:val="00821484"/>
    <w:rsid w:val="00822CE0"/>
    <w:rsid w:val="00831314"/>
    <w:rsid w:val="00835460"/>
    <w:rsid w:val="00841363"/>
    <w:rsid w:val="00841717"/>
    <w:rsid w:val="00841AB1"/>
    <w:rsid w:val="00842576"/>
    <w:rsid w:val="00843D2C"/>
    <w:rsid w:val="00844B12"/>
    <w:rsid w:val="00847BD3"/>
    <w:rsid w:val="00852D72"/>
    <w:rsid w:val="00867A69"/>
    <w:rsid w:val="0087205A"/>
    <w:rsid w:val="00872848"/>
    <w:rsid w:val="00875F45"/>
    <w:rsid w:val="008815C0"/>
    <w:rsid w:val="00881839"/>
    <w:rsid w:val="00883F10"/>
    <w:rsid w:val="00887BDB"/>
    <w:rsid w:val="00892502"/>
    <w:rsid w:val="00893CB4"/>
    <w:rsid w:val="00896932"/>
    <w:rsid w:val="008A52C6"/>
    <w:rsid w:val="008A6D3A"/>
    <w:rsid w:val="008B1CC6"/>
    <w:rsid w:val="008C3A55"/>
    <w:rsid w:val="008C4F69"/>
    <w:rsid w:val="008C68F1"/>
    <w:rsid w:val="008D1BA5"/>
    <w:rsid w:val="008D77DD"/>
    <w:rsid w:val="008D7DAC"/>
    <w:rsid w:val="008E0C08"/>
    <w:rsid w:val="008E1080"/>
    <w:rsid w:val="008E33E9"/>
    <w:rsid w:val="008E5190"/>
    <w:rsid w:val="008E68A9"/>
    <w:rsid w:val="008F215E"/>
    <w:rsid w:val="008F60E5"/>
    <w:rsid w:val="009002AC"/>
    <w:rsid w:val="009017C1"/>
    <w:rsid w:val="009024B8"/>
    <w:rsid w:val="0090345F"/>
    <w:rsid w:val="00906FCF"/>
    <w:rsid w:val="009111E2"/>
    <w:rsid w:val="00913468"/>
    <w:rsid w:val="00913676"/>
    <w:rsid w:val="00913833"/>
    <w:rsid w:val="00913CA1"/>
    <w:rsid w:val="00914D76"/>
    <w:rsid w:val="00916FEE"/>
    <w:rsid w:val="00921803"/>
    <w:rsid w:val="00924C57"/>
    <w:rsid w:val="00926503"/>
    <w:rsid w:val="00931B51"/>
    <w:rsid w:val="00937AC8"/>
    <w:rsid w:val="00940148"/>
    <w:rsid w:val="0094064E"/>
    <w:rsid w:val="00941133"/>
    <w:rsid w:val="00945A67"/>
    <w:rsid w:val="00946C4B"/>
    <w:rsid w:val="009514B5"/>
    <w:rsid w:val="00953BAB"/>
    <w:rsid w:val="00954CF7"/>
    <w:rsid w:val="009602E8"/>
    <w:rsid w:val="009609DD"/>
    <w:rsid w:val="009630CC"/>
    <w:rsid w:val="009726D8"/>
    <w:rsid w:val="00974165"/>
    <w:rsid w:val="00984699"/>
    <w:rsid w:val="0099268C"/>
    <w:rsid w:val="00997104"/>
    <w:rsid w:val="009A7F95"/>
    <w:rsid w:val="009B0BA5"/>
    <w:rsid w:val="009B1638"/>
    <w:rsid w:val="009B174F"/>
    <w:rsid w:val="009B1FF5"/>
    <w:rsid w:val="009C0CB4"/>
    <w:rsid w:val="009C3C7B"/>
    <w:rsid w:val="009C64B1"/>
    <w:rsid w:val="009D11CF"/>
    <w:rsid w:val="009D2C09"/>
    <w:rsid w:val="009D39F0"/>
    <w:rsid w:val="009D45D7"/>
    <w:rsid w:val="009D4E10"/>
    <w:rsid w:val="009D7308"/>
    <w:rsid w:val="009E5862"/>
    <w:rsid w:val="009E7E5B"/>
    <w:rsid w:val="009F0732"/>
    <w:rsid w:val="009F07F2"/>
    <w:rsid w:val="009F2C81"/>
    <w:rsid w:val="009F76DB"/>
    <w:rsid w:val="00A015BD"/>
    <w:rsid w:val="00A02684"/>
    <w:rsid w:val="00A05C0E"/>
    <w:rsid w:val="00A06E5B"/>
    <w:rsid w:val="00A12730"/>
    <w:rsid w:val="00A20A95"/>
    <w:rsid w:val="00A21BEB"/>
    <w:rsid w:val="00A21DDB"/>
    <w:rsid w:val="00A21F0C"/>
    <w:rsid w:val="00A32C3B"/>
    <w:rsid w:val="00A33009"/>
    <w:rsid w:val="00A406FD"/>
    <w:rsid w:val="00A45F4F"/>
    <w:rsid w:val="00A47A82"/>
    <w:rsid w:val="00A53BAD"/>
    <w:rsid w:val="00A545FB"/>
    <w:rsid w:val="00A5699A"/>
    <w:rsid w:val="00A56A04"/>
    <w:rsid w:val="00A574FB"/>
    <w:rsid w:val="00A57B7E"/>
    <w:rsid w:val="00A600A9"/>
    <w:rsid w:val="00A65F00"/>
    <w:rsid w:val="00A662F6"/>
    <w:rsid w:val="00A67798"/>
    <w:rsid w:val="00A678D0"/>
    <w:rsid w:val="00A7738D"/>
    <w:rsid w:val="00A77D6B"/>
    <w:rsid w:val="00A80714"/>
    <w:rsid w:val="00A80AFB"/>
    <w:rsid w:val="00A80F52"/>
    <w:rsid w:val="00A8267B"/>
    <w:rsid w:val="00A926DD"/>
    <w:rsid w:val="00A92B25"/>
    <w:rsid w:val="00A94357"/>
    <w:rsid w:val="00A967CA"/>
    <w:rsid w:val="00A968C9"/>
    <w:rsid w:val="00AA55B7"/>
    <w:rsid w:val="00AA57E8"/>
    <w:rsid w:val="00AA5B9E"/>
    <w:rsid w:val="00AA70E2"/>
    <w:rsid w:val="00AB2407"/>
    <w:rsid w:val="00AB53DF"/>
    <w:rsid w:val="00AB7339"/>
    <w:rsid w:val="00AC060F"/>
    <w:rsid w:val="00AC2571"/>
    <w:rsid w:val="00AD0EF9"/>
    <w:rsid w:val="00AD167C"/>
    <w:rsid w:val="00AD4337"/>
    <w:rsid w:val="00AD667E"/>
    <w:rsid w:val="00AE4FDE"/>
    <w:rsid w:val="00AE6153"/>
    <w:rsid w:val="00AF1958"/>
    <w:rsid w:val="00AF39AB"/>
    <w:rsid w:val="00AF72CB"/>
    <w:rsid w:val="00AF77F6"/>
    <w:rsid w:val="00AF7E44"/>
    <w:rsid w:val="00B00A9C"/>
    <w:rsid w:val="00B02ED0"/>
    <w:rsid w:val="00B03B53"/>
    <w:rsid w:val="00B04D81"/>
    <w:rsid w:val="00B07E5C"/>
    <w:rsid w:val="00B1054F"/>
    <w:rsid w:val="00B1676A"/>
    <w:rsid w:val="00B23312"/>
    <w:rsid w:val="00B24610"/>
    <w:rsid w:val="00B251C4"/>
    <w:rsid w:val="00B26610"/>
    <w:rsid w:val="00B300DA"/>
    <w:rsid w:val="00B315EE"/>
    <w:rsid w:val="00B3230B"/>
    <w:rsid w:val="00B33E46"/>
    <w:rsid w:val="00B46C57"/>
    <w:rsid w:val="00B47C9B"/>
    <w:rsid w:val="00B51538"/>
    <w:rsid w:val="00B51E09"/>
    <w:rsid w:val="00B5616C"/>
    <w:rsid w:val="00B57689"/>
    <w:rsid w:val="00B608A1"/>
    <w:rsid w:val="00B60E62"/>
    <w:rsid w:val="00B647D6"/>
    <w:rsid w:val="00B656CB"/>
    <w:rsid w:val="00B65B27"/>
    <w:rsid w:val="00B65F5F"/>
    <w:rsid w:val="00B75DEF"/>
    <w:rsid w:val="00B77073"/>
    <w:rsid w:val="00B811F7"/>
    <w:rsid w:val="00B84142"/>
    <w:rsid w:val="00B85649"/>
    <w:rsid w:val="00BA082E"/>
    <w:rsid w:val="00BA36F5"/>
    <w:rsid w:val="00BA5933"/>
    <w:rsid w:val="00BA5DC6"/>
    <w:rsid w:val="00BA6196"/>
    <w:rsid w:val="00BA6B0C"/>
    <w:rsid w:val="00BA721F"/>
    <w:rsid w:val="00BB210A"/>
    <w:rsid w:val="00BB4F83"/>
    <w:rsid w:val="00BB7B13"/>
    <w:rsid w:val="00BC1FF3"/>
    <w:rsid w:val="00BC56AF"/>
    <w:rsid w:val="00BC6D8C"/>
    <w:rsid w:val="00BD059C"/>
    <w:rsid w:val="00BD43A8"/>
    <w:rsid w:val="00BD53E6"/>
    <w:rsid w:val="00BD58F7"/>
    <w:rsid w:val="00BD643F"/>
    <w:rsid w:val="00BD683F"/>
    <w:rsid w:val="00BD6A35"/>
    <w:rsid w:val="00BE0ABC"/>
    <w:rsid w:val="00BE2A29"/>
    <w:rsid w:val="00BE2C8A"/>
    <w:rsid w:val="00BF1DDF"/>
    <w:rsid w:val="00BF1F49"/>
    <w:rsid w:val="00BF339A"/>
    <w:rsid w:val="00BF3769"/>
    <w:rsid w:val="00BF4B74"/>
    <w:rsid w:val="00C044C5"/>
    <w:rsid w:val="00C05646"/>
    <w:rsid w:val="00C06518"/>
    <w:rsid w:val="00C102C5"/>
    <w:rsid w:val="00C119E7"/>
    <w:rsid w:val="00C173CA"/>
    <w:rsid w:val="00C17D42"/>
    <w:rsid w:val="00C214EE"/>
    <w:rsid w:val="00C22FA8"/>
    <w:rsid w:val="00C24CB6"/>
    <w:rsid w:val="00C24D2B"/>
    <w:rsid w:val="00C30DD7"/>
    <w:rsid w:val="00C3183E"/>
    <w:rsid w:val="00C33CBD"/>
    <w:rsid w:val="00C34006"/>
    <w:rsid w:val="00C349C6"/>
    <w:rsid w:val="00C36B4C"/>
    <w:rsid w:val="00C379D8"/>
    <w:rsid w:val="00C426B1"/>
    <w:rsid w:val="00C514F5"/>
    <w:rsid w:val="00C51EE0"/>
    <w:rsid w:val="00C51FB1"/>
    <w:rsid w:val="00C52D6F"/>
    <w:rsid w:val="00C53F15"/>
    <w:rsid w:val="00C57D52"/>
    <w:rsid w:val="00C62CC6"/>
    <w:rsid w:val="00C65D19"/>
    <w:rsid w:val="00C66160"/>
    <w:rsid w:val="00C66448"/>
    <w:rsid w:val="00C721AC"/>
    <w:rsid w:val="00C75773"/>
    <w:rsid w:val="00C767AF"/>
    <w:rsid w:val="00C80278"/>
    <w:rsid w:val="00C80AD4"/>
    <w:rsid w:val="00C84201"/>
    <w:rsid w:val="00C85565"/>
    <w:rsid w:val="00C865E3"/>
    <w:rsid w:val="00C90D6A"/>
    <w:rsid w:val="00C949AB"/>
    <w:rsid w:val="00C956BE"/>
    <w:rsid w:val="00C9578D"/>
    <w:rsid w:val="00CA0A87"/>
    <w:rsid w:val="00CA10A5"/>
    <w:rsid w:val="00CA247E"/>
    <w:rsid w:val="00CA2BE6"/>
    <w:rsid w:val="00CA6A6E"/>
    <w:rsid w:val="00CA6D21"/>
    <w:rsid w:val="00CB2523"/>
    <w:rsid w:val="00CB37C1"/>
    <w:rsid w:val="00CB3B9B"/>
    <w:rsid w:val="00CB4A2D"/>
    <w:rsid w:val="00CC0970"/>
    <w:rsid w:val="00CC0DE3"/>
    <w:rsid w:val="00CC4210"/>
    <w:rsid w:val="00CC5FF2"/>
    <w:rsid w:val="00CC61E1"/>
    <w:rsid w:val="00CC72B6"/>
    <w:rsid w:val="00CC779F"/>
    <w:rsid w:val="00CD234C"/>
    <w:rsid w:val="00CD26EC"/>
    <w:rsid w:val="00CD3260"/>
    <w:rsid w:val="00CD3676"/>
    <w:rsid w:val="00CD426C"/>
    <w:rsid w:val="00CE3DB4"/>
    <w:rsid w:val="00CE52BE"/>
    <w:rsid w:val="00D007DC"/>
    <w:rsid w:val="00D0218D"/>
    <w:rsid w:val="00D021DE"/>
    <w:rsid w:val="00D05E8F"/>
    <w:rsid w:val="00D12E08"/>
    <w:rsid w:val="00D21D2A"/>
    <w:rsid w:val="00D227AB"/>
    <w:rsid w:val="00D22D5B"/>
    <w:rsid w:val="00D23EAE"/>
    <w:rsid w:val="00D25FB5"/>
    <w:rsid w:val="00D33D7C"/>
    <w:rsid w:val="00D376FB"/>
    <w:rsid w:val="00D405DF"/>
    <w:rsid w:val="00D44223"/>
    <w:rsid w:val="00D45E8F"/>
    <w:rsid w:val="00D5190D"/>
    <w:rsid w:val="00D53464"/>
    <w:rsid w:val="00D53475"/>
    <w:rsid w:val="00D552FE"/>
    <w:rsid w:val="00D6236C"/>
    <w:rsid w:val="00D639C0"/>
    <w:rsid w:val="00D66613"/>
    <w:rsid w:val="00D71DBB"/>
    <w:rsid w:val="00D737AC"/>
    <w:rsid w:val="00D7465B"/>
    <w:rsid w:val="00D91A05"/>
    <w:rsid w:val="00D9241F"/>
    <w:rsid w:val="00D9295D"/>
    <w:rsid w:val="00D93F85"/>
    <w:rsid w:val="00D95ACB"/>
    <w:rsid w:val="00DA02A8"/>
    <w:rsid w:val="00DA07DC"/>
    <w:rsid w:val="00DA2529"/>
    <w:rsid w:val="00DA58DB"/>
    <w:rsid w:val="00DB07A8"/>
    <w:rsid w:val="00DB130A"/>
    <w:rsid w:val="00DB2EBB"/>
    <w:rsid w:val="00DB5104"/>
    <w:rsid w:val="00DB624B"/>
    <w:rsid w:val="00DB7F76"/>
    <w:rsid w:val="00DC02B4"/>
    <w:rsid w:val="00DC10A1"/>
    <w:rsid w:val="00DC30CA"/>
    <w:rsid w:val="00DC4F04"/>
    <w:rsid w:val="00DC655F"/>
    <w:rsid w:val="00DC6784"/>
    <w:rsid w:val="00DD0B59"/>
    <w:rsid w:val="00DD3BBC"/>
    <w:rsid w:val="00DD529E"/>
    <w:rsid w:val="00DD6406"/>
    <w:rsid w:val="00DD7EBD"/>
    <w:rsid w:val="00DE29D5"/>
    <w:rsid w:val="00DE3114"/>
    <w:rsid w:val="00DE32B5"/>
    <w:rsid w:val="00DE3D84"/>
    <w:rsid w:val="00DF2DEB"/>
    <w:rsid w:val="00DF62B6"/>
    <w:rsid w:val="00DF730C"/>
    <w:rsid w:val="00DF7659"/>
    <w:rsid w:val="00DF77DD"/>
    <w:rsid w:val="00E01C54"/>
    <w:rsid w:val="00E036DB"/>
    <w:rsid w:val="00E03A59"/>
    <w:rsid w:val="00E043AA"/>
    <w:rsid w:val="00E05F9E"/>
    <w:rsid w:val="00E06E76"/>
    <w:rsid w:val="00E06E81"/>
    <w:rsid w:val="00E07225"/>
    <w:rsid w:val="00E1136C"/>
    <w:rsid w:val="00E265D9"/>
    <w:rsid w:val="00E3204B"/>
    <w:rsid w:val="00E325CF"/>
    <w:rsid w:val="00E34829"/>
    <w:rsid w:val="00E354C8"/>
    <w:rsid w:val="00E43AAE"/>
    <w:rsid w:val="00E459E7"/>
    <w:rsid w:val="00E47C70"/>
    <w:rsid w:val="00E51BBC"/>
    <w:rsid w:val="00E53447"/>
    <w:rsid w:val="00E53B3B"/>
    <w:rsid w:val="00E5409F"/>
    <w:rsid w:val="00E602FD"/>
    <w:rsid w:val="00E61C21"/>
    <w:rsid w:val="00E66518"/>
    <w:rsid w:val="00E73A73"/>
    <w:rsid w:val="00E81299"/>
    <w:rsid w:val="00E81F0B"/>
    <w:rsid w:val="00E829DB"/>
    <w:rsid w:val="00E84AF2"/>
    <w:rsid w:val="00E87715"/>
    <w:rsid w:val="00E93B95"/>
    <w:rsid w:val="00E947BC"/>
    <w:rsid w:val="00E96F14"/>
    <w:rsid w:val="00E96F66"/>
    <w:rsid w:val="00E974F5"/>
    <w:rsid w:val="00EA3B4D"/>
    <w:rsid w:val="00EA3DC6"/>
    <w:rsid w:val="00EA5E5C"/>
    <w:rsid w:val="00EA7842"/>
    <w:rsid w:val="00EB5956"/>
    <w:rsid w:val="00EB620A"/>
    <w:rsid w:val="00EB65FA"/>
    <w:rsid w:val="00EB6FB5"/>
    <w:rsid w:val="00EC0432"/>
    <w:rsid w:val="00EC6D64"/>
    <w:rsid w:val="00ED0BED"/>
    <w:rsid w:val="00ED3E07"/>
    <w:rsid w:val="00ED62DB"/>
    <w:rsid w:val="00ED6444"/>
    <w:rsid w:val="00EE1720"/>
    <w:rsid w:val="00EE6488"/>
    <w:rsid w:val="00EF1C56"/>
    <w:rsid w:val="00EF4EEF"/>
    <w:rsid w:val="00F021FA"/>
    <w:rsid w:val="00F03D6C"/>
    <w:rsid w:val="00F13BCF"/>
    <w:rsid w:val="00F14064"/>
    <w:rsid w:val="00F170E5"/>
    <w:rsid w:val="00F17700"/>
    <w:rsid w:val="00F2107C"/>
    <w:rsid w:val="00F23719"/>
    <w:rsid w:val="00F24800"/>
    <w:rsid w:val="00F265D0"/>
    <w:rsid w:val="00F31DB4"/>
    <w:rsid w:val="00F31F13"/>
    <w:rsid w:val="00F331F3"/>
    <w:rsid w:val="00F4024F"/>
    <w:rsid w:val="00F40F51"/>
    <w:rsid w:val="00F41983"/>
    <w:rsid w:val="00F50D40"/>
    <w:rsid w:val="00F56DFD"/>
    <w:rsid w:val="00F6255E"/>
    <w:rsid w:val="00F62E97"/>
    <w:rsid w:val="00F64209"/>
    <w:rsid w:val="00F6566B"/>
    <w:rsid w:val="00F66DE6"/>
    <w:rsid w:val="00F672B8"/>
    <w:rsid w:val="00F72429"/>
    <w:rsid w:val="00F7664F"/>
    <w:rsid w:val="00F767D1"/>
    <w:rsid w:val="00F80A3F"/>
    <w:rsid w:val="00F833C4"/>
    <w:rsid w:val="00F93BF5"/>
    <w:rsid w:val="00F96ED3"/>
    <w:rsid w:val="00FB2F12"/>
    <w:rsid w:val="00FB4735"/>
    <w:rsid w:val="00FB4C4B"/>
    <w:rsid w:val="00FB4CD0"/>
    <w:rsid w:val="00FB696A"/>
    <w:rsid w:val="00FC1EB9"/>
    <w:rsid w:val="00FC1F5B"/>
    <w:rsid w:val="00FC2876"/>
    <w:rsid w:val="00FD7D6A"/>
    <w:rsid w:val="00FE3A55"/>
    <w:rsid w:val="00FE3B99"/>
    <w:rsid w:val="00FE3F08"/>
    <w:rsid w:val="00FE5D02"/>
    <w:rsid w:val="00FF127F"/>
    <w:rsid w:val="00FF7B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B764019-9218-4013-A4E9-35EE1207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link w:val="FootnoteTextChar"/>
    <w:qFormat/>
    <w:rsid w:val="00984699"/>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831314"/>
    <w:rPr>
      <w:rFonts w:ascii="Segoe UI" w:hAnsi="Segoe UI" w:cs="Segoe UI"/>
      <w:sz w:val="18"/>
      <w:szCs w:val="18"/>
    </w:rPr>
  </w:style>
  <w:style w:type="character" w:customStyle="1" w:styleId="BalloonTextChar">
    <w:name w:val="Balloon Text Char"/>
    <w:link w:val="BalloonText"/>
    <w:rsid w:val="00831314"/>
    <w:rPr>
      <w:rFonts w:ascii="Segoe UI" w:hAnsi="Segoe UI" w:cs="Segoe UI"/>
      <w:snapToGrid w:val="0"/>
      <w:kern w:val="28"/>
      <w:sz w:val="18"/>
      <w:szCs w:val="18"/>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0418ED"/>
  </w:style>
  <w:style w:type="character" w:styleId="CommentReference">
    <w:name w:val="annotation reference"/>
    <w:uiPriority w:val="99"/>
    <w:unhideWhenUsed/>
    <w:rsid w:val="000418ED"/>
    <w:rPr>
      <w:sz w:val="16"/>
      <w:szCs w:val="16"/>
    </w:rPr>
  </w:style>
  <w:style w:type="paragraph" w:styleId="CommentText">
    <w:name w:val="annotation text"/>
    <w:basedOn w:val="Normal"/>
    <w:link w:val="CommentTextChar"/>
    <w:uiPriority w:val="99"/>
    <w:unhideWhenUsed/>
    <w:rsid w:val="000418ED"/>
    <w:rPr>
      <w:kern w:val="0"/>
      <w:sz w:val="20"/>
    </w:rPr>
  </w:style>
  <w:style w:type="character" w:customStyle="1" w:styleId="CommentTextChar">
    <w:name w:val="Comment Text Char"/>
    <w:link w:val="CommentText"/>
    <w:uiPriority w:val="99"/>
    <w:rsid w:val="000418ED"/>
    <w:rPr>
      <w:snapToGrid w:val="0"/>
    </w:rPr>
  </w:style>
  <w:style w:type="character" w:customStyle="1" w:styleId="ParaNumChar">
    <w:name w:val="ParaNum Char"/>
    <w:link w:val="ParaNum"/>
    <w:locked/>
    <w:rsid w:val="001025A7"/>
    <w:rPr>
      <w:snapToGrid w:val="0"/>
      <w:kern w:val="28"/>
      <w:sz w:val="22"/>
    </w:rPr>
  </w:style>
  <w:style w:type="paragraph" w:styleId="CommentSubject">
    <w:name w:val="annotation subject"/>
    <w:basedOn w:val="CommentText"/>
    <w:next w:val="CommentText"/>
    <w:link w:val="CommentSubjectChar"/>
    <w:rsid w:val="00CB3B9B"/>
    <w:rPr>
      <w:b/>
      <w:bCs/>
      <w:kern w:val="28"/>
    </w:rPr>
  </w:style>
  <w:style w:type="character" w:customStyle="1" w:styleId="CommentSubjectChar">
    <w:name w:val="Comment Subject Char"/>
    <w:basedOn w:val="CommentTextChar"/>
    <w:link w:val="CommentSubject"/>
    <w:rsid w:val="00CB3B9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