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13A8B" w:rsidRPr="00D42B9E" w:rsidP="00822549">
      <w:pPr>
        <w:spacing w:after="120"/>
        <w:jc w:val="right"/>
        <w:rPr>
          <w:b/>
          <w:bCs/>
        </w:rPr>
      </w:pPr>
      <w:r w:rsidRPr="66697DC6">
        <w:rPr>
          <w:b/>
          <w:bCs/>
        </w:rPr>
        <w:t xml:space="preserve">DA </w:t>
      </w:r>
      <w:r w:rsidRPr="66697DC6" w:rsidR="00C54631">
        <w:rPr>
          <w:b/>
          <w:bCs/>
        </w:rPr>
        <w:t>21-</w:t>
      </w:r>
      <w:r w:rsidR="00DA7ED1">
        <w:rPr>
          <w:b/>
          <w:bCs/>
        </w:rPr>
        <w:t>362</w:t>
      </w:r>
    </w:p>
    <w:p w:rsidR="00013A8B" w:rsidRPr="00D42B9E" w:rsidP="00822549">
      <w:pPr>
        <w:spacing w:after="120"/>
        <w:jc w:val="right"/>
        <w:rPr>
          <w:b/>
          <w:szCs w:val="22"/>
        </w:rPr>
      </w:pPr>
      <w:r w:rsidRPr="00D42B9E">
        <w:rPr>
          <w:b/>
          <w:szCs w:val="22"/>
        </w:rPr>
        <w:t xml:space="preserve">Released:  </w:t>
      </w:r>
      <w:r w:rsidR="00E30813">
        <w:rPr>
          <w:b/>
          <w:szCs w:val="22"/>
        </w:rPr>
        <w:t>March</w:t>
      </w:r>
      <w:r w:rsidRPr="00D42B9E" w:rsidR="00C54631">
        <w:rPr>
          <w:b/>
          <w:szCs w:val="22"/>
        </w:rPr>
        <w:t xml:space="preserve"> </w:t>
      </w:r>
      <w:r w:rsidR="00DA7ED1">
        <w:rPr>
          <w:b/>
          <w:szCs w:val="22"/>
        </w:rPr>
        <w:t>26</w:t>
      </w:r>
      <w:r w:rsidRPr="00D42B9E" w:rsidR="00C54631">
        <w:rPr>
          <w:b/>
          <w:szCs w:val="22"/>
        </w:rPr>
        <w:t>, 2021</w:t>
      </w:r>
    </w:p>
    <w:p w:rsidR="00C52906" w:rsidP="00822549">
      <w:pPr>
        <w:spacing w:after="120"/>
        <w:jc w:val="center"/>
      </w:pPr>
      <w:r w:rsidRPr="4E760266">
        <w:rPr>
          <w:b/>
          <w:bCs/>
        </w:rPr>
        <w:t>PUBLIC SAFETY AND HOMELAND SECURITY BUREAU</w:t>
      </w:r>
      <w:r w:rsidRPr="4E760266" w:rsidR="00977F6A">
        <w:rPr>
          <w:b/>
          <w:bCs/>
        </w:rPr>
        <w:t xml:space="preserve"> </w:t>
      </w:r>
      <w:r w:rsidRPr="4E760266" w:rsidR="4E823F88">
        <w:rPr>
          <w:b/>
          <w:bCs/>
        </w:rPr>
        <w:t>SEEKS</w:t>
      </w:r>
      <w:r w:rsidRPr="4E760266" w:rsidR="00977F6A">
        <w:rPr>
          <w:b/>
          <w:bCs/>
        </w:rPr>
        <w:t xml:space="preserve"> COMMENT ON </w:t>
      </w:r>
      <w:r w:rsidRPr="4E760266" w:rsidR="094AEEBE">
        <w:rPr>
          <w:b/>
          <w:bCs/>
        </w:rPr>
        <w:t>WIRELESS SERVICE PROV</w:t>
      </w:r>
      <w:r w:rsidR="0009504C">
        <w:rPr>
          <w:b/>
          <w:bCs/>
        </w:rPr>
        <w:t>ID</w:t>
      </w:r>
      <w:r w:rsidRPr="4E760266" w:rsidR="094AEEBE">
        <w:rPr>
          <w:b/>
          <w:bCs/>
        </w:rPr>
        <w:t xml:space="preserve">ERS’ </w:t>
      </w:r>
      <w:r w:rsidRPr="4E760266" w:rsidR="1F8C003D">
        <w:rPr>
          <w:b/>
          <w:bCs/>
        </w:rPr>
        <w:t xml:space="preserve">SAFETY MEASURES FOR </w:t>
      </w:r>
      <w:r w:rsidRPr="4E760266" w:rsidR="1E33B3A1">
        <w:rPr>
          <w:b/>
          <w:bCs/>
        </w:rPr>
        <w:t>THEIR CUSTOMERS</w:t>
      </w:r>
      <w:r w:rsidRPr="4E760266" w:rsidR="54CB5686">
        <w:rPr>
          <w:b/>
          <w:bCs/>
        </w:rPr>
        <w:t xml:space="preserve"> </w:t>
      </w:r>
      <w:r w:rsidRPr="4E760266" w:rsidR="00483A81">
        <w:rPr>
          <w:b/>
          <w:bCs/>
        </w:rPr>
        <w:t xml:space="preserve">DURING DISASTERS </w:t>
      </w:r>
      <w:r w:rsidR="00A81C71">
        <w:rPr>
          <w:b/>
          <w:bCs/>
        </w:rPr>
        <w:t>IN CONNECTION WITH</w:t>
      </w:r>
      <w:r w:rsidRPr="4E760266" w:rsidR="458511C0">
        <w:rPr>
          <w:b/>
          <w:bCs/>
        </w:rPr>
        <w:t xml:space="preserve"> THE</w:t>
      </w:r>
      <w:r w:rsidRPr="4E760266" w:rsidR="14048A31">
        <w:rPr>
          <w:b/>
          <w:bCs/>
        </w:rPr>
        <w:t xml:space="preserve"> CONSOLIDATED APPROPRIATIONS ACT OF 2021</w:t>
      </w:r>
      <w:r w:rsidR="73AEB052">
        <w:t xml:space="preserve"> </w:t>
      </w:r>
    </w:p>
    <w:p w:rsidR="00C52906" w:rsidP="00BA0936">
      <w:pPr>
        <w:spacing w:after="120"/>
        <w:rPr>
          <w:b/>
          <w:bCs/>
        </w:rPr>
      </w:pPr>
    </w:p>
    <w:p w:rsidR="00425E52" w:rsidP="00822549">
      <w:pPr>
        <w:spacing w:after="120"/>
        <w:jc w:val="center"/>
        <w:rPr>
          <w:b/>
          <w:bCs/>
        </w:rPr>
      </w:pPr>
      <w:r w:rsidRPr="66697DC6">
        <w:rPr>
          <w:b/>
          <w:bCs/>
        </w:rPr>
        <w:t>P</w:t>
      </w:r>
      <w:r w:rsidRPr="66697DC6" w:rsidR="00A02489">
        <w:rPr>
          <w:b/>
          <w:bCs/>
        </w:rPr>
        <w:t>S</w:t>
      </w:r>
      <w:r w:rsidRPr="66697DC6">
        <w:rPr>
          <w:b/>
          <w:bCs/>
        </w:rPr>
        <w:t xml:space="preserve"> Docket No. </w:t>
      </w:r>
      <w:r w:rsidRPr="66697DC6" w:rsidR="2C325760">
        <w:rPr>
          <w:b/>
          <w:bCs/>
        </w:rPr>
        <w:t>11-60</w:t>
      </w:r>
    </w:p>
    <w:p w:rsidR="00425E52" w:rsidP="00822549">
      <w:pPr>
        <w:spacing w:after="120"/>
        <w:jc w:val="center"/>
        <w:rPr>
          <w:b/>
          <w:bCs/>
          <w:szCs w:val="22"/>
        </w:rPr>
      </w:pPr>
    </w:p>
    <w:p w:rsidR="00725C0A" w:rsidRPr="00D42B9E" w:rsidP="00822549">
      <w:pPr>
        <w:spacing w:after="120"/>
        <w:rPr>
          <w:b/>
          <w:bCs/>
        </w:rPr>
      </w:pPr>
      <w:r w:rsidRPr="66697DC6">
        <w:rPr>
          <w:b/>
          <w:bCs/>
        </w:rPr>
        <w:t>Comment</w:t>
      </w:r>
      <w:r w:rsidR="000D4F16">
        <w:rPr>
          <w:b/>
          <w:bCs/>
        </w:rPr>
        <w:t>s Due:</w:t>
      </w:r>
      <w:r w:rsidR="00DA7ED1">
        <w:rPr>
          <w:b/>
          <w:bCs/>
        </w:rPr>
        <w:t xml:space="preserve"> </w:t>
      </w:r>
      <w:r w:rsidR="000D4F16">
        <w:rPr>
          <w:b/>
          <w:bCs/>
        </w:rPr>
        <w:t xml:space="preserve"> </w:t>
      </w:r>
      <w:r w:rsidR="009143B9">
        <w:rPr>
          <w:b/>
          <w:bCs/>
        </w:rPr>
        <w:t>20</w:t>
      </w:r>
      <w:r w:rsidR="009B192D">
        <w:rPr>
          <w:b/>
          <w:bCs/>
        </w:rPr>
        <w:t xml:space="preserve"> days after publication in the Federal Register</w:t>
      </w:r>
    </w:p>
    <w:p w:rsidR="00C54631" w:rsidRPr="00D42B9E" w:rsidP="00822549">
      <w:pPr>
        <w:spacing w:after="120"/>
        <w:jc w:val="center"/>
        <w:rPr>
          <w:b/>
          <w:bCs/>
          <w:szCs w:val="22"/>
        </w:rPr>
      </w:pPr>
    </w:p>
    <w:p w:rsidR="00E61405" w:rsidP="00822549">
      <w:pPr>
        <w:spacing w:after="120"/>
        <w:ind w:firstLine="720"/>
        <w:rPr>
          <w:szCs w:val="22"/>
        </w:rPr>
      </w:pPr>
      <w:r>
        <w:rPr>
          <w:rStyle w:val="normaltextrun"/>
          <w:color w:val="000000"/>
          <w:szCs w:val="22"/>
          <w:shd w:val="clear" w:color="auto" w:fill="FFFFFF"/>
        </w:rPr>
        <w:t xml:space="preserve">The Public Safety and Homeland Security Bureau (Bureau) of the Federal Communications Commission (Commission) seeks </w:t>
      </w:r>
      <w:r>
        <w:rPr>
          <w:rStyle w:val="normaltextrun"/>
          <w:color w:val="000000"/>
          <w:szCs w:val="22"/>
          <w:shd w:val="clear" w:color="auto" w:fill="FFFFFF"/>
        </w:rPr>
        <w:t>comment</w:t>
      </w:r>
      <w:r>
        <w:rPr>
          <w:rStyle w:val="FootnoteReference"/>
          <w:szCs w:val="22"/>
          <w:shd w:val="clear" w:color="auto" w:fill="FFFFFF"/>
        </w:rPr>
        <w:footnoteReference w:id="3"/>
      </w:r>
      <w:r>
        <w:rPr>
          <w:rStyle w:val="normaltextrun"/>
          <w:color w:val="000000"/>
          <w:szCs w:val="22"/>
          <w:shd w:val="clear" w:color="auto" w:fill="FFFFFF"/>
        </w:rPr>
        <w:t xml:space="preserve"> on</w:t>
      </w:r>
      <w:r>
        <w:rPr>
          <w:rStyle w:val="normaltextrun"/>
          <w:color w:val="333333"/>
          <w:szCs w:val="22"/>
          <w:shd w:val="clear" w:color="auto" w:fill="FFFFFF"/>
        </w:rPr>
        <w:t> </w:t>
      </w:r>
      <w:r w:rsidRPr="007739AD">
        <w:rPr>
          <w:rStyle w:val="normaltextrun"/>
          <w:color w:val="333333"/>
          <w:szCs w:val="22"/>
          <w:shd w:val="clear" w:color="auto" w:fill="FFFFFF"/>
        </w:rPr>
        <w:t xml:space="preserve">recent efforts by </w:t>
      </w:r>
      <w:r w:rsidRPr="007739AD" w:rsidR="00047A95">
        <w:rPr>
          <w:rStyle w:val="normaltextrun"/>
          <w:color w:val="333333"/>
          <w:szCs w:val="22"/>
          <w:shd w:val="clear" w:color="auto" w:fill="FFFFFF"/>
        </w:rPr>
        <w:t xml:space="preserve">mobile </w:t>
      </w:r>
      <w:r w:rsidRPr="007739AD">
        <w:rPr>
          <w:rStyle w:val="normaltextrun"/>
          <w:color w:val="333333"/>
          <w:szCs w:val="22"/>
          <w:shd w:val="clear" w:color="auto" w:fill="FFFFFF"/>
        </w:rPr>
        <w:t>wireless service providers to improve network resiliency in order to inform a report to Congress</w:t>
      </w:r>
      <w:r w:rsidRPr="007739AD" w:rsidR="00C84034">
        <w:rPr>
          <w:rStyle w:val="normaltextrun"/>
          <w:color w:val="333333"/>
          <w:szCs w:val="22"/>
          <w:shd w:val="clear" w:color="auto" w:fill="FFFFFF"/>
        </w:rPr>
        <w:t>,</w:t>
      </w:r>
      <w:r w:rsidRPr="007739AD">
        <w:rPr>
          <w:rStyle w:val="normaltextrun"/>
          <w:color w:val="333333"/>
          <w:szCs w:val="22"/>
          <w:shd w:val="clear" w:color="auto" w:fill="FFFFFF"/>
        </w:rPr>
        <w:t xml:space="preserve"> </w:t>
      </w:r>
      <w:r w:rsidRPr="007739AD" w:rsidR="00C84034">
        <w:rPr>
          <w:rStyle w:val="normaltextrun"/>
          <w:color w:val="333333"/>
          <w:szCs w:val="22"/>
          <w:shd w:val="clear" w:color="auto" w:fill="FFFFFF"/>
        </w:rPr>
        <w:t xml:space="preserve">as </w:t>
      </w:r>
      <w:r w:rsidR="00ED5EF0">
        <w:rPr>
          <w:rStyle w:val="normaltextrun"/>
          <w:color w:val="333333"/>
          <w:szCs w:val="22"/>
          <w:shd w:val="clear" w:color="auto" w:fill="FFFFFF"/>
        </w:rPr>
        <w:t>contemplated</w:t>
      </w:r>
      <w:r w:rsidR="0051456B">
        <w:rPr>
          <w:rStyle w:val="normaltextrun"/>
          <w:color w:val="333333"/>
          <w:szCs w:val="22"/>
          <w:shd w:val="clear" w:color="auto" w:fill="FFFFFF"/>
        </w:rPr>
        <w:t xml:space="preserve"> </w:t>
      </w:r>
      <w:r w:rsidRPr="007739AD">
        <w:rPr>
          <w:rStyle w:val="normaltextrun"/>
          <w:color w:val="333333"/>
          <w:szCs w:val="22"/>
          <w:shd w:val="clear" w:color="auto" w:fill="FFFFFF"/>
        </w:rPr>
        <w:t xml:space="preserve"> by the</w:t>
      </w:r>
      <w:r w:rsidRPr="007739AD" w:rsidR="00C84034">
        <w:rPr>
          <w:rStyle w:val="normaltextrun"/>
          <w:color w:val="333333"/>
          <w:szCs w:val="22"/>
          <w:shd w:val="clear" w:color="auto" w:fill="FFFFFF"/>
        </w:rPr>
        <w:t xml:space="preserve"> </w:t>
      </w:r>
      <w:r w:rsidRPr="00771049" w:rsidR="00C84034">
        <w:rPr>
          <w:rStyle w:val="normaltextrun"/>
          <w:i/>
          <w:iCs/>
          <w:color w:val="333333"/>
          <w:szCs w:val="22"/>
          <w:shd w:val="clear" w:color="auto" w:fill="FFFFFF"/>
        </w:rPr>
        <w:t>Explanatory Statement</w:t>
      </w:r>
      <w:r w:rsidRPr="007739AD" w:rsidR="00C84034">
        <w:rPr>
          <w:rStyle w:val="normaltextrun"/>
          <w:color w:val="333333"/>
          <w:szCs w:val="22"/>
          <w:shd w:val="clear" w:color="auto" w:fill="FFFFFF"/>
        </w:rPr>
        <w:t xml:space="preserve"> accompanying the</w:t>
      </w:r>
      <w:r w:rsidRPr="007739AD" w:rsidR="007B4172">
        <w:rPr>
          <w:color w:val="333333"/>
          <w:szCs w:val="22"/>
        </w:rPr>
        <w:t xml:space="preserve"> </w:t>
      </w:r>
      <w:r w:rsidRPr="007739AD" w:rsidR="66186AC4">
        <w:rPr>
          <w:color w:val="333333"/>
          <w:szCs w:val="22"/>
        </w:rPr>
        <w:t>Consolidated Appropriations Act of 2021 (Act).</w:t>
      </w:r>
      <w:r>
        <w:rPr>
          <w:rStyle w:val="FootnoteReference"/>
          <w:color w:val="333333"/>
          <w:szCs w:val="22"/>
        </w:rPr>
        <w:footnoteReference w:id="4"/>
      </w:r>
      <w:r w:rsidRPr="007739AD" w:rsidR="66186AC4">
        <w:rPr>
          <w:color w:val="333333"/>
          <w:szCs w:val="22"/>
        </w:rPr>
        <w:t xml:space="preserve">  </w:t>
      </w:r>
      <w:r w:rsidRPr="007739AD" w:rsidR="00C84034">
        <w:rPr>
          <w:color w:val="333333"/>
          <w:szCs w:val="22"/>
        </w:rPr>
        <w:t>T</w:t>
      </w:r>
      <w:r w:rsidRPr="007739AD" w:rsidR="00047A95">
        <w:rPr>
          <w:color w:val="333333"/>
          <w:szCs w:val="22"/>
        </w:rPr>
        <w:t xml:space="preserve">he </w:t>
      </w:r>
      <w:r w:rsidRPr="007739AD" w:rsidR="00047A95">
        <w:rPr>
          <w:i/>
          <w:iCs/>
          <w:color w:val="333333"/>
          <w:szCs w:val="22"/>
        </w:rPr>
        <w:t>Explanatory Statement</w:t>
      </w:r>
      <w:r w:rsidRPr="007739AD" w:rsidR="00047A95">
        <w:rPr>
          <w:color w:val="333333"/>
          <w:szCs w:val="22"/>
        </w:rPr>
        <w:t xml:space="preserve"> accompanying the Act</w:t>
      </w:r>
      <w:r w:rsidRPr="007739AD" w:rsidR="00C84034">
        <w:rPr>
          <w:color w:val="333333"/>
          <w:szCs w:val="22"/>
        </w:rPr>
        <w:t xml:space="preserve"> expressed “</w:t>
      </w:r>
      <w:r w:rsidRPr="007739AD" w:rsidR="66186AC4">
        <w:rPr>
          <w:color w:val="333333"/>
          <w:szCs w:val="22"/>
        </w:rPr>
        <w:t>concer</w:t>
      </w:r>
      <w:r w:rsidRPr="007739AD" w:rsidR="00C84034">
        <w:rPr>
          <w:color w:val="333333"/>
          <w:szCs w:val="22"/>
        </w:rPr>
        <w:t>[</w:t>
      </w:r>
      <w:r w:rsidRPr="007739AD" w:rsidR="66186AC4">
        <w:rPr>
          <w:color w:val="333333"/>
          <w:szCs w:val="22"/>
        </w:rPr>
        <w:t>n</w:t>
      </w:r>
      <w:r w:rsidRPr="007739AD" w:rsidR="00C84034">
        <w:rPr>
          <w:color w:val="333333"/>
          <w:szCs w:val="22"/>
        </w:rPr>
        <w:t>]</w:t>
      </w:r>
      <w:r w:rsidRPr="007739AD" w:rsidR="66186AC4">
        <w:rPr>
          <w:color w:val="333333"/>
          <w:szCs w:val="22"/>
        </w:rPr>
        <w:t xml:space="preserve"> </w:t>
      </w:r>
      <w:r w:rsidRPr="66697DC6" w:rsidR="66186AC4">
        <w:rPr>
          <w:color w:val="333333"/>
          <w:szCs w:val="22"/>
        </w:rPr>
        <w:t>about the resiliency of wireless phone networks during natural disasters, including wildfires,</w:t>
      </w:r>
      <w:r w:rsidR="00762583">
        <w:rPr>
          <w:color w:val="333333"/>
          <w:szCs w:val="22"/>
        </w:rPr>
        <w:t>”</w:t>
      </w:r>
      <w:r w:rsidRPr="66697DC6" w:rsidR="66186AC4">
        <w:rPr>
          <w:color w:val="333333"/>
          <w:szCs w:val="22"/>
        </w:rPr>
        <w:t xml:space="preserve"> </w:t>
      </w:r>
      <w:r w:rsidR="00047A95">
        <w:rPr>
          <w:color w:val="333333"/>
          <w:szCs w:val="22"/>
        </w:rPr>
        <w:t xml:space="preserve">and </w:t>
      </w:r>
      <w:r w:rsidR="00ED5EF0">
        <w:rPr>
          <w:color w:val="333333"/>
          <w:szCs w:val="22"/>
        </w:rPr>
        <w:t>sought a report from</w:t>
      </w:r>
      <w:r w:rsidR="0051456B">
        <w:rPr>
          <w:szCs w:val="22"/>
        </w:rPr>
        <w:t xml:space="preserve"> </w:t>
      </w:r>
      <w:r w:rsidRPr="66697DC6" w:rsidR="66186AC4">
        <w:rPr>
          <w:szCs w:val="22"/>
        </w:rPr>
        <w:t xml:space="preserve">the Commission </w:t>
      </w:r>
      <w:r w:rsidR="008D2E77">
        <w:rPr>
          <w:szCs w:val="22"/>
        </w:rPr>
        <w:t>“</w:t>
      </w:r>
      <w:r w:rsidRPr="66697DC6" w:rsidR="66186AC4">
        <w:rPr>
          <w:szCs w:val="22"/>
        </w:rPr>
        <w:t>on the type of safety measures wireless carriers have for their customers</w:t>
      </w:r>
      <w:r w:rsidR="00ED5EF0">
        <w:rPr>
          <w:szCs w:val="22"/>
        </w:rPr>
        <w:t>,</w:t>
      </w:r>
      <w:r w:rsidRPr="66697DC6" w:rsidR="66186AC4">
        <w:rPr>
          <w:szCs w:val="22"/>
        </w:rPr>
        <w:t>” within 180 days of enactment, or by June 25, 2021.</w:t>
      </w:r>
      <w:r>
        <w:rPr>
          <w:rStyle w:val="FootnoteReference"/>
          <w:szCs w:val="22"/>
        </w:rPr>
        <w:footnoteReference w:id="5"/>
      </w:r>
    </w:p>
    <w:p w:rsidR="00C248EC" w:rsidP="00905813">
      <w:pPr>
        <w:ind w:firstLine="720"/>
        <w:rPr>
          <w:szCs w:val="22"/>
        </w:rPr>
      </w:pPr>
      <w:r>
        <w:t xml:space="preserve">Accordingly, in order to respond to </w:t>
      </w:r>
      <w:r w:rsidR="00652BEE">
        <w:t xml:space="preserve">the </w:t>
      </w:r>
      <w:r w:rsidRPr="00A91C63" w:rsidR="00652BEE">
        <w:rPr>
          <w:i/>
          <w:iCs/>
        </w:rPr>
        <w:t>Explanatory Statement</w:t>
      </w:r>
      <w:r>
        <w:t xml:space="preserve">, we seek updated information on specific measures mobile wireless service providers have taken in recent </w:t>
      </w:r>
      <w:r>
        <w:t>years to improve response readiness and network resiliency during natural disasters.</w:t>
      </w:r>
      <w:r>
        <w:rPr>
          <w:rStyle w:val="FootnoteReference"/>
        </w:rPr>
        <w:footnoteReference w:id="6"/>
      </w:r>
      <w:r>
        <w:t xml:space="preserve">  </w:t>
      </w:r>
      <w:r w:rsidR="00B01AAC">
        <w:t>How have mobile wireless service providers</w:t>
      </w:r>
      <w:r w:rsidR="0094234A">
        <w:t xml:space="preserve"> </w:t>
      </w:r>
      <w:r w:rsidR="0094234A">
        <w:t>addressed and</w:t>
      </w:r>
      <w:r w:rsidR="00B01AAC">
        <w:t xml:space="preserve"> improved network reliability in the face of natural disasters? </w:t>
      </w:r>
      <w:r w:rsidR="00182D16">
        <w:t xml:space="preserve"> </w:t>
      </w:r>
      <w:r w:rsidR="00823982">
        <w:t>We ask commenters to e</w:t>
      </w:r>
      <w:r w:rsidR="005260F6">
        <w:t>xplain further how these efforts have improved the public’s safety during natural disasters.</w:t>
      </w:r>
      <w:r w:rsidR="00847942">
        <w:t xml:space="preserve"> </w:t>
      </w:r>
      <w:r w:rsidR="005260F6">
        <w:t xml:space="preserve"> </w:t>
      </w:r>
      <w:r w:rsidR="00CF424C">
        <w:t xml:space="preserve">Overall, what resiliency measures are most effective?  How can these measures be improved?  How have customers responded to new measures?  </w:t>
      </w:r>
      <w:r w:rsidR="000C740C">
        <w:t>We specifically seek comment on steps wireless mobile providers have taken to ensure network resili</w:t>
      </w:r>
      <w:r w:rsidR="001F18F6">
        <w:t>ency</w:t>
      </w:r>
      <w:r w:rsidR="000C740C">
        <w:t>, including</w:t>
      </w:r>
      <w:r w:rsidR="00182D16">
        <w:t xml:space="preserve"> but not limited to</w:t>
      </w:r>
      <w:r w:rsidR="001F18F6">
        <w:t>:</w:t>
      </w:r>
      <w:r w:rsidR="000C740C">
        <w:t xml:space="preserve"> </w:t>
      </w:r>
      <w:r w:rsidR="001F18F6">
        <w:t xml:space="preserve">back up power </w:t>
      </w:r>
      <w:r w:rsidR="000C740C">
        <w:t>in areas prone to planned power outages to mitigate wildfires; pre-storm staging processes</w:t>
      </w:r>
      <w:r w:rsidR="000C740C">
        <w:rPr>
          <w:color w:val="201F1E"/>
          <w:szCs w:val="22"/>
          <w:bdr w:val="none" w:sz="0" w:space="0" w:color="auto" w:frame="1"/>
        </w:rPr>
        <w:t xml:space="preserve">; roaming agreements that can be activated quickly following a natural disaster; effective </w:t>
      </w:r>
      <w:r w:rsidR="000C740C">
        <w:t>coordination with power companies, municipalities, and backhaul providers; diversification of backhaul options in disaster prone areas;</w:t>
      </w:r>
      <w:r w:rsidR="00182D16">
        <w:t xml:space="preserve"> availability of deployable network assets</w:t>
      </w:r>
      <w:r w:rsidR="001F18F6">
        <w:t xml:space="preserve">; network infrastructure sharing among operators during natural disasters; </w:t>
      </w:r>
      <w:r w:rsidR="000C740C">
        <w:t xml:space="preserve">and </w:t>
      </w:r>
      <w:r w:rsidR="001F18F6">
        <w:t>communicating</w:t>
      </w:r>
      <w:r w:rsidR="000C740C">
        <w:t xml:space="preserve"> disaster-related information with customers, particularly members of </w:t>
      </w:r>
      <w:r w:rsidR="00B068B6">
        <w:t>vulnerable populations</w:t>
      </w:r>
      <w:r w:rsidR="00771049">
        <w:t>, including individuals who are low-income, members of the disabilities community, or non-English speaking</w:t>
      </w:r>
      <w:r w:rsidR="004116F5">
        <w:t>.</w:t>
      </w:r>
      <w:r w:rsidR="007B65D2">
        <w:t xml:space="preserve"> </w:t>
      </w:r>
      <w:r w:rsidR="00DD04B5">
        <w:t xml:space="preserve"> </w:t>
      </w:r>
      <w:r w:rsidR="001F18F6">
        <w:t>Are there successful network resiliency policy measures for fixed networks that have been applied to wireless networks, especially given that much of the backhaul for wireline providers is the same as wireless providers?  We also seek comment on cost and benefit issues associated with implementing measures to maintain and improve resiliency of mobile wireless networks.</w:t>
      </w:r>
      <w:r w:rsidR="00534AAD">
        <w:t xml:space="preserve">  </w:t>
      </w:r>
      <w:r w:rsidR="0036487C">
        <w:t xml:space="preserve">The Bureau intends to use these responses to </w:t>
      </w:r>
      <w:r w:rsidR="00A81C71">
        <w:t xml:space="preserve">update the Commission’s existing record on wireless resiliency and </w:t>
      </w:r>
      <w:r w:rsidR="0036487C">
        <w:t>help inform its report to</w:t>
      </w:r>
      <w:r w:rsidR="00E125EC">
        <w:t xml:space="preserve"> Congress.</w:t>
      </w:r>
      <w:r>
        <w:rPr>
          <w:rStyle w:val="FootnoteReference"/>
          <w:szCs w:val="22"/>
        </w:rPr>
        <w:footnoteReference w:id="7"/>
      </w:r>
      <w:r w:rsidRPr="00A81C71" w:rsidR="00A81C71">
        <w:rPr>
          <w:szCs w:val="22"/>
        </w:rPr>
        <w:t xml:space="preserve"> </w:t>
      </w:r>
    </w:p>
    <w:p w:rsidR="00CF424C" w:rsidRPr="00887954" w:rsidP="00CF424C"/>
    <w:p w:rsidR="00A02489" w:rsidRPr="00A30E05" w:rsidP="00822549">
      <w:pPr>
        <w:spacing w:after="120"/>
      </w:pPr>
      <w:r w:rsidRPr="4E760266">
        <w:rPr>
          <w:i/>
          <w:iCs/>
        </w:rPr>
        <w:t>Filing Requirements.</w:t>
      </w:r>
      <w:r w:rsidRPr="00A30E05">
        <w:rPr>
          <w:szCs w:val="22"/>
        </w:rPr>
        <w:t xml:space="preserve"> </w:t>
      </w:r>
      <w:r w:rsidR="005D783C">
        <w:t>I</w:t>
      </w:r>
      <w:r w:rsidRPr="66697DC6">
        <w:t>nterested parties may file comments on or before the dates indicated above.</w:t>
      </w:r>
      <w:r>
        <w:rPr>
          <w:rStyle w:val="FootnoteReference"/>
        </w:rPr>
        <w:footnoteReference w:id="8"/>
      </w:r>
      <w:r w:rsidRPr="66697DC6">
        <w:t xml:space="preserve"> </w:t>
      </w:r>
      <w:r w:rsidR="008376A1">
        <w:rPr>
          <w:szCs w:val="22"/>
        </w:rPr>
        <w:t xml:space="preserve"> </w:t>
      </w:r>
      <w:r w:rsidRPr="66697DC6">
        <w:t>Comments may be filed using the Commission’s Electronic Comment Filing System (ECFS).</w:t>
      </w:r>
      <w:r>
        <w:rPr>
          <w:rStyle w:val="FootnoteReference"/>
        </w:rPr>
        <w:footnoteReference w:id="9"/>
      </w:r>
      <w:r w:rsidRPr="66697DC6">
        <w:t xml:space="preserve"> </w:t>
      </w:r>
      <w:r w:rsidR="008376A1">
        <w:rPr>
          <w:szCs w:val="22"/>
        </w:rPr>
        <w:t xml:space="preserve"> </w:t>
      </w:r>
      <w:r w:rsidRPr="66697DC6">
        <w:t xml:space="preserve">All comments must reference </w:t>
      </w:r>
      <w:r w:rsidRPr="66697DC6">
        <w:rPr>
          <w:b/>
          <w:bCs/>
        </w:rPr>
        <w:t xml:space="preserve">PS Docket No. </w:t>
      </w:r>
      <w:r w:rsidRPr="66697DC6" w:rsidR="4F26905C">
        <w:rPr>
          <w:b/>
          <w:bCs/>
        </w:rPr>
        <w:t>11-60</w:t>
      </w:r>
      <w:r w:rsidRPr="00A30E05">
        <w:rPr>
          <w:szCs w:val="22"/>
        </w:rPr>
        <w:t>.</w:t>
      </w:r>
      <w:r>
        <w:rPr>
          <w:rStyle w:val="FootnoteReference"/>
        </w:rPr>
        <w:footnoteReference w:id="10"/>
      </w:r>
    </w:p>
    <w:p w:rsidR="00A02489" w:rsidRPr="00A30E05" w:rsidP="00822549">
      <w:pPr>
        <w:pStyle w:val="ListParagraph"/>
        <w:numPr>
          <w:ilvl w:val="0"/>
          <w:numId w:val="22"/>
        </w:numPr>
        <w:contextualSpacing w:val="0"/>
      </w:pPr>
      <w:r w:rsidRPr="00A30E05">
        <w:t xml:space="preserve">Electronic Filers: Comments may be filed electronically using the Internet by accessing the ECFS: </w:t>
      </w:r>
      <w:hyperlink r:id="rId5" w:history="1">
        <w:r w:rsidRPr="00A30E05">
          <w:rPr>
            <w:rStyle w:val="Hyperlink"/>
          </w:rPr>
          <w:t>http://apps.fcc.gov/ecfs/</w:t>
        </w:r>
      </w:hyperlink>
      <w:r w:rsidRPr="00A30E05">
        <w:t>.</w:t>
      </w:r>
    </w:p>
    <w:p w:rsidR="00A02489" w:rsidRPr="00A30E05" w:rsidP="00822549">
      <w:pPr>
        <w:pStyle w:val="ListParagraph"/>
        <w:numPr>
          <w:ilvl w:val="0"/>
          <w:numId w:val="22"/>
        </w:numPr>
        <w:contextualSpacing w:val="0"/>
      </w:pPr>
      <w:r w:rsidRPr="00A30E05">
        <w:t xml:space="preserve">Paper Filers: Parties who choose to file by paper must file an original and one copy of </w:t>
      </w:r>
      <w:r w:rsidRPr="00A30E05">
        <w:t>each filing</w:t>
      </w:r>
    </w:p>
    <w:p w:rsidR="00A02489" w:rsidRPr="00A30E05" w:rsidP="00822549">
      <w:pPr>
        <w:pStyle w:val="ListParagraph"/>
        <w:numPr>
          <w:ilvl w:val="0"/>
          <w:numId w:val="22"/>
        </w:numPr>
        <w:contextualSpacing w:val="0"/>
      </w:pPr>
      <w:r w:rsidRPr="00A30E05">
        <w:t>Filings can be sent by commercial overnight courier, or by first-class or overnight U.S. Postal Service mail. All filings must be addressed to the Commission’s Secretary, Office of the Secretary, Federal Communications Commission.</w:t>
      </w:r>
    </w:p>
    <w:p w:rsidR="00A02489" w:rsidRPr="00A30E05" w:rsidP="00822549">
      <w:pPr>
        <w:pStyle w:val="ListParagraph"/>
        <w:numPr>
          <w:ilvl w:val="0"/>
          <w:numId w:val="22"/>
        </w:numPr>
        <w:contextualSpacing w:val="0"/>
      </w:pPr>
      <w:r w:rsidRPr="00A30E05">
        <w:t>Commercial ov</w:t>
      </w:r>
      <w:r w:rsidRPr="00A30E05">
        <w:t>ernight mail (other than U.S. Postal Service Express Mail and Priority Mail) must be sent to 9050 Junction Drive, Annapolis Junction, MD 20701. U.S. Postal Service first-class, Express, and Priority mail must be addressed to 45 L Street, NE Washington DC 2</w:t>
      </w:r>
      <w:r w:rsidRPr="00A30E05">
        <w:t>0554.</w:t>
      </w:r>
      <w:r>
        <w:rPr>
          <w:rStyle w:val="FootnoteReference"/>
        </w:rPr>
        <w:footnoteReference w:id="11"/>
      </w:r>
    </w:p>
    <w:p w:rsidR="00A02489" w:rsidRPr="00A30E05" w:rsidP="00822549">
      <w:pPr>
        <w:pStyle w:val="ListParagraph"/>
        <w:numPr>
          <w:ilvl w:val="0"/>
          <w:numId w:val="22"/>
        </w:numPr>
        <w:contextualSpacing w:val="0"/>
      </w:pPr>
      <w:r w:rsidRPr="00A30E05">
        <w:t>Effective March 19, 2020, and until further notice, the Commission no longer accepts any hand or messenger delivered filings at its headquarters. This is a temporary measure taken to help protect the health and safety of individuals, and to mitigat</w:t>
      </w:r>
      <w:r w:rsidRPr="00A30E05">
        <w:t xml:space="preserve">e the transmission of COVID19. </w:t>
      </w:r>
      <w:r w:rsidRPr="00A30E05">
        <w:rPr>
          <w:i/>
          <w:iCs/>
        </w:rPr>
        <w:t>See FCC Announces Closure of FCC Headquarters Open Window and Change in Hand-Delivery Policy</w:t>
      </w:r>
      <w:r w:rsidRPr="00A30E05">
        <w:t xml:space="preserve">, Public Notice, 35 FCC Rcd 2788 (OMD 2020), </w:t>
      </w:r>
      <w:hyperlink r:id="rId6" w:history="1">
        <w:r w:rsidRPr="00A30E05">
          <w:rPr>
            <w:rStyle w:val="Hyperlink"/>
          </w:rPr>
          <w:t>https://www.fcc.gov/document/fcc-closes-headquarters-open-window-and-changes-handdelivery-policy</w:t>
        </w:r>
      </w:hyperlink>
      <w:r w:rsidRPr="00A30E05">
        <w:t>.</w:t>
      </w:r>
    </w:p>
    <w:p w:rsidR="00A02489" w:rsidRPr="00A30E05" w:rsidP="00822549">
      <w:pPr>
        <w:pStyle w:val="ListParagraph"/>
        <w:numPr>
          <w:ilvl w:val="0"/>
          <w:numId w:val="22"/>
        </w:numPr>
        <w:contextualSpacing w:val="0"/>
      </w:pPr>
      <w:r w:rsidRPr="00A30E05">
        <w:t>All hand-carried documents should be delivered to the Secretary’s Office at 9050 Junction Drive, Annapolis Junction, MD 20701.</w:t>
      </w:r>
      <w:r>
        <w:rPr>
          <w:rStyle w:val="FootnoteReference"/>
        </w:rPr>
        <w:footnoteReference w:id="12"/>
      </w:r>
    </w:p>
    <w:p w:rsidR="00A02489" w:rsidRPr="00A30E05" w:rsidP="00822549">
      <w:pPr>
        <w:spacing w:after="120"/>
        <w:ind w:left="-90" w:firstLine="630"/>
        <w:rPr>
          <w:szCs w:val="22"/>
        </w:rPr>
      </w:pPr>
      <w:r w:rsidRPr="00A30E05">
        <w:rPr>
          <w:szCs w:val="22"/>
        </w:rPr>
        <w:t>To r</w:t>
      </w:r>
      <w:r w:rsidRPr="00A30E05">
        <w:rPr>
          <w:szCs w:val="22"/>
        </w:rPr>
        <w:t>equest materials in accessible formats for people with disabilities (braille, large print, electronic files, audio format), send an e-mail to fcc504@fcc.gov or call the Consumer &amp; Governmental Affairs Bureau at 202-418-0530 (voice).</w:t>
      </w:r>
    </w:p>
    <w:p w:rsidR="00A02489" w:rsidRPr="00A30E05" w:rsidP="00822549">
      <w:pPr>
        <w:spacing w:after="120"/>
        <w:ind w:left="-90" w:firstLine="630"/>
        <w:rPr>
          <w:szCs w:val="22"/>
        </w:rPr>
      </w:pPr>
      <w:r w:rsidRPr="4E760266">
        <w:rPr>
          <w:i/>
          <w:iCs/>
        </w:rPr>
        <w:t>Ex Parte Rules</w:t>
      </w:r>
      <w:r w:rsidRPr="66697DC6">
        <w:t>. The pro</w:t>
      </w:r>
      <w:r w:rsidRPr="66697DC6">
        <w:t>ceeding this petition initiates shall be treated as a “permit-but-disclose” proceeding in accordance with the Commission’s ex parte rules.</w:t>
      </w:r>
      <w:r>
        <w:rPr>
          <w:rStyle w:val="FootnoteReference"/>
        </w:rPr>
        <w:footnoteReference w:id="13"/>
      </w:r>
      <w:r w:rsidRPr="00A30E05">
        <w:rPr>
          <w:szCs w:val="22"/>
        </w:rPr>
        <w:t xml:space="preserve"> </w:t>
      </w:r>
      <w:r w:rsidR="00092924">
        <w:rPr>
          <w:szCs w:val="22"/>
        </w:rPr>
        <w:t xml:space="preserve"> </w:t>
      </w:r>
      <w:r w:rsidRPr="66697DC6">
        <w:t xml:space="preserve">Persons making </w:t>
      </w:r>
      <w:r w:rsidRPr="4E760266">
        <w:rPr>
          <w:i/>
          <w:iCs/>
        </w:rPr>
        <w:t>ex parte</w:t>
      </w:r>
      <w:r w:rsidRPr="66697DC6">
        <w:t xml:space="preserve"> presentations must file a copy of any written presentation or a memorandum summarizing any</w:t>
      </w:r>
      <w:r w:rsidRPr="66697DC6">
        <w:t xml:space="preserve"> oral presentation within two business days after the presentation (unless a different deadline applicable to the Sunshine period applies). </w:t>
      </w:r>
      <w:r w:rsidR="00092924">
        <w:rPr>
          <w:szCs w:val="22"/>
        </w:rPr>
        <w:t xml:space="preserve"> </w:t>
      </w:r>
      <w:r w:rsidRPr="66697DC6">
        <w:t xml:space="preserve">Persons making oral </w:t>
      </w:r>
      <w:r w:rsidRPr="4E760266">
        <w:rPr>
          <w:i/>
          <w:iCs/>
        </w:rPr>
        <w:t>ex parte</w:t>
      </w:r>
      <w:r w:rsidRPr="66697DC6">
        <w:t xml:space="preserve"> presentations are reminded that memoranda summarizing the presentation must (1) list a</w:t>
      </w:r>
      <w:r w:rsidRPr="66697DC6">
        <w:t xml:space="preserve">ll persons attending or otherwise participating in the meeting at which the </w:t>
      </w:r>
      <w:r w:rsidRPr="4E760266">
        <w:rPr>
          <w:i/>
          <w:iCs/>
        </w:rPr>
        <w:t>ex parte</w:t>
      </w:r>
      <w:r w:rsidRPr="66697DC6">
        <w:t xml:space="preserve"> presentation was made, and (2) summarize all data presented and arguments made during the presentation. </w:t>
      </w:r>
      <w:r w:rsidR="00092924">
        <w:rPr>
          <w:szCs w:val="22"/>
        </w:rPr>
        <w:t xml:space="preserve"> </w:t>
      </w:r>
      <w:r w:rsidRPr="66697DC6">
        <w:t>If the presentation consisted in whole or in part of the presentat</w:t>
      </w:r>
      <w:r w:rsidRPr="66697DC6">
        <w:t>ion of data or arguments already reflected in the presenter’s written comments, memoranda or other filings in the proceeding, the presenter may provide citations to such data or arguments in his or her prior comments, memoranda, or other filings (specifyin</w:t>
      </w:r>
      <w:r w:rsidRPr="66697DC6">
        <w:t xml:space="preserve">g the relevant page and/or paragraph numbers where such data or arguments can be found) in lieu of summarizing them in the memorandum. </w:t>
      </w:r>
      <w:r w:rsidR="00A90409">
        <w:rPr>
          <w:szCs w:val="22"/>
        </w:rPr>
        <w:t xml:space="preserve"> </w:t>
      </w:r>
      <w:r w:rsidRPr="66697DC6">
        <w:t xml:space="preserve">Documents shown or given to Commission staff during </w:t>
      </w:r>
      <w:r w:rsidRPr="4E760266">
        <w:rPr>
          <w:i/>
          <w:iCs/>
        </w:rPr>
        <w:t>ex parte</w:t>
      </w:r>
      <w:r w:rsidRPr="66697DC6">
        <w:t xml:space="preserve"> meetings are deemed to be written </w:t>
      </w:r>
      <w:r w:rsidRPr="4E760266">
        <w:rPr>
          <w:i/>
          <w:iCs/>
        </w:rPr>
        <w:t>ex parte</w:t>
      </w:r>
      <w:r w:rsidRPr="66697DC6">
        <w:t xml:space="preserve"> presentations an</w:t>
      </w:r>
      <w:r w:rsidRPr="66697DC6">
        <w:t>d must be filed consistent with rule 1.1206(b).</w:t>
      </w:r>
      <w:r w:rsidR="00A90409">
        <w:rPr>
          <w:szCs w:val="22"/>
        </w:rPr>
        <w:t xml:space="preserve"> </w:t>
      </w:r>
      <w:r w:rsidRPr="66697DC6">
        <w:t xml:space="preserve"> In proceedings governed by rule 1.49(f) or for which the Commission has made available a method of electronic filing, written </w:t>
      </w:r>
      <w:r w:rsidRPr="4E760266">
        <w:rPr>
          <w:i/>
          <w:iCs/>
        </w:rPr>
        <w:t>ex parte</w:t>
      </w:r>
      <w:r w:rsidRPr="66697DC6">
        <w:t xml:space="preserve"> presentations and memoranda summarizing oral </w:t>
      </w:r>
      <w:r w:rsidRPr="4E760266">
        <w:rPr>
          <w:i/>
          <w:iCs/>
        </w:rPr>
        <w:t>ex parte</w:t>
      </w:r>
      <w:r w:rsidRPr="66697DC6">
        <w:t xml:space="preserve"> presentations, and</w:t>
      </w:r>
      <w:r w:rsidRPr="66697DC6">
        <w:t xml:space="preserve"> all attachments thereto, must be filed through the electronic comment filing system available for that proceeding and must be filed in their native format (e.g., .doc, .xml, .ppt, searchable .pdf).</w:t>
      </w:r>
      <w:r w:rsidR="00A90409">
        <w:rPr>
          <w:szCs w:val="22"/>
        </w:rPr>
        <w:t xml:space="preserve"> </w:t>
      </w:r>
      <w:r w:rsidRPr="66697DC6">
        <w:t xml:space="preserve"> Participants in this proceeding should familiarize thems</w:t>
      </w:r>
      <w:r w:rsidRPr="66697DC6">
        <w:t xml:space="preserve">elves with the Commission’s </w:t>
      </w:r>
      <w:r w:rsidRPr="4E760266">
        <w:rPr>
          <w:i/>
          <w:iCs/>
        </w:rPr>
        <w:t>ex parte</w:t>
      </w:r>
      <w:r w:rsidRPr="66697DC6">
        <w:t xml:space="preserve"> rules.</w:t>
      </w:r>
    </w:p>
    <w:p w:rsidR="00A02489" w:rsidRPr="00A30E05" w:rsidP="00822549">
      <w:pPr>
        <w:spacing w:after="120"/>
        <w:ind w:left="-90" w:firstLine="630"/>
        <w:rPr>
          <w:szCs w:val="22"/>
        </w:rPr>
      </w:pPr>
      <w:r w:rsidRPr="00A30E05">
        <w:rPr>
          <w:i/>
          <w:iCs/>
          <w:szCs w:val="22"/>
        </w:rPr>
        <w:t>Additional Information</w:t>
      </w:r>
      <w:r w:rsidRPr="00A30E05">
        <w:rPr>
          <w:szCs w:val="22"/>
        </w:rPr>
        <w:t>.</w:t>
      </w:r>
      <w:r w:rsidRPr="00A30E05">
        <w:rPr>
          <w:i/>
          <w:iCs/>
          <w:szCs w:val="22"/>
        </w:rPr>
        <w:t xml:space="preserve">  </w:t>
      </w:r>
      <w:r w:rsidRPr="00A30E05">
        <w:rPr>
          <w:szCs w:val="22"/>
        </w:rPr>
        <w:t xml:space="preserve">For further information regarding this Public Notice, please contact </w:t>
      </w:r>
      <w:r w:rsidR="00995C1E">
        <w:rPr>
          <w:szCs w:val="22"/>
        </w:rPr>
        <w:t>Amanda Farenthold</w:t>
      </w:r>
      <w:r w:rsidRPr="00A30E05">
        <w:rPr>
          <w:szCs w:val="22"/>
        </w:rPr>
        <w:t xml:space="preserve">, </w:t>
      </w:r>
      <w:r w:rsidRPr="00A30E05" w:rsidR="003B5E16">
        <w:rPr>
          <w:szCs w:val="22"/>
        </w:rPr>
        <w:t>Cyber</w:t>
      </w:r>
      <w:r w:rsidRPr="00A30E05" w:rsidR="00A068ED">
        <w:rPr>
          <w:szCs w:val="22"/>
        </w:rPr>
        <w:t>security and Communications Reliability Division</w:t>
      </w:r>
      <w:r w:rsidRPr="00A30E05">
        <w:rPr>
          <w:szCs w:val="22"/>
        </w:rPr>
        <w:t xml:space="preserve">, Public Safety and Homeland Security </w:t>
      </w:r>
      <w:r w:rsidRPr="00A30E05">
        <w:rPr>
          <w:szCs w:val="22"/>
        </w:rPr>
        <w:t>Bureau, 202-</w:t>
      </w:r>
      <w:r w:rsidR="00995C1E">
        <w:rPr>
          <w:szCs w:val="22"/>
        </w:rPr>
        <w:t>418-1592</w:t>
      </w:r>
      <w:r w:rsidRPr="00A30E05">
        <w:rPr>
          <w:szCs w:val="22"/>
        </w:rPr>
        <w:t xml:space="preserve"> or by email to </w:t>
      </w:r>
      <w:hyperlink r:id="rId7" w:history="1">
        <w:r w:rsidRPr="00266A12" w:rsidR="00995C1E">
          <w:rPr>
            <w:rStyle w:val="Hyperlink"/>
            <w:szCs w:val="22"/>
          </w:rPr>
          <w:t>amanda.farenthold@fcc.gov</w:t>
        </w:r>
      </w:hyperlink>
      <w:r w:rsidRPr="00A30E05">
        <w:rPr>
          <w:szCs w:val="22"/>
        </w:rPr>
        <w:t>.</w:t>
      </w:r>
    </w:p>
    <w:p w:rsidR="006C1E1C" w:rsidRPr="00E968F2" w:rsidP="006C1E1C">
      <w:pPr>
        <w:jc w:val="center"/>
        <w:rPr>
          <w:szCs w:val="22"/>
        </w:rPr>
      </w:pPr>
      <w:r w:rsidRPr="00484161">
        <w:rPr>
          <w:szCs w:val="22"/>
        </w:rPr>
        <w:t>--FCC--</w:t>
      </w:r>
    </w:p>
    <w:p w:rsidR="00930ECF" w:rsidRPr="00A30E05" w:rsidP="006C1E1C">
      <w:pPr>
        <w:spacing w:after="120"/>
        <w:jc w:val="center"/>
        <w:rPr>
          <w:szCs w:val="22"/>
        </w:rPr>
      </w:pPr>
    </w:p>
    <w:sectPr w:rsidSect="000E588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0122" w:rsidP="0055614C">
    <w:pPr>
      <w:pStyle w:val="Footer"/>
      <w:framePr w:wrap="around" w:vAnchor="text" w:hAnchor="margin" w:xAlign="center" w:y="1"/>
    </w:pPr>
    <w:r>
      <w:fldChar w:fldCharType="begin"/>
    </w:r>
    <w:r>
      <w:instrText xml:space="preserve">PAGE  </w:instrText>
    </w:r>
    <w:r>
      <w:fldChar w:fldCharType="separate"/>
    </w:r>
    <w:r>
      <w:fldChar w:fldCharType="end"/>
    </w:r>
  </w:p>
  <w:p w:rsidR="00390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0122" w:rsidP="00910F12">
    <w:pPr>
      <w:pStyle w:val="Footer"/>
      <w:jc w:val="center"/>
    </w:pPr>
    <w:r>
      <w:fldChar w:fldCharType="begin"/>
    </w:r>
    <w:r>
      <w:instrText xml:space="preserve"> PAGE   \* MERGEFORMAT </w:instrText>
    </w:r>
    <w:r>
      <w:fldChar w:fldCharType="separate"/>
    </w:r>
    <w:r w:rsidR="00FA3B4A">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6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C1600">
      <w:r>
        <w:separator/>
      </w:r>
    </w:p>
  </w:footnote>
  <w:footnote w:type="continuationSeparator" w:id="1">
    <w:p w:rsidR="00AC1600">
      <w:pPr>
        <w:rPr>
          <w:sz w:val="20"/>
        </w:rPr>
      </w:pPr>
      <w:r>
        <w:rPr>
          <w:sz w:val="20"/>
        </w:rPr>
        <w:t xml:space="preserve">(Continued from previous page)  </w:t>
      </w:r>
      <w:r>
        <w:rPr>
          <w:sz w:val="20"/>
        </w:rPr>
        <w:separator/>
      </w:r>
    </w:p>
  </w:footnote>
  <w:footnote w:type="continuationNotice" w:id="2">
    <w:p w:rsidR="00AC1600" w:rsidP="00910F12">
      <w:pPr>
        <w:jc w:val="right"/>
        <w:rPr>
          <w:sz w:val="20"/>
        </w:rPr>
      </w:pPr>
      <w:r>
        <w:rPr>
          <w:sz w:val="20"/>
        </w:rPr>
        <w:t>(continued….)</w:t>
      </w:r>
    </w:p>
  </w:footnote>
  <w:footnote w:id="3">
    <w:p w:rsidR="004559AB">
      <w:pPr>
        <w:pStyle w:val="FootnoteText"/>
      </w:pPr>
      <w:r>
        <w:rPr>
          <w:rStyle w:val="FootnoteReference"/>
        </w:rPr>
        <w:footnoteRef/>
      </w:r>
      <w:r>
        <w:t xml:space="preserve"> </w:t>
      </w:r>
      <w:r w:rsidR="009143B9">
        <w:t>The comment period is condensed to account for the deadline stated in the Explanatory Statement</w:t>
      </w:r>
      <w:r w:rsidR="00CB7AFB">
        <w:t>.</w:t>
      </w:r>
    </w:p>
  </w:footnote>
  <w:footnote w:id="4">
    <w:p w:rsidR="66697DC6" w:rsidRPr="00CF3B08" w:rsidP="00A83D74">
      <w:pPr>
        <w:pStyle w:val="FootnoteText"/>
        <w:rPr>
          <w:color w:val="000000" w:themeColor="text1"/>
        </w:rPr>
      </w:pPr>
      <w:r w:rsidRPr="00CF3B08">
        <w:rPr>
          <w:rStyle w:val="FootnoteReference"/>
          <w:sz w:val="20"/>
        </w:rPr>
        <w:footnoteRef/>
      </w:r>
      <w:r w:rsidRPr="00CF3B08">
        <w:t xml:space="preserve"> </w:t>
      </w:r>
      <w:r w:rsidRPr="00CF3B08">
        <w:rPr>
          <w:i/>
          <w:iCs/>
          <w:color w:val="000000" w:themeColor="text1"/>
        </w:rPr>
        <w:t xml:space="preserve">See Explanatory Statement </w:t>
      </w:r>
      <w:r w:rsidRPr="00CF3B08">
        <w:rPr>
          <w:color w:val="000000" w:themeColor="text1"/>
        </w:rPr>
        <w:t xml:space="preserve">(December 21, 2020, </w:t>
      </w:r>
      <w:r w:rsidRPr="00CF3B08">
        <w:rPr>
          <w:i/>
          <w:iCs/>
          <w:color w:val="000000" w:themeColor="text1"/>
        </w:rPr>
        <w:t>Congressional Record</w:t>
      </w:r>
      <w:r w:rsidRPr="00CF3B08">
        <w:rPr>
          <w:color w:val="000000" w:themeColor="text1"/>
        </w:rPr>
        <w:t xml:space="preserve">, Book IV pages 8440 8441) </w:t>
      </w:r>
      <w:r w:rsidRPr="00CF3B08">
        <w:rPr>
          <w:color w:val="000000" w:themeColor="text1"/>
        </w:rPr>
        <w:t>accompanying the Consolidated Appropriations Act of 2021 (Pub. L. No. 116-260, 134 Stat. 1182 (2020))</w:t>
      </w:r>
      <w:r w:rsidRPr="00CF3B08" w:rsidR="00771049">
        <w:rPr>
          <w:color w:val="000000" w:themeColor="text1"/>
        </w:rPr>
        <w:t>.</w:t>
      </w:r>
    </w:p>
  </w:footnote>
  <w:footnote w:id="5">
    <w:p w:rsidR="66697DC6" w:rsidRPr="00CF3B08" w:rsidP="00A83D74">
      <w:pPr>
        <w:pStyle w:val="FootnoteText"/>
      </w:pPr>
      <w:r w:rsidRPr="00CF3B08">
        <w:rPr>
          <w:rStyle w:val="FootnoteReference"/>
          <w:sz w:val="20"/>
        </w:rPr>
        <w:footnoteRef/>
      </w:r>
      <w:r w:rsidRPr="00CF3B08">
        <w:t xml:space="preserve"> </w:t>
      </w:r>
      <w:r w:rsidRPr="00CF3B08">
        <w:rPr>
          <w:i/>
          <w:iCs/>
        </w:rPr>
        <w:t>Id.</w:t>
      </w:r>
    </w:p>
  </w:footnote>
  <w:footnote w:id="6">
    <w:p w:rsidR="00771049">
      <w:pPr>
        <w:pStyle w:val="FootnoteText"/>
      </w:pPr>
      <w:r>
        <w:rPr>
          <w:rStyle w:val="FootnoteReference"/>
        </w:rPr>
        <w:footnoteRef/>
      </w:r>
      <w:r>
        <w:t xml:space="preserve"> </w:t>
      </w:r>
      <w:r w:rsidRPr="006968FB" w:rsidR="00CA335F">
        <w:t xml:space="preserve">The Bureau has conducted several inquiries to better understand the effectiveness of existing voluntary coordination efforts, including the Wireless Resiliency </w:t>
      </w:r>
      <w:r w:rsidR="005C66FA">
        <w:t xml:space="preserve">Cooperative </w:t>
      </w:r>
      <w:r w:rsidRPr="006968FB" w:rsidR="00CA335F">
        <w:t xml:space="preserve">Framework (Framework) to promote wireless network resiliency and situation awareness during disasters.  </w:t>
      </w:r>
      <w:r w:rsidRPr="006968FB" w:rsidR="00CA335F">
        <w:rPr>
          <w:i/>
          <w:iCs/>
        </w:rPr>
        <w:t>See Public Safety and Homeland Security Bureau Seeks Comment on Improving Wireless Network Resiliency to Promote Coordination through Backhaul Providers</w:t>
      </w:r>
      <w:r w:rsidRPr="006968FB" w:rsidR="00CA335F">
        <w:t>, PS Docket No. 11-60, Public Notice, DA 18-1238 (PSHSB Dec. 10, 2018) (</w:t>
      </w:r>
      <w:r w:rsidRPr="006968FB" w:rsidR="00CA335F">
        <w:rPr>
          <w:i/>
          <w:iCs/>
        </w:rPr>
        <w:t>Backhaul Public Notice</w:t>
      </w:r>
      <w:r w:rsidRPr="006968FB" w:rsidR="00CA335F">
        <w:t xml:space="preserve">); </w:t>
      </w:r>
      <w:r w:rsidRPr="006968FB" w:rsidR="00CA335F">
        <w:rPr>
          <w:i/>
          <w:iCs/>
        </w:rPr>
        <w:t>Public Safety and Homeland Security Bureau Seeks Comment on Improving Wireless Network Resiliency Through Encouraging Coordination with Power Companies</w:t>
      </w:r>
      <w:r w:rsidRPr="006968FB" w:rsidR="00CA335F">
        <w:t>, PS Docket No. 11-60, Public Notice, DA 19-13 (PSHSB Jan. 03, 2019) (</w:t>
      </w:r>
      <w:r w:rsidRPr="006968FB" w:rsidR="00CA335F">
        <w:rPr>
          <w:i/>
          <w:iCs/>
        </w:rPr>
        <w:t>Power Public Notice</w:t>
      </w:r>
      <w:r w:rsidRPr="006968FB" w:rsidR="00CA335F">
        <w:t>);</w:t>
      </w:r>
      <w:r w:rsidRPr="006968FB" w:rsidR="00CA335F">
        <w:rPr>
          <w:i/>
          <w:iCs/>
        </w:rPr>
        <w:t xml:space="preserve"> Public Safety and Homeland Security Bureau Seeks Comment on Improving the Wireless Network Resiliency Cooperative Framework</w:t>
      </w:r>
      <w:r w:rsidRPr="006968FB" w:rsidR="00CA335F">
        <w:t>, PS Docket No. 11-60, Public Notice, DA 19-242 (PSHSB Apr. 1, 2019) (</w:t>
      </w:r>
      <w:r w:rsidRPr="006968FB" w:rsidR="00CA335F">
        <w:rPr>
          <w:i/>
          <w:iCs/>
        </w:rPr>
        <w:t>Effectiveness Public Notice</w:t>
      </w:r>
      <w:r w:rsidRPr="006968FB" w:rsidR="00CA335F">
        <w:t>)</w:t>
      </w:r>
      <w:r w:rsidR="00DB0B85">
        <w:t xml:space="preserve"> (collectively, </w:t>
      </w:r>
      <w:r w:rsidR="00DB0B85">
        <w:rPr>
          <w:i/>
          <w:iCs/>
        </w:rPr>
        <w:t>Framework Public Notices</w:t>
      </w:r>
      <w:r w:rsidR="00DB0B85">
        <w:t>)</w:t>
      </w:r>
      <w:r w:rsidRPr="006968FB" w:rsidR="00CA335F">
        <w:t xml:space="preserve">.  In response to these inquiries, signatories of the Framework </w:t>
      </w:r>
      <w:r w:rsidR="00DB0B85">
        <w:t>suggest measures they have taken to put the Framework into action have been</w:t>
      </w:r>
      <w:r w:rsidRPr="006968FB" w:rsidR="00CA335F">
        <w:t xml:space="preserve"> effective</w:t>
      </w:r>
      <w:r w:rsidR="00DB0B85">
        <w:t xml:space="preserve"> </w:t>
      </w:r>
      <w:r w:rsidR="007E22B0">
        <w:t xml:space="preserve">in </w:t>
      </w:r>
      <w:r w:rsidR="00DB0B85">
        <w:t>promoting wireless resiliency</w:t>
      </w:r>
      <w:r w:rsidRPr="006968FB" w:rsidR="00CA335F">
        <w:t xml:space="preserve">.  </w:t>
      </w:r>
      <w:r w:rsidRPr="006968FB" w:rsidR="00CA335F">
        <w:rPr>
          <w:i/>
          <w:iCs/>
        </w:rPr>
        <w:t>See, e.g.</w:t>
      </w:r>
      <w:r w:rsidRPr="006968FB" w:rsidR="00CA335F">
        <w:t>,</w:t>
      </w:r>
      <w:r w:rsidR="00825778">
        <w:t xml:space="preserve"> </w:t>
      </w:r>
      <w:r w:rsidR="001E07A0">
        <w:t xml:space="preserve">CTIA </w:t>
      </w:r>
      <w:r w:rsidR="001E07A0">
        <w:rPr>
          <w:i/>
          <w:iCs/>
        </w:rPr>
        <w:t>Power Public Notice</w:t>
      </w:r>
      <w:r w:rsidR="001E07A0">
        <w:t xml:space="preserve"> Reply Comments at 1 (filed Feb. 25, 2019); </w:t>
      </w:r>
      <w:r w:rsidRPr="006968FB" w:rsidR="00CA335F">
        <w:t>Verizon</w:t>
      </w:r>
      <w:r w:rsidR="001E07A0">
        <w:t xml:space="preserve"> </w:t>
      </w:r>
      <w:r w:rsidR="001E07A0">
        <w:rPr>
          <w:i/>
          <w:iCs/>
        </w:rPr>
        <w:t>Effectiveness Public Notice</w:t>
      </w:r>
      <w:r w:rsidR="001E07A0">
        <w:t xml:space="preserve"> Comments</w:t>
      </w:r>
      <w:r w:rsidRPr="006968FB" w:rsidR="00CA335F">
        <w:t xml:space="preserve"> at </w:t>
      </w:r>
      <w:r w:rsidR="001E07A0">
        <w:t>1</w:t>
      </w:r>
      <w:r w:rsidRPr="006968FB" w:rsidR="00CA335F">
        <w:t xml:space="preserve"> (filed </w:t>
      </w:r>
      <w:r w:rsidR="001E07A0">
        <w:t>Apr. 30</w:t>
      </w:r>
      <w:r w:rsidRPr="006968FB" w:rsidR="00CA335F">
        <w:t>, 201</w:t>
      </w:r>
      <w:r w:rsidR="001E07A0">
        <w:t>9</w:t>
      </w:r>
      <w:r w:rsidRPr="006968FB" w:rsidR="00CA335F">
        <w:t>)</w:t>
      </w:r>
      <w:r w:rsidR="00825778">
        <w:t xml:space="preserve">; </w:t>
      </w:r>
      <w:r w:rsidRPr="006968FB" w:rsidR="00825778">
        <w:t xml:space="preserve">AT&amp;T </w:t>
      </w:r>
      <w:r w:rsidR="00825778">
        <w:rPr>
          <w:i/>
          <w:iCs/>
        </w:rPr>
        <w:t xml:space="preserve">Effectiveness Public </w:t>
      </w:r>
      <w:r w:rsidRPr="009B192D" w:rsidR="00825778">
        <w:rPr>
          <w:i/>
          <w:iCs/>
        </w:rPr>
        <w:t>Notice</w:t>
      </w:r>
      <w:r w:rsidR="00825778">
        <w:rPr>
          <w:i/>
          <w:iCs/>
        </w:rPr>
        <w:t xml:space="preserve"> </w:t>
      </w:r>
      <w:r w:rsidR="00825778">
        <w:t xml:space="preserve">Reply Comments </w:t>
      </w:r>
      <w:r w:rsidRPr="00546563" w:rsidR="00825778">
        <w:t>at</w:t>
      </w:r>
      <w:r w:rsidRPr="006968FB" w:rsidR="00825778">
        <w:t xml:space="preserve"> </w:t>
      </w:r>
      <w:r w:rsidR="00825778">
        <w:t>3-8</w:t>
      </w:r>
      <w:r w:rsidRPr="006968FB" w:rsidR="00825778">
        <w:t xml:space="preserve"> (filed </w:t>
      </w:r>
      <w:r w:rsidR="00825778">
        <w:t>May</w:t>
      </w:r>
      <w:r w:rsidRPr="006968FB" w:rsidR="00825778">
        <w:t xml:space="preserve"> </w:t>
      </w:r>
      <w:r w:rsidR="00825778">
        <w:t>20</w:t>
      </w:r>
      <w:r w:rsidRPr="006968FB" w:rsidR="00825778">
        <w:t>, 2019)</w:t>
      </w:r>
      <w:r w:rsidR="001E07A0">
        <w:t xml:space="preserve">.  </w:t>
      </w:r>
      <w:r w:rsidRPr="006968FB" w:rsidR="00CA335F">
        <w:t>Other commenters, however, assert the need for more robust action by wireless providers in particular areas, including: (1) coordination with power companies</w:t>
      </w:r>
      <w:r w:rsidR="00361613">
        <w:t xml:space="preserve"> and backhaul providers;</w:t>
      </w:r>
      <w:r w:rsidRPr="006968FB" w:rsidR="00CA335F">
        <w:t xml:space="preserve"> (2) engagement with and participation in exercises by local and emergency management officials; and (3) internal standards for requesting and activating roaming procedures in advance of natural disasters.</w:t>
      </w:r>
      <w:r w:rsidR="00D0277F">
        <w:t xml:space="preserve"> </w:t>
      </w:r>
      <w:r w:rsidRPr="006968FB" w:rsidR="00CA335F">
        <w:t xml:space="preserve"> </w:t>
      </w:r>
      <w:r w:rsidRPr="006968FB" w:rsidR="00CA335F">
        <w:rPr>
          <w:i/>
          <w:iCs/>
        </w:rPr>
        <w:t>See, e.g.</w:t>
      </w:r>
      <w:r w:rsidRPr="006968FB" w:rsidR="00CA335F">
        <w:t xml:space="preserve">¸ NCTA </w:t>
      </w:r>
      <w:r w:rsidRPr="006968FB" w:rsidR="00CA335F">
        <w:rPr>
          <w:i/>
        </w:rPr>
        <w:t>Power Public Notice</w:t>
      </w:r>
      <w:r w:rsidRPr="006968FB" w:rsidR="00CA335F">
        <w:t xml:space="preserve"> Comments at 2-3 (</w:t>
      </w:r>
      <w:r w:rsidR="00CA335F">
        <w:t>filed F</w:t>
      </w:r>
      <w:r w:rsidRPr="006968FB" w:rsidR="00CA335F">
        <w:t xml:space="preserve">eb. 8, 2019); City and County of San Francisco </w:t>
      </w:r>
      <w:r w:rsidRPr="006968FB" w:rsidR="00CA335F">
        <w:rPr>
          <w:i/>
          <w:iCs/>
        </w:rPr>
        <w:t xml:space="preserve">Power Public Notice </w:t>
      </w:r>
      <w:r w:rsidRPr="006968FB" w:rsidR="00CA335F">
        <w:t>Comments at 2-3 (</w:t>
      </w:r>
      <w:r w:rsidR="00CA335F">
        <w:t>filed F</w:t>
      </w:r>
      <w:r w:rsidRPr="006968FB" w:rsidR="00CA335F">
        <w:t>eb. 8, 2019</w:t>
      </w:r>
      <w:r w:rsidRPr="00361613" w:rsidR="00CA335F">
        <w:t>)</w:t>
      </w:r>
      <w:r w:rsidRPr="00361613" w:rsidR="00361613">
        <w:t xml:space="preserve">; </w:t>
      </w:r>
      <w:r w:rsidRPr="00EA5A75" w:rsidR="00361613">
        <w:rPr>
          <w:snapToGrid w:val="0"/>
          <w:kern w:val="28"/>
        </w:rPr>
        <w:t xml:space="preserve">NTCA/RWA </w:t>
      </w:r>
      <w:r w:rsidRPr="00EA5A75" w:rsidR="00361613">
        <w:rPr>
          <w:i/>
          <w:iCs/>
          <w:snapToGrid w:val="0"/>
          <w:kern w:val="28"/>
        </w:rPr>
        <w:t>Effectiveness Public Notice</w:t>
      </w:r>
      <w:r w:rsidRPr="00EA5A75" w:rsidR="00361613">
        <w:rPr>
          <w:snapToGrid w:val="0"/>
          <w:kern w:val="28"/>
        </w:rPr>
        <w:t xml:space="preserve"> Comments at 2 (filed Apr. 29, 2019)</w:t>
      </w:r>
      <w:r w:rsidRPr="00361613" w:rsidR="00DB0B85">
        <w:t>.</w:t>
      </w:r>
    </w:p>
  </w:footnote>
  <w:footnote w:id="7">
    <w:p w:rsidR="00A81C71" w:rsidRPr="00CF424C" w:rsidP="00A81C71">
      <w:pPr>
        <w:pStyle w:val="FootnoteText"/>
      </w:pPr>
      <w:r w:rsidRPr="00CF3B08">
        <w:rPr>
          <w:rStyle w:val="FootnoteReference"/>
          <w:sz w:val="20"/>
        </w:rPr>
        <w:footnoteRef/>
      </w:r>
      <w:r w:rsidRPr="00CF3B08">
        <w:t xml:space="preserve"> </w:t>
      </w:r>
      <w:bookmarkStart w:id="0" w:name="_Hlk66700918"/>
      <w:r w:rsidRPr="00011761" w:rsidR="00C34256">
        <w:rPr>
          <w:color w:val="000000"/>
          <w:bdr w:val="none" w:sz="0" w:space="0" w:color="auto" w:frame="1"/>
          <w:shd w:val="clear" w:color="auto" w:fill="FFFFFF"/>
        </w:rPr>
        <w:t xml:space="preserve">The </w:t>
      </w:r>
      <w:r w:rsidR="00C34256">
        <w:rPr>
          <w:color w:val="000000"/>
          <w:bdr w:val="none" w:sz="0" w:space="0" w:color="auto" w:frame="1"/>
          <w:shd w:val="clear" w:color="auto" w:fill="FFFFFF"/>
        </w:rPr>
        <w:t>r</w:t>
      </w:r>
      <w:r w:rsidRPr="00011761" w:rsidR="00C34256">
        <w:rPr>
          <w:color w:val="000000"/>
          <w:bdr w:val="none" w:sz="0" w:space="0" w:color="auto" w:frame="1"/>
          <w:shd w:val="clear" w:color="auto" w:fill="FFFFFF"/>
        </w:rPr>
        <w:t>ecord</w:t>
      </w:r>
      <w:r w:rsidR="00C34256">
        <w:rPr>
          <w:color w:val="000000"/>
          <w:bdr w:val="none" w:sz="0" w:space="0" w:color="auto" w:frame="1"/>
          <w:shd w:val="clear" w:color="auto" w:fill="FFFFFF"/>
        </w:rPr>
        <w:t xml:space="preserve"> currently </w:t>
      </w:r>
      <w:r w:rsidRPr="00011761" w:rsidR="00C34256">
        <w:rPr>
          <w:color w:val="000000"/>
          <w:bdr w:val="none" w:sz="0" w:space="0" w:color="auto" w:frame="1"/>
          <w:shd w:val="clear" w:color="auto" w:fill="FFFFFF"/>
        </w:rPr>
        <w:t xml:space="preserve">includes comments and </w:t>
      </w:r>
      <w:r w:rsidRPr="00011761" w:rsidR="00C34256">
        <w:rPr>
          <w:i/>
          <w:iCs/>
          <w:color w:val="000000"/>
          <w:bdr w:val="none" w:sz="0" w:space="0" w:color="auto" w:frame="1"/>
          <w:shd w:val="clear" w:color="auto" w:fill="FFFFFF"/>
        </w:rPr>
        <w:t>ex parte</w:t>
      </w:r>
      <w:r w:rsidRPr="00011761" w:rsidR="00C34256">
        <w:rPr>
          <w:color w:val="000000"/>
          <w:bdr w:val="none" w:sz="0" w:space="0" w:color="auto" w:frame="1"/>
          <w:shd w:val="clear" w:color="auto" w:fill="FFFFFF"/>
        </w:rPr>
        <w:t xml:space="preserve"> filings from the Bureau’s fact-finding inquiry into wireless communications providers’ efforts in the 2017-2018 Hurricane Season and the Bureau’s inquiry into the implementation and efficacy of the Wireless Resilience Cooperative Framework.</w:t>
      </w:r>
      <w:r w:rsidR="0025493F">
        <w:t xml:space="preserve"> </w:t>
      </w:r>
      <w:r w:rsidR="002550ED">
        <w:t xml:space="preserve"> </w:t>
      </w:r>
      <w:r w:rsidRPr="00BA0936">
        <w:rPr>
          <w:i/>
          <w:iCs/>
        </w:rPr>
        <w:t>See</w:t>
      </w:r>
      <w:r w:rsidR="005B17A5">
        <w:rPr>
          <w:i/>
          <w:iCs/>
        </w:rPr>
        <w:t>,</w:t>
      </w:r>
      <w:r w:rsidRPr="00BA0936">
        <w:rPr>
          <w:i/>
          <w:iCs/>
        </w:rPr>
        <w:t xml:space="preserve"> e.g</w:t>
      </w:r>
      <w:r w:rsidRPr="00CF3B08">
        <w:t xml:space="preserve">., </w:t>
      </w:r>
      <w:r w:rsidRPr="0031298A" w:rsidR="00771049">
        <w:rPr>
          <w:i/>
          <w:iCs/>
        </w:rPr>
        <w:t>FCC Launches Re-Examination of Wireless Resiliency Framework in Light of Recent Hurricanes, Agency Sends Letters to Framework Signatories Asking them to Provide Post- Disaster Action Reports</w:t>
      </w:r>
      <w:r w:rsidRPr="0031298A" w:rsidR="00771049">
        <w:t>, News Release (rel. Nov. 6, 2018)</w:t>
      </w:r>
      <w:r w:rsidR="00DE0820">
        <w:rPr>
          <w:iCs/>
          <w:snapToGrid w:val="0"/>
        </w:rPr>
        <w:t>;</w:t>
      </w:r>
      <w:r w:rsidR="00C7190C">
        <w:rPr>
          <w:iCs/>
          <w:snapToGrid w:val="0"/>
        </w:rPr>
        <w:t xml:space="preserve"> </w:t>
      </w:r>
      <w:r w:rsidR="00DB0B85">
        <w:rPr>
          <w:i/>
          <w:snapToGrid w:val="0"/>
        </w:rPr>
        <w:t>Framework Public Notices</w:t>
      </w:r>
      <w:r w:rsidR="00DB0B85">
        <w:rPr>
          <w:iCs/>
          <w:snapToGrid w:val="0"/>
        </w:rPr>
        <w:t>;</w:t>
      </w:r>
      <w:r w:rsidRPr="00CF3B08">
        <w:rPr>
          <w:i/>
          <w:iCs/>
          <w:snapToGrid w:val="0"/>
        </w:rPr>
        <w:t xml:space="preserve"> </w:t>
      </w:r>
      <w:r w:rsidRPr="00985AB5" w:rsidR="00DB0B85">
        <w:rPr>
          <w:i/>
          <w:iCs/>
        </w:rPr>
        <w:t>October 2018 Hurricane Michael Impact on Communications: Preparation, Effect, and Recovery</w:t>
      </w:r>
      <w:r w:rsidRPr="00CF3B08" w:rsidR="00DB0B85">
        <w:t xml:space="preserve">, PS Docket No. 18-339, Report and Recommendations (PSHSB 2019), </w:t>
      </w:r>
      <w:hyperlink r:id="rId1" w:history="1">
        <w:r w:rsidRPr="00CF3B08" w:rsidR="00DB0B85">
          <w:rPr>
            <w:rStyle w:val="Hyperlink"/>
          </w:rPr>
          <w:t>https://docs.fcc.gov/public/attachments/DOC-357387A1.pdf</w:t>
        </w:r>
      </w:hyperlink>
      <w:r w:rsidR="00DB0B85">
        <w:rPr>
          <w:rStyle w:val="Hyperlink"/>
        </w:rPr>
        <w:t>.</w:t>
      </w:r>
      <w:r w:rsidR="005E7E8F">
        <w:t xml:space="preserve">.  </w:t>
      </w:r>
      <w:bookmarkEnd w:id="0"/>
      <w:r w:rsidR="00DB0B85">
        <w:t xml:space="preserve">In addition to comments provided in response to this </w:t>
      </w:r>
      <w:r w:rsidR="00DB0B85">
        <w:rPr>
          <w:i/>
          <w:iCs/>
        </w:rPr>
        <w:t>Public Notice</w:t>
      </w:r>
      <w:r w:rsidR="00DB0B85">
        <w:t xml:space="preserve"> and already filed in this docket, the Bureau will use the records developed in WC Docket No. </w:t>
      </w:r>
      <w:r w:rsidR="00DB0B85">
        <w:rPr>
          <w:color w:val="000000" w:themeColor="text1"/>
        </w:rPr>
        <w:t>18-143, PS Docket No</w:t>
      </w:r>
      <w:r w:rsidR="009E4BAA">
        <w:rPr>
          <w:color w:val="000000" w:themeColor="text1"/>
        </w:rPr>
        <w:t>s</w:t>
      </w:r>
      <w:r w:rsidR="00DB0B85">
        <w:rPr>
          <w:color w:val="000000" w:themeColor="text1"/>
        </w:rPr>
        <w:t>. 18-3</w:t>
      </w:r>
      <w:r w:rsidR="009E4BAA">
        <w:rPr>
          <w:color w:val="000000" w:themeColor="text1"/>
        </w:rPr>
        <w:t>3</w:t>
      </w:r>
      <w:r w:rsidR="00DB0B85">
        <w:rPr>
          <w:color w:val="000000" w:themeColor="text1"/>
        </w:rPr>
        <w:t>9</w:t>
      </w:r>
      <w:r w:rsidR="009E4BAA">
        <w:rPr>
          <w:color w:val="000000" w:themeColor="text1"/>
        </w:rPr>
        <w:t xml:space="preserve"> and 15-80</w:t>
      </w:r>
      <w:r w:rsidR="00DB0B85">
        <w:rPr>
          <w:color w:val="000000" w:themeColor="text1"/>
        </w:rPr>
        <w:t xml:space="preserve">, and </w:t>
      </w:r>
      <w:r w:rsidR="009E4BAA">
        <w:rPr>
          <w:color w:val="000000" w:themeColor="text1"/>
        </w:rPr>
        <w:t>GN</w:t>
      </w:r>
      <w:r w:rsidR="00DB0B85">
        <w:rPr>
          <w:color w:val="000000" w:themeColor="text1"/>
        </w:rPr>
        <w:t xml:space="preserve"> Docket No. </w:t>
      </w:r>
      <w:r w:rsidR="009E4BAA">
        <w:rPr>
          <w:color w:val="000000" w:themeColor="text1"/>
        </w:rPr>
        <w:t>17-83</w:t>
      </w:r>
      <w:r w:rsidR="00DB0B85">
        <w:rPr>
          <w:color w:val="000000" w:themeColor="text1"/>
        </w:rPr>
        <w:t xml:space="preserve"> to inform its report to Congress.</w:t>
      </w:r>
    </w:p>
  </w:footnote>
  <w:footnote w:id="8">
    <w:p w:rsidR="005D783C" w:rsidRPr="00CF3B08">
      <w:pPr>
        <w:pStyle w:val="FootnoteText"/>
      </w:pPr>
      <w:r w:rsidRPr="00CF3B08">
        <w:rPr>
          <w:rStyle w:val="FootnoteReference"/>
          <w:sz w:val="20"/>
        </w:rPr>
        <w:footnoteRef/>
      </w:r>
      <w:r w:rsidRPr="00CF3B08">
        <w:t xml:space="preserve"> </w:t>
      </w:r>
      <w:r w:rsidRPr="00CF3B08">
        <w:rPr>
          <w:snapToGrid w:val="0"/>
        </w:rPr>
        <w:t>47 CFR §§ 1.415, 1.419.</w:t>
      </w:r>
    </w:p>
  </w:footnote>
  <w:footnote w:id="9">
    <w:p w:rsidR="005D783C" w:rsidRPr="00CF3B08">
      <w:pPr>
        <w:pStyle w:val="FootnoteText"/>
      </w:pPr>
      <w:r w:rsidRPr="00CF3B08">
        <w:rPr>
          <w:rStyle w:val="FootnoteReference"/>
          <w:sz w:val="20"/>
        </w:rPr>
        <w:footnoteRef/>
      </w:r>
      <w:r w:rsidRPr="00CF3B08">
        <w:t xml:space="preserve"> </w:t>
      </w:r>
      <w:r w:rsidRPr="00CF3B08">
        <w:rPr>
          <w:i/>
          <w:snapToGrid w:val="0"/>
        </w:rPr>
        <w:t>See Electronic Filing of Documents in Rulemaking Proceedings</w:t>
      </w:r>
      <w:r w:rsidRPr="00CF3B08">
        <w:rPr>
          <w:snapToGrid w:val="0"/>
        </w:rPr>
        <w:t>, 63 FR 24121 (1998).</w:t>
      </w:r>
    </w:p>
  </w:footnote>
  <w:footnote w:id="10">
    <w:p w:rsidR="00A02489" w:rsidRPr="00CF3B08" w:rsidP="00E551CD">
      <w:pPr>
        <w:pStyle w:val="FootnoteText"/>
        <w:rPr>
          <w:i/>
          <w:iCs/>
        </w:rPr>
      </w:pPr>
      <w:r w:rsidRPr="00CF3B08">
        <w:rPr>
          <w:rStyle w:val="FootnoteReference"/>
          <w:sz w:val="20"/>
        </w:rPr>
        <w:footnoteRef/>
      </w:r>
      <w:r w:rsidRPr="00CF3B08">
        <w:t xml:space="preserve"> </w:t>
      </w:r>
      <w:r w:rsidRPr="00CF3B08">
        <w:rPr>
          <w:i/>
          <w:iCs/>
        </w:rPr>
        <w:t xml:space="preserve">See </w:t>
      </w:r>
      <w:r w:rsidRPr="00CF3B08" w:rsidR="00D65031">
        <w:rPr>
          <w:i/>
          <w:iCs/>
        </w:rPr>
        <w:t>id.</w:t>
      </w:r>
    </w:p>
  </w:footnote>
  <w:footnote w:id="11">
    <w:p w:rsidR="00A02489" w:rsidRPr="00CF3B08" w:rsidP="00E551CD">
      <w:pPr>
        <w:pStyle w:val="FootnoteText"/>
      </w:pPr>
      <w:r w:rsidRPr="00CF3B08">
        <w:rPr>
          <w:rStyle w:val="FootnoteReference"/>
          <w:sz w:val="20"/>
        </w:rPr>
        <w:footnoteRef/>
      </w:r>
      <w:r w:rsidRPr="00CF3B08">
        <w:t xml:space="preserve"> </w:t>
      </w:r>
      <w:r w:rsidRPr="00CF3B08">
        <w:rPr>
          <w:i/>
          <w:iCs/>
        </w:rPr>
        <w:t>FCC Announces Change in Headquarters Location</w:t>
      </w:r>
      <w:r w:rsidRPr="00CF3B08">
        <w:t xml:space="preserve">, Public Notice, DA 20-1223 (OMD rel. Oct. 15, 2020); </w:t>
      </w:r>
      <w:r w:rsidRPr="00CF3B08">
        <w:rPr>
          <w:i/>
          <w:iCs/>
        </w:rPr>
        <w:t>Amendment of the Commission’s Rules of Practice and Procedure</w:t>
      </w:r>
      <w:r w:rsidRPr="00CF3B08">
        <w:t xml:space="preserve">, Order, 35 FCC Rcd 7867. 85 Fed. Reg. 64404 (Oct. 13, 2020). </w:t>
      </w:r>
    </w:p>
  </w:footnote>
  <w:footnote w:id="12">
    <w:p w:rsidR="00A02489" w:rsidRPr="00CF3B08" w:rsidP="00E551CD">
      <w:pPr>
        <w:pStyle w:val="FootnoteText"/>
      </w:pPr>
      <w:r w:rsidRPr="00CF3B08">
        <w:rPr>
          <w:rStyle w:val="FootnoteReference"/>
          <w:sz w:val="20"/>
        </w:rPr>
        <w:footnoteRef/>
      </w:r>
      <w:r w:rsidRPr="00CF3B08">
        <w:t xml:space="preserve"> </w:t>
      </w:r>
      <w:r w:rsidRPr="00CF3B08">
        <w:rPr>
          <w:i/>
          <w:iCs/>
        </w:rPr>
        <w:t>See Amendment of the Commission’s Rules of Practice and Procedure</w:t>
      </w:r>
      <w:r w:rsidRPr="00CF3B08">
        <w:t>, Order, 35 FCC Rcd 5450 (OMD</w:t>
      </w:r>
      <w:r w:rsidRPr="00CF3B08">
        <w:t xml:space="preserve"> 2020) (amending 47 CFR § 0.401(a)(1)(ii)).</w:t>
      </w:r>
    </w:p>
  </w:footnote>
  <w:footnote w:id="13">
    <w:p w:rsidR="00A02489" w:rsidRPr="00CF3B08" w:rsidP="00E551CD">
      <w:pPr>
        <w:pStyle w:val="FootnoteText"/>
      </w:pPr>
      <w:r w:rsidRPr="00CF3B08">
        <w:rPr>
          <w:rStyle w:val="FootnoteReference"/>
          <w:sz w:val="20"/>
        </w:rPr>
        <w:footnoteRef/>
      </w:r>
      <w:r w:rsidRPr="00CF3B08">
        <w:t xml:space="preserve"> 47 CFR §§ 1.200 </w:t>
      </w:r>
      <w:r w:rsidRPr="00CF3B08">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67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0122" w:rsidRPr="009838BC" w:rsidP="009838BC">
    <w:pPr>
      <w:tabs>
        <w:tab w:val="center" w:pos="4680"/>
        <w:tab w:val="right" w:pos="9360"/>
      </w:tabs>
    </w:pPr>
    <w:r w:rsidRPr="009838BC">
      <w:rPr>
        <w:b/>
      </w:rPr>
      <w:tab/>
      <w:t>Federal Communications Commission</w:t>
    </w:r>
    <w:r w:rsidRPr="009838BC">
      <w:rPr>
        <w:b/>
      </w:rPr>
      <w:tab/>
    </w:r>
    <w:r w:rsidR="00E121D0">
      <w:rPr>
        <w:b/>
      </w:rPr>
      <w:t xml:space="preserve">DA </w:t>
    </w:r>
    <w:r w:rsidR="00823982">
      <w:rPr>
        <w:b/>
      </w:rPr>
      <w:t>21-</w:t>
    </w:r>
    <w:r w:rsidR="005E677A">
      <w:rPr>
        <w:b/>
      </w:rPr>
      <w:t>362</w:t>
    </w:r>
    <w:bookmarkStart w:id="1" w:name="_GoBack"/>
    <w:bookmarkEnd w:id="1"/>
  </w:p>
  <w:p w:rsidR="00390122"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0122" w:rsidRPr="00A866AC" w:rsidP="009838B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390122" w:rsidP="009838BC">
                          <w:pPr>
                            <w:rPr>
                              <w:rFonts w:ascii="Arial" w:hAnsi="Arial"/>
                              <w:b/>
                            </w:rPr>
                          </w:pPr>
                          <w:r>
                            <w:rPr>
                              <w:rFonts w:ascii="Arial" w:hAnsi="Arial"/>
                              <w:b/>
                            </w:rPr>
                            <w:t xml:space="preserve">Federal </w:t>
                          </w:r>
                          <w:r>
                            <w:rPr>
                              <w:rFonts w:ascii="Arial" w:hAnsi="Arial"/>
                              <w:b/>
                            </w:rPr>
                            <w:t>Communications Commission</w:t>
                          </w:r>
                        </w:p>
                        <w:p w:rsidR="00390122" w:rsidP="009838BC">
                          <w:pPr>
                            <w:rPr>
                              <w:rFonts w:ascii="Arial" w:hAnsi="Arial"/>
                              <w:b/>
                            </w:rPr>
                          </w:pPr>
                          <w:r>
                            <w:rPr>
                              <w:rFonts w:ascii="Arial" w:hAnsi="Arial"/>
                              <w:b/>
                            </w:rPr>
                            <w:t xml:space="preserve">45 </w:t>
                          </w:r>
                          <w:r w:rsidR="00C54631">
                            <w:rPr>
                              <w:rFonts w:ascii="Arial" w:hAnsi="Arial"/>
                              <w:b/>
                            </w:rPr>
                            <w:t>L</w:t>
                          </w:r>
                          <w:r>
                            <w:rPr>
                              <w:rFonts w:ascii="Arial" w:hAnsi="Arial"/>
                              <w:b/>
                            </w:rPr>
                            <w:t xml:space="preserve"> St., </w:t>
                          </w:r>
                          <w:r w:rsidR="00C54631">
                            <w:rPr>
                              <w:rFonts w:ascii="Arial" w:hAnsi="Arial"/>
                              <w:b/>
                            </w:rPr>
                            <w:t>N</w:t>
                          </w:r>
                          <w:r>
                            <w:rPr>
                              <w:rFonts w:ascii="Arial" w:hAnsi="Arial"/>
                              <w:b/>
                            </w:rPr>
                            <w:t>.</w:t>
                          </w:r>
                          <w:r w:rsidR="00C54631">
                            <w:rPr>
                              <w:rFonts w:ascii="Arial" w:hAnsi="Arial"/>
                              <w:b/>
                            </w:rPr>
                            <w:t>E</w:t>
                          </w:r>
                          <w:r>
                            <w:rPr>
                              <w:rFonts w:ascii="Arial" w:hAnsi="Arial"/>
                              <w:b/>
                            </w:rPr>
                            <w:t>.</w:t>
                          </w:r>
                        </w:p>
                        <w:p w:rsidR="00390122"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390122" w:rsidP="009838BC">
                    <w:pPr>
                      <w:rPr>
                        <w:rFonts w:ascii="Arial" w:hAnsi="Arial"/>
                        <w:b/>
                      </w:rPr>
                    </w:pPr>
                    <w:r>
                      <w:rPr>
                        <w:rFonts w:ascii="Arial" w:hAnsi="Arial"/>
                        <w:b/>
                      </w:rPr>
                      <w:t xml:space="preserve">Federal </w:t>
                    </w:r>
                    <w:r>
                      <w:rPr>
                        <w:rFonts w:ascii="Arial" w:hAnsi="Arial"/>
                        <w:b/>
                      </w:rPr>
                      <w:t>Communications Commission</w:t>
                    </w:r>
                  </w:p>
                  <w:p w:rsidR="00390122" w:rsidP="009838BC">
                    <w:pPr>
                      <w:rPr>
                        <w:rFonts w:ascii="Arial" w:hAnsi="Arial"/>
                        <w:b/>
                      </w:rPr>
                    </w:pPr>
                    <w:r>
                      <w:rPr>
                        <w:rFonts w:ascii="Arial" w:hAnsi="Arial"/>
                        <w:b/>
                      </w:rPr>
                      <w:t xml:space="preserve">45 </w:t>
                    </w:r>
                    <w:r w:rsidR="00C54631">
                      <w:rPr>
                        <w:rFonts w:ascii="Arial" w:hAnsi="Arial"/>
                        <w:b/>
                      </w:rPr>
                      <w:t>L</w:t>
                    </w:r>
                    <w:r>
                      <w:rPr>
                        <w:rFonts w:ascii="Arial" w:hAnsi="Arial"/>
                        <w:b/>
                      </w:rPr>
                      <w:t xml:space="preserve"> St., </w:t>
                    </w:r>
                    <w:r w:rsidR="00C54631">
                      <w:rPr>
                        <w:rFonts w:ascii="Arial" w:hAnsi="Arial"/>
                        <w:b/>
                      </w:rPr>
                      <w:t>N</w:t>
                    </w:r>
                    <w:r>
                      <w:rPr>
                        <w:rFonts w:ascii="Arial" w:hAnsi="Arial"/>
                        <w:b/>
                      </w:rPr>
                      <w:t>.</w:t>
                    </w:r>
                    <w:r w:rsidR="00C54631">
                      <w:rPr>
                        <w:rFonts w:ascii="Arial" w:hAnsi="Arial"/>
                        <w:b/>
                      </w:rPr>
                      <w:t>E</w:t>
                    </w:r>
                    <w:r>
                      <w:rPr>
                        <w:rFonts w:ascii="Arial" w:hAnsi="Arial"/>
                        <w:b/>
                      </w:rPr>
                      <w:t>.</w:t>
                    </w:r>
                  </w:p>
                  <w:p w:rsidR="00390122"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97323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66697DC6" w:rsidR="4E760266">
      <w:rPr>
        <w:rFonts w:ascii="Arial" w:hAnsi="Arial" w:cs="Arial"/>
        <w:b/>
        <w:bCs/>
        <w:sz w:val="96"/>
        <w:szCs w:val="96"/>
      </w:rPr>
      <w:t>PUBLIC NOTICE</w:t>
    </w:r>
  </w:p>
  <w:p w:rsidR="00390122"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390122" w:rsidP="009838BC">
                          <w:pPr>
                            <w:spacing w:before="40"/>
                            <w:jc w:val="right"/>
                            <w:rPr>
                              <w:rFonts w:ascii="Arial" w:hAnsi="Arial"/>
                              <w:b/>
                              <w:sz w:val="16"/>
                            </w:rPr>
                          </w:pPr>
                          <w:r>
                            <w:rPr>
                              <w:rFonts w:ascii="Arial" w:hAnsi="Arial"/>
                              <w:b/>
                              <w:sz w:val="16"/>
                            </w:rPr>
                            <w:t>News Media Information 202 / 418-0500</w:t>
                          </w:r>
                        </w:p>
                        <w:p w:rsidR="00390122"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390122"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390122" w:rsidP="009838BC">
                    <w:pPr>
                      <w:spacing w:before="40"/>
                      <w:jc w:val="right"/>
                      <w:rPr>
                        <w:rFonts w:ascii="Arial" w:hAnsi="Arial"/>
                        <w:b/>
                        <w:sz w:val="16"/>
                      </w:rPr>
                    </w:pPr>
                    <w:r>
                      <w:rPr>
                        <w:rFonts w:ascii="Arial" w:hAnsi="Arial"/>
                        <w:b/>
                        <w:sz w:val="16"/>
                      </w:rPr>
                      <w:t>News Media Information 202 / 418-0500</w:t>
                    </w:r>
                  </w:p>
                  <w:p w:rsidR="00390122"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390122" w:rsidP="009838BC">
                    <w:pPr>
                      <w:jc w:val="right"/>
                    </w:pPr>
                    <w:r>
                      <w:rPr>
                        <w:rFonts w:ascii="Arial" w:hAnsi="Arial"/>
                        <w:b/>
                        <w:sz w:val="16"/>
                      </w:rPr>
                      <w:t>TTY: 1-888-835-5322</w:t>
                    </w:r>
                  </w:p>
                </w:txbxContent>
              </v:textbox>
            </v:shape>
          </w:pict>
        </mc:Fallback>
      </mc:AlternateContent>
    </w:r>
  </w:p>
  <w:p w:rsidR="00390122"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407"/>
    <w:multiLevelType w:val="multilevel"/>
    <w:tmpl w:val="CEB46A4A"/>
    <w:lvl w:ilvl="0">
      <w:start w:val="3"/>
      <w:numFmt w:val="upperLetter"/>
      <w:lvlText w:val="(%1)"/>
      <w:lvlJc w:val="left"/>
      <w:pPr>
        <w:ind w:hanging="489"/>
      </w:pPr>
      <w:rPr>
        <w:rFonts w:ascii="Georgia" w:hAnsi="Georgia" w:cs="Georgia"/>
        <w:b w:val="0"/>
        <w:bCs w:val="0"/>
        <w:w w:val="97"/>
        <w:sz w:val="28"/>
        <w:szCs w:val="28"/>
      </w:rPr>
    </w:lvl>
    <w:lvl w:ilvl="1">
      <w:start w:val="1"/>
      <w:numFmt w:val="lowerRoman"/>
      <w:lvlText w:val="(%2)"/>
      <w:lvlJc w:val="left"/>
      <w:pPr>
        <w:ind w:left="560" w:hanging="367"/>
      </w:pPr>
      <w:rPr>
        <w:rFonts w:ascii="Times New Roman" w:hAnsi="Times New Roman" w:cs="Times New Roman" w:hint="default"/>
        <w:b w:val="0"/>
        <w:bCs w:val="0"/>
        <w:w w:val="93"/>
        <w:sz w:val="24"/>
        <w:szCs w:val="24"/>
      </w:rPr>
    </w:lvl>
    <w:lvl w:ilvl="2">
      <w:start w:val="0"/>
      <w:numFmt w:val="bullet"/>
      <w:lvlText w:val="•"/>
      <w:lvlJc w:val="left"/>
      <w:pPr>
        <w:ind w:left="1120" w:hanging="367"/>
      </w:pPr>
    </w:lvl>
    <w:lvl w:ilvl="3">
      <w:start w:val="0"/>
      <w:numFmt w:val="bullet"/>
      <w:lvlText w:val="•"/>
      <w:lvlJc w:val="left"/>
      <w:pPr>
        <w:ind w:left="1680" w:hanging="367"/>
      </w:pPr>
    </w:lvl>
    <w:lvl w:ilvl="4">
      <w:start w:val="0"/>
      <w:numFmt w:val="bullet"/>
      <w:lvlText w:val="•"/>
      <w:lvlJc w:val="left"/>
      <w:pPr>
        <w:ind w:left="2240" w:hanging="367"/>
      </w:pPr>
    </w:lvl>
    <w:lvl w:ilvl="5">
      <w:start w:val="0"/>
      <w:numFmt w:val="bullet"/>
      <w:lvlText w:val="•"/>
      <w:lvlJc w:val="left"/>
      <w:pPr>
        <w:ind w:left="2801" w:hanging="367"/>
      </w:pPr>
    </w:lvl>
    <w:lvl w:ilvl="6">
      <w:start w:val="0"/>
      <w:numFmt w:val="bullet"/>
      <w:lvlText w:val="•"/>
      <w:lvlJc w:val="left"/>
      <w:pPr>
        <w:ind w:left="3361" w:hanging="367"/>
      </w:pPr>
    </w:lvl>
    <w:lvl w:ilvl="7">
      <w:start w:val="0"/>
      <w:numFmt w:val="bullet"/>
      <w:lvlText w:val="•"/>
      <w:lvlJc w:val="left"/>
      <w:pPr>
        <w:ind w:left="3921" w:hanging="367"/>
      </w:pPr>
    </w:lvl>
    <w:lvl w:ilvl="8">
      <w:start w:val="0"/>
      <w:numFmt w:val="bullet"/>
      <w:lvlText w:val="•"/>
      <w:lvlJc w:val="left"/>
      <w:pPr>
        <w:ind w:left="4481" w:hanging="367"/>
      </w:pPr>
    </w:lvl>
  </w:abstractNum>
  <w:abstractNum w:abstractNumId="1">
    <w:nsid w:val="01387C91"/>
    <w:multiLevelType w:val="hybridMultilevel"/>
    <w:tmpl w:val="BBA0A1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7C66941"/>
    <w:multiLevelType w:val="hybridMultilevel"/>
    <w:tmpl w:val="6CC437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1003065C"/>
    <w:multiLevelType w:val="hybridMultilevel"/>
    <w:tmpl w:val="640EDA72"/>
    <w:lvl w:ilvl="0">
      <w:start w:val="1"/>
      <w:numFmt w:val="decimal"/>
      <w:lvlText w:val="%1."/>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1F4E2286"/>
    <w:multiLevelType w:val="hybridMultilevel"/>
    <w:tmpl w:val="730022EE"/>
    <w:lvl w:ilvl="0">
      <w:start w:val="1"/>
      <w:numFmt w:val="lowerLetter"/>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F843EFD"/>
    <w:multiLevelType w:val="hybridMultilevel"/>
    <w:tmpl w:val="12524748"/>
    <w:lvl w:ilvl="0">
      <w:start w:val="1"/>
      <w:numFmt w:val="lowerRoman"/>
      <w:lvlText w:val="(%1)"/>
      <w:lvlJc w:val="left"/>
      <w:pPr>
        <w:ind w:left="1080" w:hanging="720"/>
      </w:pPr>
      <w:rPr>
        <w:rFonts w:hint="default"/>
        <w:w w:val="95"/>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31967BD7"/>
    <w:multiLevelType w:val="hybridMultilevel"/>
    <w:tmpl w:val="3E64176E"/>
    <w:lvl w:ilvl="0">
      <w:start w:val="1"/>
      <w:numFmt w:val="lowerRoman"/>
      <w:lvlText w:val="(%1)"/>
      <w:lvlJc w:val="left"/>
      <w:pPr>
        <w:ind w:left="1680" w:hanging="720"/>
      </w:pPr>
      <w:rPr>
        <w:rFonts w:ascii="Times New Roman" w:eastAsia="Times New Roman" w:hAnsi="Times New Roman" w:cs="Times New Roman"/>
      </w:rPr>
    </w:lvl>
    <w:lvl w:ilvl="1" w:tentative="1">
      <w:start w:val="1"/>
      <w:numFmt w:val="lowerLetter"/>
      <w:lvlText w:val="%2."/>
      <w:lvlJc w:val="left"/>
      <w:pPr>
        <w:ind w:left="2040" w:hanging="360"/>
      </w:pPr>
    </w:lvl>
    <w:lvl w:ilvl="2" w:tentative="1">
      <w:start w:val="1"/>
      <w:numFmt w:val="lowerRoman"/>
      <w:lvlText w:val="%3."/>
      <w:lvlJc w:val="right"/>
      <w:pPr>
        <w:ind w:left="2760" w:hanging="180"/>
      </w:pPr>
    </w:lvl>
    <w:lvl w:ilvl="3" w:tentative="1">
      <w:start w:val="1"/>
      <w:numFmt w:val="decimal"/>
      <w:lvlText w:val="%4."/>
      <w:lvlJc w:val="left"/>
      <w:pPr>
        <w:ind w:left="3480" w:hanging="360"/>
      </w:pPr>
    </w:lvl>
    <w:lvl w:ilvl="4" w:tentative="1">
      <w:start w:val="1"/>
      <w:numFmt w:val="lowerLetter"/>
      <w:lvlText w:val="%5."/>
      <w:lvlJc w:val="left"/>
      <w:pPr>
        <w:ind w:left="4200" w:hanging="360"/>
      </w:pPr>
    </w:lvl>
    <w:lvl w:ilvl="5" w:tentative="1">
      <w:start w:val="1"/>
      <w:numFmt w:val="lowerRoman"/>
      <w:lvlText w:val="%6."/>
      <w:lvlJc w:val="right"/>
      <w:pPr>
        <w:ind w:left="4920" w:hanging="180"/>
      </w:pPr>
    </w:lvl>
    <w:lvl w:ilvl="6" w:tentative="1">
      <w:start w:val="1"/>
      <w:numFmt w:val="decimal"/>
      <w:lvlText w:val="%7."/>
      <w:lvlJc w:val="left"/>
      <w:pPr>
        <w:ind w:left="5640" w:hanging="360"/>
      </w:pPr>
    </w:lvl>
    <w:lvl w:ilvl="7" w:tentative="1">
      <w:start w:val="1"/>
      <w:numFmt w:val="lowerLetter"/>
      <w:lvlText w:val="%8."/>
      <w:lvlJc w:val="left"/>
      <w:pPr>
        <w:ind w:left="6360" w:hanging="360"/>
      </w:pPr>
    </w:lvl>
    <w:lvl w:ilvl="8" w:tentative="1">
      <w:start w:val="1"/>
      <w:numFmt w:val="lowerRoman"/>
      <w:lvlText w:val="%9."/>
      <w:lvlJc w:val="right"/>
      <w:pPr>
        <w:ind w:left="7080" w:hanging="180"/>
      </w:pPr>
    </w:lvl>
  </w:abstractNum>
  <w:abstractNum w:abstractNumId="11">
    <w:nsid w:val="34462B51"/>
    <w:multiLevelType w:val="hybridMultilevel"/>
    <w:tmpl w:val="E7DED29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42B56AA9"/>
    <w:multiLevelType w:val="hybridMultilevel"/>
    <w:tmpl w:val="12524748"/>
    <w:lvl w:ilvl="0">
      <w:start w:val="1"/>
      <w:numFmt w:val="lowerRoman"/>
      <w:lvlText w:val="(%1)"/>
      <w:lvlJc w:val="left"/>
      <w:pPr>
        <w:ind w:left="1080" w:hanging="720"/>
      </w:pPr>
      <w:rPr>
        <w:rFonts w:hint="default"/>
        <w:w w:val="95"/>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7845E66"/>
    <w:multiLevelType w:val="hybridMultilevel"/>
    <w:tmpl w:val="72CA45B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49190F65"/>
    <w:multiLevelType w:val="hybridMultilevel"/>
    <w:tmpl w:val="8786C5C6"/>
    <w:lvl w:ilvl="0">
      <w:start w:val="3"/>
      <w:numFmt w:val="upperLetter"/>
      <w:lvlText w:val="(%1)"/>
      <w:lvlJc w:val="left"/>
      <w:pPr>
        <w:ind w:hanging="489"/>
      </w:pPr>
      <w:rPr>
        <w:rFonts w:ascii="Georgia" w:hAnsi="Georgia" w:cs="Georgia"/>
        <w:b w:val="0"/>
        <w:bCs w:val="0"/>
        <w:w w:val="97"/>
        <w:sz w:val="28"/>
        <w:szCs w:val="28"/>
      </w:rPr>
    </w:lvl>
    <w:lvl w:ilvl="1">
      <w:start w:val="1"/>
      <w:numFmt w:val="lowerRoman"/>
      <w:lvlText w:val="(%2)"/>
      <w:lvlJc w:val="left"/>
      <w:pPr>
        <w:ind w:left="560" w:hanging="367"/>
      </w:pPr>
      <w:rPr>
        <w:rFonts w:hint="default"/>
        <w:b w:val="0"/>
        <w:bCs w:val="0"/>
        <w:w w:val="95"/>
        <w:sz w:val="24"/>
        <w:szCs w:val="24"/>
      </w:rPr>
    </w:lvl>
    <w:lvl w:ilvl="2">
      <w:start w:val="0"/>
      <w:numFmt w:val="bullet"/>
      <w:lvlText w:val="•"/>
      <w:lvlJc w:val="left"/>
      <w:pPr>
        <w:ind w:left="1120" w:hanging="367"/>
      </w:pPr>
    </w:lvl>
    <w:lvl w:ilvl="3">
      <w:start w:val="0"/>
      <w:numFmt w:val="bullet"/>
      <w:lvlText w:val="•"/>
      <w:lvlJc w:val="left"/>
      <w:pPr>
        <w:ind w:left="1680" w:hanging="367"/>
      </w:pPr>
    </w:lvl>
    <w:lvl w:ilvl="4">
      <w:start w:val="0"/>
      <w:numFmt w:val="bullet"/>
      <w:lvlText w:val="•"/>
      <w:lvlJc w:val="left"/>
      <w:pPr>
        <w:ind w:left="2240" w:hanging="367"/>
      </w:pPr>
    </w:lvl>
    <w:lvl w:ilvl="5">
      <w:start w:val="0"/>
      <w:numFmt w:val="bullet"/>
      <w:lvlText w:val="•"/>
      <w:lvlJc w:val="left"/>
      <w:pPr>
        <w:ind w:left="2801" w:hanging="367"/>
      </w:pPr>
    </w:lvl>
    <w:lvl w:ilvl="6">
      <w:start w:val="0"/>
      <w:numFmt w:val="bullet"/>
      <w:lvlText w:val="•"/>
      <w:lvlJc w:val="left"/>
      <w:pPr>
        <w:ind w:left="3361" w:hanging="367"/>
      </w:pPr>
    </w:lvl>
    <w:lvl w:ilvl="7">
      <w:start w:val="0"/>
      <w:numFmt w:val="bullet"/>
      <w:lvlText w:val="•"/>
      <w:lvlJc w:val="left"/>
      <w:pPr>
        <w:ind w:left="3921" w:hanging="367"/>
      </w:pPr>
    </w:lvl>
    <w:lvl w:ilvl="8">
      <w:start w:val="0"/>
      <w:numFmt w:val="bullet"/>
      <w:lvlText w:val="•"/>
      <w:lvlJc w:val="left"/>
      <w:pPr>
        <w:ind w:left="4481" w:hanging="367"/>
      </w:p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579D74E0"/>
    <w:multiLevelType w:val="hybridMultilevel"/>
    <w:tmpl w:val="1596A3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59AC6F60"/>
    <w:multiLevelType w:val="hybridMultilevel"/>
    <w:tmpl w:val="E536F2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9">
    <w:nsid w:val="66D0139E"/>
    <w:multiLevelType w:val="hybridMultilevel"/>
    <w:tmpl w:val="A0FA00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6781BB5"/>
    <w:multiLevelType w:val="hybridMultilevel"/>
    <w:tmpl w:val="390CCF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7042A8A"/>
    <w:multiLevelType w:val="hybridMultilevel"/>
    <w:tmpl w:val="499AF4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9D77A50"/>
    <w:multiLevelType w:val="hybridMultilevel"/>
    <w:tmpl w:val="39EA12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9"/>
  </w:num>
  <w:num w:numId="4">
    <w:abstractNumId w:val="15"/>
  </w:num>
  <w:num w:numId="5">
    <w:abstractNumId w:val="8"/>
  </w:num>
  <w:num w:numId="6">
    <w:abstractNumId w:val="3"/>
  </w:num>
  <w:num w:numId="7">
    <w:abstractNumId w:val="19"/>
  </w:num>
  <w:num w:numId="8">
    <w:abstractNumId w:val="16"/>
  </w:num>
  <w:num w:numId="9">
    <w:abstractNumId w:val="2"/>
  </w:num>
  <w:num w:numId="10">
    <w:abstractNumId w:val="22"/>
  </w:num>
  <w:num w:numId="11">
    <w:abstractNumId w:val="5"/>
  </w:num>
  <w:num w:numId="12">
    <w:abstractNumId w:val="17"/>
  </w:num>
  <w:num w:numId="13">
    <w:abstractNumId w:val="11"/>
  </w:num>
  <w:num w:numId="14">
    <w:abstractNumId w:val="13"/>
  </w:num>
  <w:num w:numId="15">
    <w:abstractNumId w:val="4"/>
  </w:num>
  <w:num w:numId="16">
    <w:abstractNumId w:val="21"/>
  </w:num>
  <w:num w:numId="17">
    <w:abstractNumId w:val="0"/>
  </w:num>
  <w:num w:numId="18">
    <w:abstractNumId w:val="10"/>
  </w:num>
  <w:num w:numId="19">
    <w:abstractNumId w:val="6"/>
  </w:num>
  <w:num w:numId="20">
    <w:abstractNumId w:val="14"/>
  </w:num>
  <w:num w:numId="21">
    <w:abstractNumId w:val="12"/>
  </w:num>
  <w:num w:numId="22">
    <w:abstractNumId w:val="2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64"/>
    <w:rsid w:val="00003F75"/>
    <w:rsid w:val="000072CE"/>
    <w:rsid w:val="000110C8"/>
    <w:rsid w:val="000113D9"/>
    <w:rsid w:val="00011761"/>
    <w:rsid w:val="00012846"/>
    <w:rsid w:val="00013A8B"/>
    <w:rsid w:val="000152B8"/>
    <w:rsid w:val="00021445"/>
    <w:rsid w:val="00021A9D"/>
    <w:rsid w:val="0002556A"/>
    <w:rsid w:val="00026E00"/>
    <w:rsid w:val="00031E93"/>
    <w:rsid w:val="00033FCA"/>
    <w:rsid w:val="00034930"/>
    <w:rsid w:val="00036039"/>
    <w:rsid w:val="00037F90"/>
    <w:rsid w:val="000407C4"/>
    <w:rsid w:val="00040980"/>
    <w:rsid w:val="00044598"/>
    <w:rsid w:val="000448C3"/>
    <w:rsid w:val="00046DAE"/>
    <w:rsid w:val="00046E58"/>
    <w:rsid w:val="00047A95"/>
    <w:rsid w:val="00061A24"/>
    <w:rsid w:val="00067410"/>
    <w:rsid w:val="00072B14"/>
    <w:rsid w:val="000732BB"/>
    <w:rsid w:val="00082BC2"/>
    <w:rsid w:val="000875BF"/>
    <w:rsid w:val="00092924"/>
    <w:rsid w:val="00093C33"/>
    <w:rsid w:val="0009504C"/>
    <w:rsid w:val="00096831"/>
    <w:rsid w:val="00096D8C"/>
    <w:rsid w:val="000A0248"/>
    <w:rsid w:val="000A2CF0"/>
    <w:rsid w:val="000A6138"/>
    <w:rsid w:val="000B0BD1"/>
    <w:rsid w:val="000C0B65"/>
    <w:rsid w:val="000C3D37"/>
    <w:rsid w:val="000C48B8"/>
    <w:rsid w:val="000C51D4"/>
    <w:rsid w:val="000C740C"/>
    <w:rsid w:val="000C75D9"/>
    <w:rsid w:val="000D00BF"/>
    <w:rsid w:val="000D01FE"/>
    <w:rsid w:val="000D3474"/>
    <w:rsid w:val="000D4F16"/>
    <w:rsid w:val="000D636E"/>
    <w:rsid w:val="000D70CC"/>
    <w:rsid w:val="000E2BC0"/>
    <w:rsid w:val="000E35A9"/>
    <w:rsid w:val="000E3D42"/>
    <w:rsid w:val="000E43CF"/>
    <w:rsid w:val="000E5884"/>
    <w:rsid w:val="000F1A2B"/>
    <w:rsid w:val="000F58B2"/>
    <w:rsid w:val="00100018"/>
    <w:rsid w:val="00104899"/>
    <w:rsid w:val="00105B4A"/>
    <w:rsid w:val="00111CBE"/>
    <w:rsid w:val="00113222"/>
    <w:rsid w:val="0012250B"/>
    <w:rsid w:val="00122BD5"/>
    <w:rsid w:val="00124EF7"/>
    <w:rsid w:val="001279D8"/>
    <w:rsid w:val="00130F97"/>
    <w:rsid w:val="001374D7"/>
    <w:rsid w:val="001420C8"/>
    <w:rsid w:val="00144CAE"/>
    <w:rsid w:val="0015153B"/>
    <w:rsid w:val="00153A8F"/>
    <w:rsid w:val="00155C8E"/>
    <w:rsid w:val="001568C8"/>
    <w:rsid w:val="0015774B"/>
    <w:rsid w:val="00170003"/>
    <w:rsid w:val="001723EB"/>
    <w:rsid w:val="001752D3"/>
    <w:rsid w:val="00180194"/>
    <w:rsid w:val="00182244"/>
    <w:rsid w:val="00182D16"/>
    <w:rsid w:val="00186144"/>
    <w:rsid w:val="00186822"/>
    <w:rsid w:val="001903CC"/>
    <w:rsid w:val="001979D9"/>
    <w:rsid w:val="001A1995"/>
    <w:rsid w:val="001A1C02"/>
    <w:rsid w:val="001A43C0"/>
    <w:rsid w:val="001A6895"/>
    <w:rsid w:val="001B12BE"/>
    <w:rsid w:val="001B58D9"/>
    <w:rsid w:val="001B76A0"/>
    <w:rsid w:val="001C2A34"/>
    <w:rsid w:val="001C5BD6"/>
    <w:rsid w:val="001D0FCE"/>
    <w:rsid w:val="001D4D9B"/>
    <w:rsid w:val="001D6BCF"/>
    <w:rsid w:val="001E01CA"/>
    <w:rsid w:val="001E07A0"/>
    <w:rsid w:val="001E0826"/>
    <w:rsid w:val="001F0CF8"/>
    <w:rsid w:val="001F128E"/>
    <w:rsid w:val="001F18F6"/>
    <w:rsid w:val="001F35BB"/>
    <w:rsid w:val="001F3ACA"/>
    <w:rsid w:val="0020059D"/>
    <w:rsid w:val="002008F6"/>
    <w:rsid w:val="002060D9"/>
    <w:rsid w:val="002075E9"/>
    <w:rsid w:val="00207754"/>
    <w:rsid w:val="00210545"/>
    <w:rsid w:val="00211137"/>
    <w:rsid w:val="00211567"/>
    <w:rsid w:val="00211FC6"/>
    <w:rsid w:val="00212522"/>
    <w:rsid w:val="00216CD0"/>
    <w:rsid w:val="002215BA"/>
    <w:rsid w:val="00221F9D"/>
    <w:rsid w:val="00225F91"/>
    <w:rsid w:val="00226822"/>
    <w:rsid w:val="00227E39"/>
    <w:rsid w:val="00232E69"/>
    <w:rsid w:val="00232F92"/>
    <w:rsid w:val="0023412D"/>
    <w:rsid w:val="00234E35"/>
    <w:rsid w:val="0023597A"/>
    <w:rsid w:val="00235FBA"/>
    <w:rsid w:val="00236304"/>
    <w:rsid w:val="002377F5"/>
    <w:rsid w:val="0024089D"/>
    <w:rsid w:val="00243868"/>
    <w:rsid w:val="00244D82"/>
    <w:rsid w:val="00245DF1"/>
    <w:rsid w:val="0025056D"/>
    <w:rsid w:val="0025493F"/>
    <w:rsid w:val="002550ED"/>
    <w:rsid w:val="00255ECD"/>
    <w:rsid w:val="00257387"/>
    <w:rsid w:val="00260594"/>
    <w:rsid w:val="002624A4"/>
    <w:rsid w:val="002632C5"/>
    <w:rsid w:val="00266A12"/>
    <w:rsid w:val="00270BE2"/>
    <w:rsid w:val="00273EBF"/>
    <w:rsid w:val="00285017"/>
    <w:rsid w:val="0029219E"/>
    <w:rsid w:val="002949A3"/>
    <w:rsid w:val="002969F4"/>
    <w:rsid w:val="002A2803"/>
    <w:rsid w:val="002A2D2E"/>
    <w:rsid w:val="002A35C4"/>
    <w:rsid w:val="002A70C9"/>
    <w:rsid w:val="002B0262"/>
    <w:rsid w:val="002B0728"/>
    <w:rsid w:val="002B33B2"/>
    <w:rsid w:val="002B3F2B"/>
    <w:rsid w:val="002B7953"/>
    <w:rsid w:val="002C49FF"/>
    <w:rsid w:val="002C5A5D"/>
    <w:rsid w:val="002C7930"/>
    <w:rsid w:val="002C7BE1"/>
    <w:rsid w:val="002D0297"/>
    <w:rsid w:val="002D04D3"/>
    <w:rsid w:val="002D092F"/>
    <w:rsid w:val="002D1FA0"/>
    <w:rsid w:val="002D3CA8"/>
    <w:rsid w:val="002F27BF"/>
    <w:rsid w:val="002F4CA7"/>
    <w:rsid w:val="002F5916"/>
    <w:rsid w:val="002F655E"/>
    <w:rsid w:val="00302A41"/>
    <w:rsid w:val="003106B1"/>
    <w:rsid w:val="0031298A"/>
    <w:rsid w:val="0031632F"/>
    <w:rsid w:val="003175FD"/>
    <w:rsid w:val="00320647"/>
    <w:rsid w:val="00331CD2"/>
    <w:rsid w:val="00337D68"/>
    <w:rsid w:val="00343749"/>
    <w:rsid w:val="0034401B"/>
    <w:rsid w:val="0035490B"/>
    <w:rsid w:val="00354DEF"/>
    <w:rsid w:val="00357D50"/>
    <w:rsid w:val="00361613"/>
    <w:rsid w:val="0036392F"/>
    <w:rsid w:val="00363E7F"/>
    <w:rsid w:val="0036487C"/>
    <w:rsid w:val="00366927"/>
    <w:rsid w:val="00373DFE"/>
    <w:rsid w:val="003772C5"/>
    <w:rsid w:val="00381C6B"/>
    <w:rsid w:val="003862E4"/>
    <w:rsid w:val="00390122"/>
    <w:rsid w:val="0039080D"/>
    <w:rsid w:val="00390A67"/>
    <w:rsid w:val="003925DC"/>
    <w:rsid w:val="00395914"/>
    <w:rsid w:val="00395F7A"/>
    <w:rsid w:val="003A08E0"/>
    <w:rsid w:val="003A638D"/>
    <w:rsid w:val="003B0550"/>
    <w:rsid w:val="003B3753"/>
    <w:rsid w:val="003B5D77"/>
    <w:rsid w:val="003B5E16"/>
    <w:rsid w:val="003B694F"/>
    <w:rsid w:val="003C0726"/>
    <w:rsid w:val="003D0D9A"/>
    <w:rsid w:val="003D221D"/>
    <w:rsid w:val="003D4A15"/>
    <w:rsid w:val="003D75A6"/>
    <w:rsid w:val="003E0795"/>
    <w:rsid w:val="003E16BF"/>
    <w:rsid w:val="003E4B7B"/>
    <w:rsid w:val="003E4C96"/>
    <w:rsid w:val="003F170E"/>
    <w:rsid w:val="003F171C"/>
    <w:rsid w:val="003F5763"/>
    <w:rsid w:val="004000EC"/>
    <w:rsid w:val="00406B85"/>
    <w:rsid w:val="004071DB"/>
    <w:rsid w:val="004079AF"/>
    <w:rsid w:val="004116F5"/>
    <w:rsid w:val="00412FC5"/>
    <w:rsid w:val="00414B58"/>
    <w:rsid w:val="00416AC8"/>
    <w:rsid w:val="00422276"/>
    <w:rsid w:val="004242F1"/>
    <w:rsid w:val="00425E52"/>
    <w:rsid w:val="004312D3"/>
    <w:rsid w:val="00431985"/>
    <w:rsid w:val="0044029E"/>
    <w:rsid w:val="00445A00"/>
    <w:rsid w:val="00451B0F"/>
    <w:rsid w:val="004559AB"/>
    <w:rsid w:val="004564F6"/>
    <w:rsid w:val="00460E39"/>
    <w:rsid w:val="00460FD3"/>
    <w:rsid w:val="0046125F"/>
    <w:rsid w:val="00461784"/>
    <w:rsid w:val="00463E72"/>
    <w:rsid w:val="004736C6"/>
    <w:rsid w:val="00473920"/>
    <w:rsid w:val="004756DB"/>
    <w:rsid w:val="004763B2"/>
    <w:rsid w:val="00476805"/>
    <w:rsid w:val="00483A81"/>
    <w:rsid w:val="00484161"/>
    <w:rsid w:val="004863D1"/>
    <w:rsid w:val="00487524"/>
    <w:rsid w:val="004933A2"/>
    <w:rsid w:val="00493C6E"/>
    <w:rsid w:val="00496106"/>
    <w:rsid w:val="0049681F"/>
    <w:rsid w:val="004A33F3"/>
    <w:rsid w:val="004B4588"/>
    <w:rsid w:val="004B66FC"/>
    <w:rsid w:val="004C12D0"/>
    <w:rsid w:val="004C2EE3"/>
    <w:rsid w:val="004C41D8"/>
    <w:rsid w:val="004D7676"/>
    <w:rsid w:val="004E4A22"/>
    <w:rsid w:val="004F093B"/>
    <w:rsid w:val="005032A5"/>
    <w:rsid w:val="00503A8A"/>
    <w:rsid w:val="00507683"/>
    <w:rsid w:val="00511968"/>
    <w:rsid w:val="00513C18"/>
    <w:rsid w:val="0051456B"/>
    <w:rsid w:val="0052440C"/>
    <w:rsid w:val="005260F6"/>
    <w:rsid w:val="00527F9C"/>
    <w:rsid w:val="00534AAD"/>
    <w:rsid w:val="00535E27"/>
    <w:rsid w:val="005413BC"/>
    <w:rsid w:val="00542AAC"/>
    <w:rsid w:val="00545555"/>
    <w:rsid w:val="00546563"/>
    <w:rsid w:val="00546C66"/>
    <w:rsid w:val="00546DB5"/>
    <w:rsid w:val="00547585"/>
    <w:rsid w:val="00553973"/>
    <w:rsid w:val="005544CF"/>
    <w:rsid w:val="00554C96"/>
    <w:rsid w:val="0055614C"/>
    <w:rsid w:val="00564E03"/>
    <w:rsid w:val="005720D4"/>
    <w:rsid w:val="005735A2"/>
    <w:rsid w:val="005854BA"/>
    <w:rsid w:val="005A6754"/>
    <w:rsid w:val="005B17A5"/>
    <w:rsid w:val="005B549B"/>
    <w:rsid w:val="005B739C"/>
    <w:rsid w:val="005C6276"/>
    <w:rsid w:val="005C66FA"/>
    <w:rsid w:val="005D0D97"/>
    <w:rsid w:val="005D3EE3"/>
    <w:rsid w:val="005D427D"/>
    <w:rsid w:val="005D7639"/>
    <w:rsid w:val="005D783C"/>
    <w:rsid w:val="005E2863"/>
    <w:rsid w:val="005E3B12"/>
    <w:rsid w:val="005E4596"/>
    <w:rsid w:val="005E677A"/>
    <w:rsid w:val="005E6D53"/>
    <w:rsid w:val="005E7E8F"/>
    <w:rsid w:val="005F0F71"/>
    <w:rsid w:val="005F2F95"/>
    <w:rsid w:val="005F3F8D"/>
    <w:rsid w:val="005F4E27"/>
    <w:rsid w:val="005F711D"/>
    <w:rsid w:val="0060240F"/>
    <w:rsid w:val="00602768"/>
    <w:rsid w:val="00604CBA"/>
    <w:rsid w:val="00606A29"/>
    <w:rsid w:val="00607BA5"/>
    <w:rsid w:val="00612661"/>
    <w:rsid w:val="006200DC"/>
    <w:rsid w:val="006239D9"/>
    <w:rsid w:val="00624040"/>
    <w:rsid w:val="00624B90"/>
    <w:rsid w:val="00626EB6"/>
    <w:rsid w:val="006302D8"/>
    <w:rsid w:val="00633A17"/>
    <w:rsid w:val="00633BBF"/>
    <w:rsid w:val="00633CE6"/>
    <w:rsid w:val="006353A3"/>
    <w:rsid w:val="006372FB"/>
    <w:rsid w:val="00640F14"/>
    <w:rsid w:val="00643E7B"/>
    <w:rsid w:val="00644F9F"/>
    <w:rsid w:val="00647C98"/>
    <w:rsid w:val="00647DED"/>
    <w:rsid w:val="00652BEE"/>
    <w:rsid w:val="00652DA7"/>
    <w:rsid w:val="00653EC2"/>
    <w:rsid w:val="00655D03"/>
    <w:rsid w:val="00657D07"/>
    <w:rsid w:val="00662B76"/>
    <w:rsid w:val="00663E1A"/>
    <w:rsid w:val="00665A23"/>
    <w:rsid w:val="006745CD"/>
    <w:rsid w:val="00677E98"/>
    <w:rsid w:val="006813BA"/>
    <w:rsid w:val="00683F84"/>
    <w:rsid w:val="00685B56"/>
    <w:rsid w:val="006861D8"/>
    <w:rsid w:val="0068639F"/>
    <w:rsid w:val="006869BF"/>
    <w:rsid w:val="00686FB7"/>
    <w:rsid w:val="00687613"/>
    <w:rsid w:val="00691F67"/>
    <w:rsid w:val="0069365E"/>
    <w:rsid w:val="00695A1E"/>
    <w:rsid w:val="006968FB"/>
    <w:rsid w:val="00697EC8"/>
    <w:rsid w:val="006A6A81"/>
    <w:rsid w:val="006B4F79"/>
    <w:rsid w:val="006B5B39"/>
    <w:rsid w:val="006B7347"/>
    <w:rsid w:val="006C1E1C"/>
    <w:rsid w:val="006C28C2"/>
    <w:rsid w:val="006C2C76"/>
    <w:rsid w:val="006C2FF2"/>
    <w:rsid w:val="006C7DCB"/>
    <w:rsid w:val="006D0D34"/>
    <w:rsid w:val="006D0DFC"/>
    <w:rsid w:val="006D20E1"/>
    <w:rsid w:val="006D4981"/>
    <w:rsid w:val="006D5C18"/>
    <w:rsid w:val="006D68BC"/>
    <w:rsid w:val="006E26AF"/>
    <w:rsid w:val="006E2A6C"/>
    <w:rsid w:val="006E38AB"/>
    <w:rsid w:val="006E45B5"/>
    <w:rsid w:val="006F0F80"/>
    <w:rsid w:val="006F1017"/>
    <w:rsid w:val="006F6EDE"/>
    <w:rsid w:val="006F7393"/>
    <w:rsid w:val="0070224F"/>
    <w:rsid w:val="0070436F"/>
    <w:rsid w:val="007076DA"/>
    <w:rsid w:val="0071033F"/>
    <w:rsid w:val="007115F7"/>
    <w:rsid w:val="00713184"/>
    <w:rsid w:val="0071522C"/>
    <w:rsid w:val="00715278"/>
    <w:rsid w:val="007163E7"/>
    <w:rsid w:val="00720DAC"/>
    <w:rsid w:val="00720EB7"/>
    <w:rsid w:val="00720F78"/>
    <w:rsid w:val="00723FBD"/>
    <w:rsid w:val="007251EF"/>
    <w:rsid w:val="00725C0A"/>
    <w:rsid w:val="007316A3"/>
    <w:rsid w:val="00736EED"/>
    <w:rsid w:val="00740EB6"/>
    <w:rsid w:val="007419F2"/>
    <w:rsid w:val="00747E54"/>
    <w:rsid w:val="007526BD"/>
    <w:rsid w:val="0075641C"/>
    <w:rsid w:val="007622E0"/>
    <w:rsid w:val="00762583"/>
    <w:rsid w:val="00763F21"/>
    <w:rsid w:val="00764A0B"/>
    <w:rsid w:val="0076573E"/>
    <w:rsid w:val="00766F09"/>
    <w:rsid w:val="00771049"/>
    <w:rsid w:val="007739AD"/>
    <w:rsid w:val="00776526"/>
    <w:rsid w:val="00776ABB"/>
    <w:rsid w:val="00785689"/>
    <w:rsid w:val="0078602E"/>
    <w:rsid w:val="0079754B"/>
    <w:rsid w:val="007A1E6D"/>
    <w:rsid w:val="007A3DF5"/>
    <w:rsid w:val="007B1639"/>
    <w:rsid w:val="007B25AA"/>
    <w:rsid w:val="007B2A8E"/>
    <w:rsid w:val="007B4172"/>
    <w:rsid w:val="007B65D2"/>
    <w:rsid w:val="007B7428"/>
    <w:rsid w:val="007C0ABB"/>
    <w:rsid w:val="007C12F9"/>
    <w:rsid w:val="007C1FF9"/>
    <w:rsid w:val="007C6010"/>
    <w:rsid w:val="007E22B0"/>
    <w:rsid w:val="007E4CB6"/>
    <w:rsid w:val="007F0CBB"/>
    <w:rsid w:val="007F3652"/>
    <w:rsid w:val="007F70D8"/>
    <w:rsid w:val="00800C23"/>
    <w:rsid w:val="00801E13"/>
    <w:rsid w:val="00803E28"/>
    <w:rsid w:val="0080669D"/>
    <w:rsid w:val="00817CF8"/>
    <w:rsid w:val="00819C9B"/>
    <w:rsid w:val="00822549"/>
    <w:rsid w:val="00822CE0"/>
    <w:rsid w:val="0082315A"/>
    <w:rsid w:val="00823982"/>
    <w:rsid w:val="00825177"/>
    <w:rsid w:val="00825778"/>
    <w:rsid w:val="008279C2"/>
    <w:rsid w:val="0083261A"/>
    <w:rsid w:val="00835FAD"/>
    <w:rsid w:val="008376A1"/>
    <w:rsid w:val="00837C62"/>
    <w:rsid w:val="00841AB1"/>
    <w:rsid w:val="008451F5"/>
    <w:rsid w:val="00845BB3"/>
    <w:rsid w:val="00847942"/>
    <w:rsid w:val="0086390D"/>
    <w:rsid w:val="00870177"/>
    <w:rsid w:val="00874B34"/>
    <w:rsid w:val="00881A9F"/>
    <w:rsid w:val="00883D54"/>
    <w:rsid w:val="008846DD"/>
    <w:rsid w:val="00887954"/>
    <w:rsid w:val="00887F9A"/>
    <w:rsid w:val="00890971"/>
    <w:rsid w:val="00891DA7"/>
    <w:rsid w:val="00893E80"/>
    <w:rsid w:val="00895BCC"/>
    <w:rsid w:val="00896011"/>
    <w:rsid w:val="00897544"/>
    <w:rsid w:val="008A146C"/>
    <w:rsid w:val="008A393A"/>
    <w:rsid w:val="008A4C00"/>
    <w:rsid w:val="008A61D9"/>
    <w:rsid w:val="008B594C"/>
    <w:rsid w:val="008B5BD2"/>
    <w:rsid w:val="008C09FC"/>
    <w:rsid w:val="008C0A27"/>
    <w:rsid w:val="008C1ED0"/>
    <w:rsid w:val="008C22FD"/>
    <w:rsid w:val="008C73DE"/>
    <w:rsid w:val="008D09B4"/>
    <w:rsid w:val="008D16C9"/>
    <w:rsid w:val="008D2E77"/>
    <w:rsid w:val="008D50AC"/>
    <w:rsid w:val="008D5F4D"/>
    <w:rsid w:val="008D6D1B"/>
    <w:rsid w:val="008D7514"/>
    <w:rsid w:val="008E031C"/>
    <w:rsid w:val="008E1509"/>
    <w:rsid w:val="008E2BE3"/>
    <w:rsid w:val="008E7F56"/>
    <w:rsid w:val="008F3D02"/>
    <w:rsid w:val="008F4743"/>
    <w:rsid w:val="008F7477"/>
    <w:rsid w:val="008F76D8"/>
    <w:rsid w:val="00905813"/>
    <w:rsid w:val="00910F12"/>
    <w:rsid w:val="009143B9"/>
    <w:rsid w:val="00914EBB"/>
    <w:rsid w:val="00917E1F"/>
    <w:rsid w:val="00926503"/>
    <w:rsid w:val="0093086D"/>
    <w:rsid w:val="00930ECF"/>
    <w:rsid w:val="0094234A"/>
    <w:rsid w:val="0094556E"/>
    <w:rsid w:val="00953A84"/>
    <w:rsid w:val="0095531F"/>
    <w:rsid w:val="0096529F"/>
    <w:rsid w:val="00970990"/>
    <w:rsid w:val="009753E9"/>
    <w:rsid w:val="00977F6A"/>
    <w:rsid w:val="009830CD"/>
    <w:rsid w:val="009838BC"/>
    <w:rsid w:val="00985AB5"/>
    <w:rsid w:val="009907DB"/>
    <w:rsid w:val="00995C1E"/>
    <w:rsid w:val="00996A42"/>
    <w:rsid w:val="009A05B4"/>
    <w:rsid w:val="009A480B"/>
    <w:rsid w:val="009B192D"/>
    <w:rsid w:val="009B1D89"/>
    <w:rsid w:val="009B2956"/>
    <w:rsid w:val="009B552E"/>
    <w:rsid w:val="009B5966"/>
    <w:rsid w:val="009C41BA"/>
    <w:rsid w:val="009C6C4D"/>
    <w:rsid w:val="009C75C2"/>
    <w:rsid w:val="009D063B"/>
    <w:rsid w:val="009E4873"/>
    <w:rsid w:val="009E4BAA"/>
    <w:rsid w:val="009F3F7A"/>
    <w:rsid w:val="009F4388"/>
    <w:rsid w:val="009F6557"/>
    <w:rsid w:val="00A02489"/>
    <w:rsid w:val="00A02998"/>
    <w:rsid w:val="00A068ED"/>
    <w:rsid w:val="00A0762E"/>
    <w:rsid w:val="00A12EE4"/>
    <w:rsid w:val="00A13ACF"/>
    <w:rsid w:val="00A168B5"/>
    <w:rsid w:val="00A17EB3"/>
    <w:rsid w:val="00A20BAC"/>
    <w:rsid w:val="00A30E05"/>
    <w:rsid w:val="00A30E15"/>
    <w:rsid w:val="00A45F4F"/>
    <w:rsid w:val="00A50EDC"/>
    <w:rsid w:val="00A51CAA"/>
    <w:rsid w:val="00A52E41"/>
    <w:rsid w:val="00A600A9"/>
    <w:rsid w:val="00A63502"/>
    <w:rsid w:val="00A658F4"/>
    <w:rsid w:val="00A72FC1"/>
    <w:rsid w:val="00A73058"/>
    <w:rsid w:val="00A77D68"/>
    <w:rsid w:val="00A81C71"/>
    <w:rsid w:val="00A81F22"/>
    <w:rsid w:val="00A83D74"/>
    <w:rsid w:val="00A8490C"/>
    <w:rsid w:val="00A85560"/>
    <w:rsid w:val="00A866AC"/>
    <w:rsid w:val="00A87C35"/>
    <w:rsid w:val="00A90409"/>
    <w:rsid w:val="00A91C63"/>
    <w:rsid w:val="00A92610"/>
    <w:rsid w:val="00A92639"/>
    <w:rsid w:val="00A94EEF"/>
    <w:rsid w:val="00A950A7"/>
    <w:rsid w:val="00A953EB"/>
    <w:rsid w:val="00A9563E"/>
    <w:rsid w:val="00AA34E1"/>
    <w:rsid w:val="00AA55B7"/>
    <w:rsid w:val="00AA5B9E"/>
    <w:rsid w:val="00AA78E3"/>
    <w:rsid w:val="00AB2407"/>
    <w:rsid w:val="00AB2E96"/>
    <w:rsid w:val="00AB4A11"/>
    <w:rsid w:val="00AB53DF"/>
    <w:rsid w:val="00AB7282"/>
    <w:rsid w:val="00AC1600"/>
    <w:rsid w:val="00AC1D60"/>
    <w:rsid w:val="00AD2CC0"/>
    <w:rsid w:val="00AD68DE"/>
    <w:rsid w:val="00AD7571"/>
    <w:rsid w:val="00AE1C12"/>
    <w:rsid w:val="00AE21EF"/>
    <w:rsid w:val="00AE5695"/>
    <w:rsid w:val="00AF0429"/>
    <w:rsid w:val="00AF122E"/>
    <w:rsid w:val="00AF3B35"/>
    <w:rsid w:val="00AF6346"/>
    <w:rsid w:val="00B01AAC"/>
    <w:rsid w:val="00B02682"/>
    <w:rsid w:val="00B05C3E"/>
    <w:rsid w:val="00B068B6"/>
    <w:rsid w:val="00B070A9"/>
    <w:rsid w:val="00B07E5C"/>
    <w:rsid w:val="00B11539"/>
    <w:rsid w:val="00B11950"/>
    <w:rsid w:val="00B20AD1"/>
    <w:rsid w:val="00B22BBF"/>
    <w:rsid w:val="00B27573"/>
    <w:rsid w:val="00B31641"/>
    <w:rsid w:val="00B326E3"/>
    <w:rsid w:val="00B32722"/>
    <w:rsid w:val="00B37578"/>
    <w:rsid w:val="00B37AB9"/>
    <w:rsid w:val="00B41575"/>
    <w:rsid w:val="00B4234E"/>
    <w:rsid w:val="00B43FEF"/>
    <w:rsid w:val="00B52D64"/>
    <w:rsid w:val="00B54DD8"/>
    <w:rsid w:val="00B57ADB"/>
    <w:rsid w:val="00B57E45"/>
    <w:rsid w:val="00B66C4B"/>
    <w:rsid w:val="00B70E15"/>
    <w:rsid w:val="00B80FDA"/>
    <w:rsid w:val="00B811F7"/>
    <w:rsid w:val="00B81244"/>
    <w:rsid w:val="00B835B3"/>
    <w:rsid w:val="00B85291"/>
    <w:rsid w:val="00B8616F"/>
    <w:rsid w:val="00B93C9B"/>
    <w:rsid w:val="00B9527B"/>
    <w:rsid w:val="00BA0936"/>
    <w:rsid w:val="00BA1309"/>
    <w:rsid w:val="00BA5DC6"/>
    <w:rsid w:val="00BA6196"/>
    <w:rsid w:val="00BA7FE9"/>
    <w:rsid w:val="00BB1136"/>
    <w:rsid w:val="00BB5525"/>
    <w:rsid w:val="00BB626C"/>
    <w:rsid w:val="00BC04FF"/>
    <w:rsid w:val="00BC252F"/>
    <w:rsid w:val="00BC6D8C"/>
    <w:rsid w:val="00BD37F7"/>
    <w:rsid w:val="00BD438B"/>
    <w:rsid w:val="00BD72E9"/>
    <w:rsid w:val="00BE3A67"/>
    <w:rsid w:val="00BF1826"/>
    <w:rsid w:val="00BF4914"/>
    <w:rsid w:val="00C033D5"/>
    <w:rsid w:val="00C05737"/>
    <w:rsid w:val="00C0768F"/>
    <w:rsid w:val="00C11B81"/>
    <w:rsid w:val="00C16AF2"/>
    <w:rsid w:val="00C248EC"/>
    <w:rsid w:val="00C24BE4"/>
    <w:rsid w:val="00C27A22"/>
    <w:rsid w:val="00C34006"/>
    <w:rsid w:val="00C34256"/>
    <w:rsid w:val="00C426B1"/>
    <w:rsid w:val="00C42D43"/>
    <w:rsid w:val="00C42F80"/>
    <w:rsid w:val="00C43876"/>
    <w:rsid w:val="00C445DD"/>
    <w:rsid w:val="00C52906"/>
    <w:rsid w:val="00C52E20"/>
    <w:rsid w:val="00C53F8B"/>
    <w:rsid w:val="00C54631"/>
    <w:rsid w:val="00C61B3C"/>
    <w:rsid w:val="00C62385"/>
    <w:rsid w:val="00C6345B"/>
    <w:rsid w:val="00C638F4"/>
    <w:rsid w:val="00C64153"/>
    <w:rsid w:val="00C64F64"/>
    <w:rsid w:val="00C655DC"/>
    <w:rsid w:val="00C7190C"/>
    <w:rsid w:val="00C7254C"/>
    <w:rsid w:val="00C7331E"/>
    <w:rsid w:val="00C7338B"/>
    <w:rsid w:val="00C76C94"/>
    <w:rsid w:val="00C82B6B"/>
    <w:rsid w:val="00C8329B"/>
    <w:rsid w:val="00C84034"/>
    <w:rsid w:val="00C85F61"/>
    <w:rsid w:val="00C86764"/>
    <w:rsid w:val="00C87496"/>
    <w:rsid w:val="00C90C3B"/>
    <w:rsid w:val="00C90D6A"/>
    <w:rsid w:val="00CA335F"/>
    <w:rsid w:val="00CA4CC6"/>
    <w:rsid w:val="00CB0211"/>
    <w:rsid w:val="00CB71EA"/>
    <w:rsid w:val="00CB7AFB"/>
    <w:rsid w:val="00CC07E6"/>
    <w:rsid w:val="00CC2104"/>
    <w:rsid w:val="00CC2380"/>
    <w:rsid w:val="00CC4551"/>
    <w:rsid w:val="00CC72B6"/>
    <w:rsid w:val="00CC7E32"/>
    <w:rsid w:val="00CC7FCD"/>
    <w:rsid w:val="00CD46C4"/>
    <w:rsid w:val="00CD6328"/>
    <w:rsid w:val="00CE32A1"/>
    <w:rsid w:val="00CE530F"/>
    <w:rsid w:val="00CE5764"/>
    <w:rsid w:val="00CE60EC"/>
    <w:rsid w:val="00CF0B1E"/>
    <w:rsid w:val="00CF1417"/>
    <w:rsid w:val="00CF3B08"/>
    <w:rsid w:val="00CF424C"/>
    <w:rsid w:val="00D01CD0"/>
    <w:rsid w:val="00D0218D"/>
    <w:rsid w:val="00D0277F"/>
    <w:rsid w:val="00D03428"/>
    <w:rsid w:val="00D03C99"/>
    <w:rsid w:val="00D06044"/>
    <w:rsid w:val="00D13308"/>
    <w:rsid w:val="00D13678"/>
    <w:rsid w:val="00D14F4B"/>
    <w:rsid w:val="00D165D5"/>
    <w:rsid w:val="00D17B30"/>
    <w:rsid w:val="00D216CD"/>
    <w:rsid w:val="00D22705"/>
    <w:rsid w:val="00D23DD1"/>
    <w:rsid w:val="00D317EB"/>
    <w:rsid w:val="00D364F6"/>
    <w:rsid w:val="00D42B9E"/>
    <w:rsid w:val="00D46493"/>
    <w:rsid w:val="00D47690"/>
    <w:rsid w:val="00D47F88"/>
    <w:rsid w:val="00D50F8D"/>
    <w:rsid w:val="00D52317"/>
    <w:rsid w:val="00D52A23"/>
    <w:rsid w:val="00D52D1F"/>
    <w:rsid w:val="00D55DC8"/>
    <w:rsid w:val="00D65031"/>
    <w:rsid w:val="00D65BC5"/>
    <w:rsid w:val="00D67E44"/>
    <w:rsid w:val="00D72D13"/>
    <w:rsid w:val="00D75D1E"/>
    <w:rsid w:val="00D76F65"/>
    <w:rsid w:val="00D77E2C"/>
    <w:rsid w:val="00D831AE"/>
    <w:rsid w:val="00D90921"/>
    <w:rsid w:val="00D944AE"/>
    <w:rsid w:val="00DA2529"/>
    <w:rsid w:val="00DA334A"/>
    <w:rsid w:val="00DA7ED1"/>
    <w:rsid w:val="00DB0B85"/>
    <w:rsid w:val="00DB130A"/>
    <w:rsid w:val="00DB1A41"/>
    <w:rsid w:val="00DB1E5B"/>
    <w:rsid w:val="00DB4AC1"/>
    <w:rsid w:val="00DC10A1"/>
    <w:rsid w:val="00DC1F72"/>
    <w:rsid w:val="00DC392D"/>
    <w:rsid w:val="00DC655F"/>
    <w:rsid w:val="00DD04B5"/>
    <w:rsid w:val="00DD187E"/>
    <w:rsid w:val="00DD3198"/>
    <w:rsid w:val="00DD34EF"/>
    <w:rsid w:val="00DD4636"/>
    <w:rsid w:val="00DD7EBD"/>
    <w:rsid w:val="00DE02A3"/>
    <w:rsid w:val="00DE0820"/>
    <w:rsid w:val="00DE2CB1"/>
    <w:rsid w:val="00DE3E0D"/>
    <w:rsid w:val="00DF085C"/>
    <w:rsid w:val="00DF5D42"/>
    <w:rsid w:val="00DF62B6"/>
    <w:rsid w:val="00E002D6"/>
    <w:rsid w:val="00E01422"/>
    <w:rsid w:val="00E024DB"/>
    <w:rsid w:val="00E04928"/>
    <w:rsid w:val="00E05416"/>
    <w:rsid w:val="00E07225"/>
    <w:rsid w:val="00E121D0"/>
    <w:rsid w:val="00E125EC"/>
    <w:rsid w:val="00E143BC"/>
    <w:rsid w:val="00E15489"/>
    <w:rsid w:val="00E155B7"/>
    <w:rsid w:val="00E20EDC"/>
    <w:rsid w:val="00E26DC6"/>
    <w:rsid w:val="00E30813"/>
    <w:rsid w:val="00E41BCD"/>
    <w:rsid w:val="00E423A1"/>
    <w:rsid w:val="00E468EB"/>
    <w:rsid w:val="00E51F5D"/>
    <w:rsid w:val="00E52A66"/>
    <w:rsid w:val="00E52BEC"/>
    <w:rsid w:val="00E53600"/>
    <w:rsid w:val="00E5409F"/>
    <w:rsid w:val="00E551CD"/>
    <w:rsid w:val="00E56F49"/>
    <w:rsid w:val="00E61405"/>
    <w:rsid w:val="00E616AB"/>
    <w:rsid w:val="00E70029"/>
    <w:rsid w:val="00E71426"/>
    <w:rsid w:val="00E75403"/>
    <w:rsid w:val="00E76790"/>
    <w:rsid w:val="00E800E4"/>
    <w:rsid w:val="00E8337A"/>
    <w:rsid w:val="00E90255"/>
    <w:rsid w:val="00E91E6D"/>
    <w:rsid w:val="00E92289"/>
    <w:rsid w:val="00E967F2"/>
    <w:rsid w:val="00E968F2"/>
    <w:rsid w:val="00E97C72"/>
    <w:rsid w:val="00EA1D33"/>
    <w:rsid w:val="00EA3C38"/>
    <w:rsid w:val="00EA5A75"/>
    <w:rsid w:val="00EA6C52"/>
    <w:rsid w:val="00EA7DF1"/>
    <w:rsid w:val="00EB52C5"/>
    <w:rsid w:val="00EB6664"/>
    <w:rsid w:val="00EB7A36"/>
    <w:rsid w:val="00EC0185"/>
    <w:rsid w:val="00EC4B59"/>
    <w:rsid w:val="00EC62ED"/>
    <w:rsid w:val="00ED0293"/>
    <w:rsid w:val="00ED5701"/>
    <w:rsid w:val="00ED5EF0"/>
    <w:rsid w:val="00ED711C"/>
    <w:rsid w:val="00ED72AA"/>
    <w:rsid w:val="00EE1CAE"/>
    <w:rsid w:val="00EE4777"/>
    <w:rsid w:val="00EE5623"/>
    <w:rsid w:val="00EF1C76"/>
    <w:rsid w:val="00EF4CBF"/>
    <w:rsid w:val="00EF648D"/>
    <w:rsid w:val="00F017F6"/>
    <w:rsid w:val="00F021FA"/>
    <w:rsid w:val="00F02501"/>
    <w:rsid w:val="00F02CF1"/>
    <w:rsid w:val="00F04E5C"/>
    <w:rsid w:val="00F07D23"/>
    <w:rsid w:val="00F12730"/>
    <w:rsid w:val="00F151B2"/>
    <w:rsid w:val="00F15A75"/>
    <w:rsid w:val="00F164F1"/>
    <w:rsid w:val="00F23328"/>
    <w:rsid w:val="00F301E1"/>
    <w:rsid w:val="00F30A01"/>
    <w:rsid w:val="00F30AFD"/>
    <w:rsid w:val="00F3509A"/>
    <w:rsid w:val="00F35770"/>
    <w:rsid w:val="00F3662D"/>
    <w:rsid w:val="00F4045D"/>
    <w:rsid w:val="00F43443"/>
    <w:rsid w:val="00F4402A"/>
    <w:rsid w:val="00F45B45"/>
    <w:rsid w:val="00F46CCC"/>
    <w:rsid w:val="00F4705A"/>
    <w:rsid w:val="00F47B37"/>
    <w:rsid w:val="00F50B8A"/>
    <w:rsid w:val="00F51ECF"/>
    <w:rsid w:val="00F53A9F"/>
    <w:rsid w:val="00F53CB2"/>
    <w:rsid w:val="00F57ACA"/>
    <w:rsid w:val="00F628D9"/>
    <w:rsid w:val="00F62E97"/>
    <w:rsid w:val="00F633AD"/>
    <w:rsid w:val="00F64209"/>
    <w:rsid w:val="00F71E4B"/>
    <w:rsid w:val="00F72163"/>
    <w:rsid w:val="00F729C3"/>
    <w:rsid w:val="00F73DB1"/>
    <w:rsid w:val="00F73E9E"/>
    <w:rsid w:val="00F86E56"/>
    <w:rsid w:val="00F86F1D"/>
    <w:rsid w:val="00F93BF5"/>
    <w:rsid w:val="00F96F63"/>
    <w:rsid w:val="00FA1332"/>
    <w:rsid w:val="00FA3B4A"/>
    <w:rsid w:val="00FB09EC"/>
    <w:rsid w:val="00FB26A0"/>
    <w:rsid w:val="00FC0AE4"/>
    <w:rsid w:val="00FC0EBC"/>
    <w:rsid w:val="00FC72B3"/>
    <w:rsid w:val="00FD29BE"/>
    <w:rsid w:val="00FD4C8F"/>
    <w:rsid w:val="00FD6929"/>
    <w:rsid w:val="00FD694C"/>
    <w:rsid w:val="00FE2A81"/>
    <w:rsid w:val="00FE4205"/>
    <w:rsid w:val="00FF0A8B"/>
    <w:rsid w:val="00FF358F"/>
    <w:rsid w:val="00FF56B2"/>
    <w:rsid w:val="00FF5F5E"/>
    <w:rsid w:val="00FF6148"/>
    <w:rsid w:val="00FF702F"/>
    <w:rsid w:val="00FF7781"/>
    <w:rsid w:val="0217C70E"/>
    <w:rsid w:val="024E549C"/>
    <w:rsid w:val="02E1E1FC"/>
    <w:rsid w:val="04D6A538"/>
    <w:rsid w:val="056F2352"/>
    <w:rsid w:val="087E5D72"/>
    <w:rsid w:val="08836051"/>
    <w:rsid w:val="0892C1F6"/>
    <w:rsid w:val="094AEEBE"/>
    <w:rsid w:val="09ACA454"/>
    <w:rsid w:val="0A4F06E6"/>
    <w:rsid w:val="0B276D7C"/>
    <w:rsid w:val="0FC781B7"/>
    <w:rsid w:val="0FEDB9DB"/>
    <w:rsid w:val="0FFCBA4F"/>
    <w:rsid w:val="10B0C43D"/>
    <w:rsid w:val="111B7534"/>
    <w:rsid w:val="12B7A61F"/>
    <w:rsid w:val="13C737B9"/>
    <w:rsid w:val="14048A31"/>
    <w:rsid w:val="14D44427"/>
    <w:rsid w:val="166BFBD3"/>
    <w:rsid w:val="19444A2B"/>
    <w:rsid w:val="1E33B3A1"/>
    <w:rsid w:val="1E5BA88A"/>
    <w:rsid w:val="1F0DD3F8"/>
    <w:rsid w:val="1F8C003D"/>
    <w:rsid w:val="1FA53E0A"/>
    <w:rsid w:val="225A78EB"/>
    <w:rsid w:val="22D556E5"/>
    <w:rsid w:val="24712746"/>
    <w:rsid w:val="2685123E"/>
    <w:rsid w:val="27A8FB96"/>
    <w:rsid w:val="29E27BA9"/>
    <w:rsid w:val="2AC7A0F7"/>
    <w:rsid w:val="2C325760"/>
    <w:rsid w:val="2CD89114"/>
    <w:rsid w:val="2E9FD6F3"/>
    <w:rsid w:val="2EF3B183"/>
    <w:rsid w:val="2F2851E1"/>
    <w:rsid w:val="2F8D1F25"/>
    <w:rsid w:val="305CCD4F"/>
    <w:rsid w:val="30EBACE0"/>
    <w:rsid w:val="321BABF4"/>
    <w:rsid w:val="32D60CDB"/>
    <w:rsid w:val="33AA71AF"/>
    <w:rsid w:val="364F3D11"/>
    <w:rsid w:val="367552E7"/>
    <w:rsid w:val="368B2145"/>
    <w:rsid w:val="399EE47B"/>
    <w:rsid w:val="3A110813"/>
    <w:rsid w:val="3E1BF565"/>
    <w:rsid w:val="410B465A"/>
    <w:rsid w:val="4175F6A5"/>
    <w:rsid w:val="422BF23D"/>
    <w:rsid w:val="42310FEA"/>
    <w:rsid w:val="424068AE"/>
    <w:rsid w:val="447A1C4F"/>
    <w:rsid w:val="455F419D"/>
    <w:rsid w:val="458511C0"/>
    <w:rsid w:val="46FB11FE"/>
    <w:rsid w:val="477013FB"/>
    <w:rsid w:val="47EFD3EF"/>
    <w:rsid w:val="4896E25F"/>
    <w:rsid w:val="4B1C4862"/>
    <w:rsid w:val="4E760266"/>
    <w:rsid w:val="4E823F88"/>
    <w:rsid w:val="4F26905C"/>
    <w:rsid w:val="4FC82814"/>
    <w:rsid w:val="52B2CF31"/>
    <w:rsid w:val="549EF4F5"/>
    <w:rsid w:val="54CB5686"/>
    <w:rsid w:val="5633FE00"/>
    <w:rsid w:val="5719234E"/>
    <w:rsid w:val="5761765E"/>
    <w:rsid w:val="58015975"/>
    <w:rsid w:val="582C3005"/>
    <w:rsid w:val="5A26CFDC"/>
    <w:rsid w:val="5D9D96FC"/>
    <w:rsid w:val="5F243533"/>
    <w:rsid w:val="5F399A2E"/>
    <w:rsid w:val="61AFED3B"/>
    <w:rsid w:val="62D0F9A9"/>
    <w:rsid w:val="64515A83"/>
    <w:rsid w:val="64C6B420"/>
    <w:rsid w:val="6607DD0A"/>
    <w:rsid w:val="66186AC4"/>
    <w:rsid w:val="66697DC6"/>
    <w:rsid w:val="68B33649"/>
    <w:rsid w:val="68CBDADD"/>
    <w:rsid w:val="69B7D7F2"/>
    <w:rsid w:val="6ABEDB4C"/>
    <w:rsid w:val="6C2CF753"/>
    <w:rsid w:val="71797D46"/>
    <w:rsid w:val="72C3D0AB"/>
    <w:rsid w:val="7373CB9F"/>
    <w:rsid w:val="73864B91"/>
    <w:rsid w:val="73AEB052"/>
    <w:rsid w:val="75FD0DDD"/>
    <w:rsid w:val="77AECB27"/>
    <w:rsid w:val="788DB9F6"/>
    <w:rsid w:val="79BB754F"/>
    <w:rsid w:val="79D13AD4"/>
    <w:rsid w:val="7B57A63A"/>
    <w:rsid w:val="7C845620"/>
    <w:rsid w:val="7D289796"/>
    <w:rsid w:val="7F514B2D"/>
    <w:rsid w:val="7FAA4139"/>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77A"/>
    <w:pPr>
      <w:widowControl w:val="0"/>
    </w:pPr>
    <w:rPr>
      <w:snapToGrid w:val="0"/>
      <w:kern w:val="28"/>
      <w:sz w:val="22"/>
    </w:rPr>
  </w:style>
  <w:style w:type="paragraph" w:styleId="Heading1">
    <w:name w:val="heading 1"/>
    <w:basedOn w:val="Normal"/>
    <w:next w:val="ParaNum"/>
    <w:qFormat/>
    <w:rsid w:val="005E677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E677A"/>
    <w:pPr>
      <w:keepNext/>
      <w:numPr>
        <w:ilvl w:val="1"/>
        <w:numId w:val="3"/>
      </w:numPr>
      <w:spacing w:after="120"/>
      <w:outlineLvl w:val="1"/>
    </w:pPr>
    <w:rPr>
      <w:b/>
    </w:rPr>
  </w:style>
  <w:style w:type="paragraph" w:styleId="Heading3">
    <w:name w:val="heading 3"/>
    <w:basedOn w:val="Normal"/>
    <w:next w:val="ParaNum"/>
    <w:qFormat/>
    <w:rsid w:val="005E677A"/>
    <w:pPr>
      <w:keepNext/>
      <w:numPr>
        <w:ilvl w:val="2"/>
        <w:numId w:val="3"/>
      </w:numPr>
      <w:tabs>
        <w:tab w:val="left" w:pos="2160"/>
      </w:tabs>
      <w:spacing w:after="120"/>
      <w:outlineLvl w:val="2"/>
    </w:pPr>
    <w:rPr>
      <w:b/>
    </w:rPr>
  </w:style>
  <w:style w:type="paragraph" w:styleId="Heading4">
    <w:name w:val="heading 4"/>
    <w:basedOn w:val="Normal"/>
    <w:next w:val="ParaNum"/>
    <w:qFormat/>
    <w:rsid w:val="005E677A"/>
    <w:pPr>
      <w:keepNext/>
      <w:numPr>
        <w:ilvl w:val="3"/>
        <w:numId w:val="3"/>
      </w:numPr>
      <w:tabs>
        <w:tab w:val="left" w:pos="2880"/>
      </w:tabs>
      <w:spacing w:after="120"/>
      <w:outlineLvl w:val="3"/>
    </w:pPr>
    <w:rPr>
      <w:b/>
    </w:rPr>
  </w:style>
  <w:style w:type="paragraph" w:styleId="Heading5">
    <w:name w:val="heading 5"/>
    <w:basedOn w:val="Normal"/>
    <w:next w:val="ParaNum"/>
    <w:qFormat/>
    <w:rsid w:val="005E677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E677A"/>
    <w:pPr>
      <w:numPr>
        <w:ilvl w:val="5"/>
        <w:numId w:val="3"/>
      </w:numPr>
      <w:tabs>
        <w:tab w:val="left" w:pos="4320"/>
      </w:tabs>
      <w:spacing w:after="120"/>
      <w:outlineLvl w:val="5"/>
    </w:pPr>
    <w:rPr>
      <w:b/>
    </w:rPr>
  </w:style>
  <w:style w:type="paragraph" w:styleId="Heading7">
    <w:name w:val="heading 7"/>
    <w:basedOn w:val="Normal"/>
    <w:next w:val="ParaNum"/>
    <w:qFormat/>
    <w:rsid w:val="005E677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E677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E677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5E67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5E677A"/>
  </w:style>
  <w:style w:type="paragraph" w:customStyle="1" w:styleId="ParaNum">
    <w:name w:val="ParaNum"/>
    <w:basedOn w:val="Normal"/>
    <w:link w:val="ParaNumChar1"/>
    <w:rsid w:val="005E677A"/>
    <w:pPr>
      <w:numPr>
        <w:numId w:val="2"/>
      </w:numPr>
      <w:tabs>
        <w:tab w:val="clear" w:pos="1080"/>
        <w:tab w:val="num" w:pos="1440"/>
      </w:tabs>
      <w:spacing w:after="120"/>
    </w:pPr>
  </w:style>
  <w:style w:type="paragraph" w:styleId="EndnoteText">
    <w:name w:val="endnote text"/>
    <w:basedOn w:val="Normal"/>
    <w:semiHidden/>
    <w:rsid w:val="005E677A"/>
    <w:rPr>
      <w:sz w:val="20"/>
    </w:rPr>
  </w:style>
  <w:style w:type="character" w:styleId="EndnoteReference">
    <w:name w:val="endnote reference"/>
    <w:semiHidden/>
    <w:rsid w:val="005E677A"/>
    <w:rPr>
      <w:vertAlign w:val="superscript"/>
    </w:rPr>
  </w:style>
  <w:style w:type="paragraph" w:styleId="FootnoteText">
    <w:name w:val="footnote text"/>
    <w:aliases w:val="Char Char Char,Footnote Text Char Char Char Char,Footnote Text Char1 Char,Footnote Text Char1 Char Char,Footnote Text Char1 Char1 Char Char Char Char,Footnote Text Char2,Footnote Text Char2 Char,Footnote Text Char2 Char Char Char Char,f,fn"/>
    <w:link w:val="FootnoteTextChar"/>
    <w:rsid w:val="005E677A"/>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5E677A"/>
    <w:rPr>
      <w:rFonts w:ascii="Times New Roman" w:hAnsi="Times New Roman"/>
      <w:dstrike w:val="0"/>
      <w:color w:val="auto"/>
      <w:sz w:val="22"/>
      <w:vertAlign w:val="superscript"/>
    </w:rPr>
  </w:style>
  <w:style w:type="paragraph" w:styleId="TOC1">
    <w:name w:val="toc 1"/>
    <w:basedOn w:val="Normal"/>
    <w:next w:val="Normal"/>
    <w:uiPriority w:val="39"/>
    <w:rsid w:val="005E677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E677A"/>
    <w:pPr>
      <w:tabs>
        <w:tab w:val="left" w:pos="720"/>
        <w:tab w:val="right" w:leader="dot" w:pos="9360"/>
      </w:tabs>
      <w:suppressAutoHyphens/>
      <w:ind w:left="720" w:right="720" w:hanging="360"/>
    </w:pPr>
    <w:rPr>
      <w:noProof/>
    </w:rPr>
  </w:style>
  <w:style w:type="paragraph" w:styleId="TOC3">
    <w:name w:val="toc 3"/>
    <w:basedOn w:val="Normal"/>
    <w:next w:val="Normal"/>
    <w:semiHidden/>
    <w:rsid w:val="005E677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E677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E677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E677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E677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E677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E677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E677A"/>
    <w:pPr>
      <w:tabs>
        <w:tab w:val="right" w:pos="9360"/>
      </w:tabs>
      <w:suppressAutoHyphens/>
    </w:pPr>
  </w:style>
  <w:style w:type="character" w:customStyle="1" w:styleId="EquationCaption">
    <w:name w:val="_Equation Caption"/>
    <w:rsid w:val="005E677A"/>
  </w:style>
  <w:style w:type="paragraph" w:styleId="Header">
    <w:name w:val="header"/>
    <w:basedOn w:val="Normal"/>
    <w:autoRedefine/>
    <w:rsid w:val="005E677A"/>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rsid w:val="005E677A"/>
    <w:pPr>
      <w:tabs>
        <w:tab w:val="center" w:pos="4320"/>
        <w:tab w:val="right" w:pos="8640"/>
      </w:tabs>
    </w:pPr>
  </w:style>
  <w:style w:type="character" w:styleId="PageNumber">
    <w:name w:val="page number"/>
    <w:basedOn w:val="DefaultParagraphFont"/>
    <w:rsid w:val="005E677A"/>
  </w:style>
  <w:style w:type="paragraph" w:styleId="BlockText">
    <w:name w:val="Block Text"/>
    <w:basedOn w:val="Normal"/>
    <w:rsid w:val="005E677A"/>
    <w:pPr>
      <w:spacing w:after="240"/>
      <w:ind w:left="1440" w:right="1440"/>
    </w:pPr>
  </w:style>
  <w:style w:type="paragraph" w:customStyle="1" w:styleId="Paratitle">
    <w:name w:val="Para title"/>
    <w:basedOn w:val="Normal"/>
    <w:rsid w:val="005E677A"/>
    <w:pPr>
      <w:tabs>
        <w:tab w:val="center" w:pos="9270"/>
      </w:tabs>
      <w:spacing w:after="240"/>
    </w:pPr>
    <w:rPr>
      <w:spacing w:val="-2"/>
    </w:rPr>
  </w:style>
  <w:style w:type="paragraph" w:customStyle="1" w:styleId="Bullet">
    <w:name w:val="Bullet"/>
    <w:basedOn w:val="Normal"/>
    <w:rsid w:val="005E677A"/>
    <w:pPr>
      <w:numPr>
        <w:numId w:val="1"/>
      </w:numPr>
      <w:tabs>
        <w:tab w:val="clear" w:pos="360"/>
        <w:tab w:val="left" w:pos="2160"/>
      </w:tabs>
      <w:spacing w:after="220"/>
      <w:ind w:left="2160" w:hanging="720"/>
    </w:pPr>
  </w:style>
  <w:style w:type="paragraph" w:customStyle="1" w:styleId="TableFormat">
    <w:name w:val="TableFormat"/>
    <w:basedOn w:val="Bullet"/>
    <w:rsid w:val="005E677A"/>
    <w:pPr>
      <w:numPr>
        <w:numId w:val="0"/>
      </w:numPr>
      <w:tabs>
        <w:tab w:val="clear" w:pos="2160"/>
        <w:tab w:val="left" w:pos="5040"/>
      </w:tabs>
      <w:ind w:left="5040" w:hanging="3600"/>
    </w:pPr>
  </w:style>
  <w:style w:type="paragraph" w:customStyle="1" w:styleId="TOCTitle">
    <w:name w:val="TOC Title"/>
    <w:basedOn w:val="Normal"/>
    <w:rsid w:val="005E677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E677A"/>
    <w:pPr>
      <w:jc w:val="center"/>
    </w:pPr>
    <w:rPr>
      <w:rFonts w:ascii="Times New Roman Bold" w:hAnsi="Times New Roman Bold"/>
      <w:b/>
      <w:bCs/>
      <w:caps/>
      <w:szCs w:val="22"/>
    </w:rPr>
  </w:style>
  <w:style w:type="character" w:styleId="Hyperlink">
    <w:name w:val="Hyperlink"/>
    <w:rsid w:val="005E677A"/>
    <w:rPr>
      <w:color w:val="0000FF"/>
      <w:u w:val="single"/>
    </w:rPr>
  </w:style>
  <w:style w:type="character" w:customStyle="1" w:styleId="FooterChar">
    <w:name w:val="Footer Char"/>
    <w:link w:val="Footer"/>
    <w:uiPriority w:val="99"/>
    <w:rsid w:val="005E677A"/>
    <w:rPr>
      <w:snapToGrid w:val="0"/>
      <w:kern w:val="28"/>
      <w:sz w:val="22"/>
    </w:rPr>
  </w:style>
  <w:style w:type="character" w:customStyle="1" w:styleId="FootnoteTextChar">
    <w:name w:val="Footnote Text Char"/>
    <w:aliases w:val="Char Char Char Char,Footnote Text Char Char Char Char Char,Footnote Text Char1 Char Char Char,Footnote Text Char1 Char Char1,Footnote Text Char1 Char1 Char Char Char Char Char,Footnote Text Char2 Char Char,Footnote Text Char2 Char1"/>
    <w:link w:val="FootnoteText"/>
    <w:rsid w:val="005B549B"/>
  </w:style>
  <w:style w:type="paragraph" w:styleId="ListParagraph">
    <w:name w:val="List Paragraph"/>
    <w:basedOn w:val="Normal"/>
    <w:uiPriority w:val="34"/>
    <w:qFormat/>
    <w:rsid w:val="005B549B"/>
    <w:pPr>
      <w:widowControl/>
      <w:spacing w:after="120"/>
      <w:ind w:left="720"/>
      <w:contextualSpacing/>
    </w:pPr>
    <w:rPr>
      <w:rFonts w:eastAsia="Calibri"/>
      <w:snapToGrid/>
      <w:kern w:val="0"/>
      <w:szCs w:val="22"/>
    </w:rPr>
  </w:style>
  <w:style w:type="paragraph" w:customStyle="1" w:styleId="lbexindentitem">
    <w:name w:val="lbexindentitem"/>
    <w:basedOn w:val="Normal"/>
    <w:rsid w:val="00414B58"/>
    <w:pPr>
      <w:widowControl/>
      <w:spacing w:before="100" w:beforeAutospacing="1" w:after="100" w:afterAutospacing="1"/>
    </w:pPr>
    <w:rPr>
      <w:snapToGrid/>
      <w:kern w:val="0"/>
      <w:sz w:val="24"/>
      <w:szCs w:val="24"/>
    </w:rPr>
  </w:style>
  <w:style w:type="character" w:customStyle="1" w:styleId="UnresolvedMention1">
    <w:name w:val="Unresolved Mention1"/>
    <w:basedOn w:val="DefaultParagraphFont"/>
    <w:uiPriority w:val="99"/>
    <w:semiHidden/>
    <w:unhideWhenUsed/>
    <w:rsid w:val="001F3ACA"/>
    <w:rPr>
      <w:color w:val="605E5C"/>
      <w:shd w:val="clear" w:color="auto" w:fill="E1DFDD"/>
    </w:rPr>
  </w:style>
  <w:style w:type="character" w:styleId="CommentReference">
    <w:name w:val="annotation reference"/>
    <w:basedOn w:val="DefaultParagraphFont"/>
    <w:unhideWhenUsed/>
    <w:rsid w:val="006C2FF2"/>
    <w:rPr>
      <w:sz w:val="16"/>
      <w:szCs w:val="16"/>
    </w:rPr>
  </w:style>
  <w:style w:type="paragraph" w:styleId="CommentText">
    <w:name w:val="annotation text"/>
    <w:basedOn w:val="Normal"/>
    <w:link w:val="CommentTextChar"/>
    <w:unhideWhenUsed/>
    <w:rsid w:val="006C2FF2"/>
    <w:rPr>
      <w:sz w:val="20"/>
    </w:rPr>
  </w:style>
  <w:style w:type="character" w:customStyle="1" w:styleId="CommentTextChar">
    <w:name w:val="Comment Text Char"/>
    <w:basedOn w:val="DefaultParagraphFont"/>
    <w:link w:val="CommentText"/>
    <w:rsid w:val="006C2FF2"/>
    <w:rPr>
      <w:snapToGrid w:val="0"/>
      <w:kern w:val="28"/>
    </w:rPr>
  </w:style>
  <w:style w:type="paragraph" w:styleId="CommentSubject">
    <w:name w:val="annotation subject"/>
    <w:basedOn w:val="CommentText"/>
    <w:next w:val="CommentText"/>
    <w:link w:val="CommentSubjectChar"/>
    <w:uiPriority w:val="99"/>
    <w:semiHidden/>
    <w:unhideWhenUsed/>
    <w:rsid w:val="006C2FF2"/>
    <w:rPr>
      <w:b/>
      <w:bCs/>
    </w:rPr>
  </w:style>
  <w:style w:type="character" w:customStyle="1" w:styleId="CommentSubjectChar">
    <w:name w:val="Comment Subject Char"/>
    <w:basedOn w:val="CommentTextChar"/>
    <w:link w:val="CommentSubject"/>
    <w:uiPriority w:val="99"/>
    <w:semiHidden/>
    <w:rsid w:val="006C2FF2"/>
    <w:rPr>
      <w:b/>
      <w:bCs/>
      <w:snapToGrid w:val="0"/>
      <w:kern w:val="28"/>
    </w:rPr>
  </w:style>
  <w:style w:type="paragraph" w:styleId="BalloonText">
    <w:name w:val="Balloon Text"/>
    <w:basedOn w:val="Normal"/>
    <w:link w:val="BalloonTextChar"/>
    <w:uiPriority w:val="99"/>
    <w:semiHidden/>
    <w:unhideWhenUsed/>
    <w:rsid w:val="006C2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FF2"/>
    <w:rPr>
      <w:rFonts w:ascii="Segoe UI" w:hAnsi="Segoe UI" w:cs="Segoe UI"/>
      <w:snapToGrid w:val="0"/>
      <w:kern w:val="28"/>
      <w:sz w:val="18"/>
      <w:szCs w:val="18"/>
    </w:rPr>
  </w:style>
  <w:style w:type="paragraph" w:styleId="Revision">
    <w:name w:val="Revision"/>
    <w:hidden/>
    <w:uiPriority w:val="99"/>
    <w:semiHidden/>
    <w:rsid w:val="00012846"/>
    <w:rPr>
      <w:snapToGrid w:val="0"/>
      <w:kern w:val="28"/>
      <w:sz w:val="22"/>
    </w:rPr>
  </w:style>
  <w:style w:type="character" w:customStyle="1" w:styleId="UnresolvedMention2">
    <w:name w:val="Unresolved Mention2"/>
    <w:basedOn w:val="DefaultParagraphFont"/>
    <w:uiPriority w:val="99"/>
    <w:rsid w:val="00FB26A0"/>
    <w:rPr>
      <w:color w:val="605E5C"/>
      <w:shd w:val="clear" w:color="auto" w:fill="E1DFDD"/>
    </w:rPr>
  </w:style>
  <w:style w:type="character" w:customStyle="1" w:styleId="UnresolvedMention3">
    <w:name w:val="Unresolved Mention3"/>
    <w:basedOn w:val="DefaultParagraphFont"/>
    <w:uiPriority w:val="99"/>
    <w:rsid w:val="00A068ED"/>
    <w:rPr>
      <w:color w:val="605E5C"/>
      <w:shd w:val="clear" w:color="auto" w:fill="E1DFDD"/>
    </w:rPr>
  </w:style>
  <w:style w:type="character" w:styleId="FollowedHyperlink">
    <w:name w:val="FollowedHyperlink"/>
    <w:basedOn w:val="DefaultParagraphFont"/>
    <w:uiPriority w:val="99"/>
    <w:semiHidden/>
    <w:unhideWhenUsed/>
    <w:rsid w:val="006E45B5"/>
    <w:rPr>
      <w:color w:val="954F72" w:themeColor="followedHyperlink"/>
      <w:u w:val="single"/>
    </w:rPr>
  </w:style>
  <w:style w:type="character" w:customStyle="1" w:styleId="normaltextrun">
    <w:name w:val="normaltextrun"/>
    <w:basedOn w:val="DefaultParagraphFont"/>
    <w:rsid w:val="00845BB3"/>
  </w:style>
  <w:style w:type="character" w:customStyle="1" w:styleId="ParaNumChar1">
    <w:name w:val="ParaNum Char1"/>
    <w:link w:val="ParaNum"/>
    <w:rsid w:val="00044598"/>
    <w:rPr>
      <w:snapToGrid w:val="0"/>
      <w:kern w:val="28"/>
      <w:sz w:val="22"/>
    </w:rPr>
  </w:style>
  <w:style w:type="character" w:customStyle="1" w:styleId="cosearchwithinterm">
    <w:name w:val="co_searchwithinterm"/>
    <w:basedOn w:val="DefaultParagraphFont"/>
    <w:rsid w:val="00BF4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amanda.farenthold@fcc.gov"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OC-357387A1.pdf"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