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04621" w:rsidP="00B04621" w14:paraId="49A61F58" w14:textId="77777777">
      <w:pPr>
        <w:ind w:left="720"/>
      </w:pPr>
      <w:r>
        <w:rPr>
          <w:sz w:val="22"/>
          <w:szCs w:val="22"/>
        </w:rPr>
        <w:tab/>
      </w:r>
      <w:r w:rsidRPr="00B04621">
        <w:t xml:space="preserve">                                               </w:t>
      </w:r>
      <w:r>
        <w:tab/>
      </w:r>
      <w:r>
        <w:tab/>
      </w:r>
      <w:r>
        <w:tab/>
      </w:r>
      <w:r>
        <w:tab/>
      </w:r>
    </w:p>
    <w:p w:rsidR="00B04621" w:rsidRPr="00B04621" w:rsidP="00B04621" w14:paraId="24EFA561" w14:textId="63F37ECB">
      <w:pPr>
        <w:ind w:left="5760" w:firstLine="720"/>
      </w:pPr>
      <w:r w:rsidRPr="00B04621">
        <w:t>DA</w:t>
      </w:r>
      <w:r>
        <w:t xml:space="preserve"> </w:t>
      </w:r>
      <w:r w:rsidRPr="0045111F" w:rsidR="0045111F">
        <w:t>21-366</w:t>
      </w:r>
    </w:p>
    <w:p w:rsidR="00B04621" w:rsidRPr="00B04621" w:rsidP="00B04621" w14:paraId="18A83788" w14:textId="3853BAD7">
      <w:pPr>
        <w:rPr>
          <w:i/>
        </w:rPr>
      </w:pPr>
      <w:r w:rsidRPr="00B04621">
        <w:rPr>
          <w:i/>
        </w:rPr>
        <w:tab/>
      </w:r>
      <w:r w:rsidRPr="00B04621">
        <w:rPr>
          <w:i/>
        </w:rPr>
        <w:tab/>
      </w:r>
      <w:r w:rsidRPr="00B04621">
        <w:rPr>
          <w:i/>
        </w:rPr>
        <w:tab/>
      </w:r>
      <w:r>
        <w:rPr>
          <w:i/>
        </w:rPr>
        <w:tab/>
      </w:r>
      <w:r>
        <w:rPr>
          <w:i/>
        </w:rPr>
        <w:tab/>
      </w:r>
      <w:r>
        <w:rPr>
          <w:i/>
        </w:rPr>
        <w:tab/>
      </w:r>
      <w:r>
        <w:rPr>
          <w:i/>
        </w:rPr>
        <w:tab/>
      </w:r>
      <w:r>
        <w:rPr>
          <w:i/>
        </w:rPr>
        <w:tab/>
      </w:r>
      <w:r>
        <w:rPr>
          <w:i/>
        </w:rPr>
        <w:tab/>
      </w:r>
      <w:r w:rsidRPr="00B04621">
        <w:rPr>
          <w:i/>
        </w:rPr>
        <w:t>In Reply Refer to:</w:t>
      </w:r>
    </w:p>
    <w:p w:rsidR="00B04621" w:rsidRPr="00B04621" w:rsidP="00B04621" w14:paraId="08672637" w14:textId="662F4EAB">
      <w:r w:rsidRPr="00B04621">
        <w:tab/>
      </w:r>
      <w:r>
        <w:tab/>
      </w:r>
      <w:r>
        <w:tab/>
      </w:r>
      <w:r>
        <w:tab/>
      </w:r>
      <w:r>
        <w:tab/>
      </w:r>
      <w:r>
        <w:tab/>
      </w:r>
      <w:r>
        <w:tab/>
      </w:r>
      <w:r>
        <w:tab/>
      </w:r>
      <w:r>
        <w:tab/>
      </w:r>
      <w:r w:rsidRPr="00B04621">
        <w:t>1800B3-</w:t>
      </w:r>
      <w:r w:rsidR="00FD03C2">
        <w:t>AR</w:t>
      </w:r>
    </w:p>
    <w:p w:rsidR="00204CE3" w:rsidP="00B04621" w14:paraId="38976D3E" w14:textId="05FC4DB3">
      <w:r w:rsidRPr="00B04621">
        <w:tab/>
      </w:r>
      <w:r>
        <w:tab/>
      </w:r>
      <w:r>
        <w:tab/>
      </w:r>
      <w:r>
        <w:tab/>
      </w:r>
      <w:r>
        <w:tab/>
      </w:r>
      <w:r>
        <w:tab/>
      </w:r>
      <w:r>
        <w:tab/>
      </w:r>
      <w:r>
        <w:tab/>
      </w:r>
      <w:r>
        <w:tab/>
      </w:r>
      <w:r w:rsidRPr="00B04621">
        <w:t>Released</w:t>
      </w:r>
      <w:r>
        <w:t xml:space="preserve"> </w:t>
      </w:r>
      <w:r w:rsidR="005454FC">
        <w:t>March 30, 2021</w:t>
      </w:r>
    </w:p>
    <w:p w:rsidR="000C650C" w:rsidRPr="000A0858" w:rsidP="000C650C" w14:paraId="3CA39770" w14:textId="77777777">
      <w:pPr>
        <w:rPr>
          <w:sz w:val="22"/>
          <w:szCs w:val="22"/>
        </w:rPr>
      </w:pPr>
      <w:r w:rsidRPr="000A0858">
        <w:rPr>
          <w:sz w:val="22"/>
          <w:szCs w:val="22"/>
        </w:rPr>
        <w:t>Radio Training Network, Inc.</w:t>
      </w:r>
    </w:p>
    <w:p w:rsidR="000C650C" w:rsidRPr="000A0858" w:rsidP="000C650C" w14:paraId="6AF58325" w14:textId="77777777">
      <w:pPr>
        <w:rPr>
          <w:sz w:val="22"/>
          <w:szCs w:val="22"/>
        </w:rPr>
      </w:pPr>
      <w:r w:rsidRPr="000A0858">
        <w:rPr>
          <w:sz w:val="22"/>
          <w:szCs w:val="22"/>
        </w:rPr>
        <w:t>c/o A. Wray Fitch III, Esq.</w:t>
      </w:r>
    </w:p>
    <w:p w:rsidR="000C650C" w:rsidRPr="000A0858" w:rsidP="000C650C" w14:paraId="67B50C03" w14:textId="77777777">
      <w:pPr>
        <w:rPr>
          <w:sz w:val="22"/>
          <w:szCs w:val="22"/>
        </w:rPr>
      </w:pPr>
      <w:r w:rsidRPr="000A0858">
        <w:rPr>
          <w:sz w:val="22"/>
          <w:szCs w:val="22"/>
        </w:rPr>
        <w:t>Gammon &amp; Grange, P.C.</w:t>
      </w:r>
    </w:p>
    <w:p w:rsidR="000C650C" w:rsidRPr="000A0858" w:rsidP="000C650C" w14:paraId="279ACCBF" w14:textId="77777777">
      <w:pPr>
        <w:rPr>
          <w:sz w:val="22"/>
          <w:szCs w:val="22"/>
        </w:rPr>
      </w:pPr>
      <w:r w:rsidRPr="000A0858">
        <w:rPr>
          <w:sz w:val="22"/>
          <w:szCs w:val="22"/>
        </w:rPr>
        <w:t>8280 Greensboro Drive, Suite 140</w:t>
      </w:r>
    </w:p>
    <w:p w:rsidR="000C650C" w:rsidRPr="00290A4C" w:rsidP="000C650C" w14:paraId="78AD8650" w14:textId="77777777">
      <w:pPr>
        <w:rPr>
          <w:sz w:val="22"/>
          <w:szCs w:val="22"/>
          <w:lang w:val="es-ES"/>
        </w:rPr>
      </w:pPr>
      <w:r w:rsidRPr="00290A4C">
        <w:rPr>
          <w:sz w:val="22"/>
          <w:szCs w:val="22"/>
          <w:lang w:val="es-ES"/>
        </w:rPr>
        <w:t>McLean, VA 22102</w:t>
      </w:r>
    </w:p>
    <w:p w:rsidR="000C650C" w:rsidRPr="00290A4C" w:rsidP="000C650C" w14:paraId="34069D7B" w14:textId="2ECC6D8E">
      <w:pPr>
        <w:rPr>
          <w:rStyle w:val="Hyperlink"/>
          <w:sz w:val="22"/>
          <w:szCs w:val="22"/>
          <w:lang w:val="es-ES"/>
        </w:rPr>
      </w:pPr>
      <w:r w:rsidRPr="000C650C">
        <w:rPr>
          <w:sz w:val="22"/>
          <w:szCs w:val="22"/>
          <w:lang w:val="es-ES"/>
        </w:rPr>
        <w:t>AWF@GG-LAW.COM</w:t>
      </w:r>
    </w:p>
    <w:p w:rsidR="000C650C" w:rsidRPr="000C650C" w:rsidP="000C650C" w14:paraId="50DB1838" w14:textId="77777777">
      <w:pPr>
        <w:rPr>
          <w:sz w:val="22"/>
          <w:szCs w:val="22"/>
          <w:lang w:val="es-ES"/>
        </w:rPr>
      </w:pPr>
    </w:p>
    <w:p w:rsidR="000C650C" w:rsidRPr="00282EDD" w:rsidP="000C650C" w14:paraId="003CFF2E" w14:textId="77777777">
      <w:pPr>
        <w:rPr>
          <w:sz w:val="22"/>
          <w:szCs w:val="22"/>
        </w:rPr>
      </w:pPr>
      <w:r w:rsidRPr="00282EDD">
        <w:rPr>
          <w:sz w:val="22"/>
          <w:szCs w:val="22"/>
        </w:rPr>
        <w:t>Steven L. White</w:t>
      </w:r>
    </w:p>
    <w:p w:rsidR="000C650C" w:rsidRPr="00282EDD" w:rsidP="000C650C" w14:paraId="3F162B3A" w14:textId="77777777">
      <w:pPr>
        <w:rPr>
          <w:sz w:val="22"/>
          <w:szCs w:val="22"/>
        </w:rPr>
      </w:pPr>
      <w:r w:rsidRPr="00282EDD">
        <w:rPr>
          <w:sz w:val="22"/>
          <w:szCs w:val="22"/>
        </w:rPr>
        <w:t>Director, Triangle Access</w:t>
      </w:r>
      <w:r>
        <w:rPr>
          <w:sz w:val="22"/>
          <w:szCs w:val="22"/>
        </w:rPr>
        <w:t xml:space="preserve"> </w:t>
      </w:r>
      <w:r w:rsidRPr="00282EDD">
        <w:rPr>
          <w:sz w:val="22"/>
          <w:szCs w:val="22"/>
        </w:rPr>
        <w:t>Broadcasting, Inc.</w:t>
      </w:r>
    </w:p>
    <w:p w:rsidR="000C650C" w:rsidRPr="00282EDD" w:rsidP="000C650C" w14:paraId="50852DA8" w14:textId="77777777">
      <w:pPr>
        <w:rPr>
          <w:sz w:val="22"/>
          <w:szCs w:val="22"/>
        </w:rPr>
      </w:pPr>
      <w:r w:rsidRPr="00282EDD">
        <w:rPr>
          <w:sz w:val="22"/>
          <w:szCs w:val="22"/>
        </w:rPr>
        <w:t>7813 Highlandview Cir.</w:t>
      </w:r>
    </w:p>
    <w:p w:rsidR="000C650C" w:rsidRPr="00282EDD" w:rsidP="000C650C" w14:paraId="2035693D" w14:textId="77777777">
      <w:pPr>
        <w:rPr>
          <w:sz w:val="22"/>
          <w:szCs w:val="22"/>
        </w:rPr>
      </w:pPr>
      <w:r w:rsidRPr="68C9F2E1">
        <w:rPr>
          <w:sz w:val="22"/>
          <w:szCs w:val="22"/>
        </w:rPr>
        <w:t>Raleigh, NC 27613-4109</w:t>
      </w:r>
    </w:p>
    <w:p w:rsidR="000C650C" w:rsidP="000C650C" w14:paraId="3C130F85" w14:textId="77777777">
      <w:pPr>
        <w:rPr>
          <w:sz w:val="22"/>
          <w:szCs w:val="22"/>
        </w:rPr>
      </w:pPr>
      <w:r w:rsidRPr="00911629">
        <w:rPr>
          <w:sz w:val="22"/>
          <w:szCs w:val="22"/>
        </w:rPr>
        <w:t>steven@triaccess.org</w:t>
      </w:r>
    </w:p>
    <w:p w:rsidR="000C650C" w:rsidRPr="000C650C" w:rsidP="00B04621" w14:paraId="007E71A9" w14:textId="69EDA5F9">
      <w:pPr>
        <w:ind w:left="5760" w:hanging="720"/>
        <w:rPr>
          <w:b/>
          <w:bCs/>
          <w:sz w:val="22"/>
          <w:szCs w:val="22"/>
        </w:rPr>
      </w:pPr>
      <w:r w:rsidRPr="00282EDD">
        <w:rPr>
          <w:b/>
          <w:bCs/>
          <w:sz w:val="22"/>
          <w:szCs w:val="22"/>
        </w:rPr>
        <w:t>In re:</w:t>
      </w:r>
      <w:r w:rsidRPr="00282EDD">
        <w:rPr>
          <w:sz w:val="22"/>
          <w:szCs w:val="22"/>
        </w:rPr>
        <w:t xml:space="preserve"> </w:t>
      </w:r>
      <w:r>
        <w:rPr>
          <w:sz w:val="22"/>
          <w:szCs w:val="22"/>
        </w:rPr>
        <w:tab/>
      </w:r>
      <w:r>
        <w:rPr>
          <w:b/>
          <w:bCs/>
          <w:sz w:val="22"/>
          <w:szCs w:val="22"/>
        </w:rPr>
        <w:t>Radio Training Network</w:t>
      </w:r>
    </w:p>
    <w:p w:rsidR="00B04621" w:rsidP="00B04621" w14:paraId="07EBC8DA" w14:textId="5D0528DB">
      <w:pPr>
        <w:ind w:left="5760" w:hanging="720"/>
        <w:rPr>
          <w:sz w:val="22"/>
          <w:szCs w:val="22"/>
        </w:rPr>
      </w:pPr>
    </w:p>
    <w:p w:rsidR="000C650C" w:rsidRPr="000C650C" w:rsidP="000C650C" w14:paraId="4660A37C" w14:textId="77777777">
      <w:pPr>
        <w:ind w:left="6480" w:hanging="720"/>
        <w:rPr>
          <w:sz w:val="22"/>
          <w:szCs w:val="22"/>
        </w:rPr>
      </w:pPr>
      <w:r w:rsidRPr="000C650C">
        <w:rPr>
          <w:sz w:val="22"/>
          <w:szCs w:val="22"/>
        </w:rPr>
        <w:t>W236CA, Durham, NC</w:t>
      </w:r>
    </w:p>
    <w:p w:rsidR="000C650C" w:rsidRPr="000A0858" w:rsidP="000C650C" w14:paraId="046CB626" w14:textId="77777777">
      <w:pPr>
        <w:ind w:left="5760"/>
        <w:rPr>
          <w:sz w:val="22"/>
          <w:szCs w:val="22"/>
        </w:rPr>
      </w:pPr>
      <w:r w:rsidRPr="000A0858">
        <w:rPr>
          <w:sz w:val="22"/>
          <w:szCs w:val="22"/>
        </w:rPr>
        <w:t>Facility ID No. 87686</w:t>
      </w:r>
    </w:p>
    <w:p w:rsidR="000C650C" w:rsidRPr="000A0858" w:rsidP="000C650C" w14:paraId="59948B12" w14:textId="77777777">
      <w:pPr>
        <w:tabs>
          <w:tab w:val="left" w:pos="0"/>
        </w:tabs>
        <w:suppressAutoHyphens/>
        <w:ind w:left="6480" w:hanging="720"/>
        <w:rPr>
          <w:sz w:val="22"/>
          <w:szCs w:val="22"/>
        </w:rPr>
      </w:pPr>
      <w:r w:rsidRPr="000A0858">
        <w:rPr>
          <w:sz w:val="22"/>
          <w:szCs w:val="22"/>
        </w:rPr>
        <w:t>File No. 0000078295</w:t>
      </w:r>
      <w:r w:rsidRPr="000A0858">
        <w:rPr>
          <w:sz w:val="22"/>
          <w:szCs w:val="22"/>
        </w:rPr>
        <w:tab/>
      </w:r>
    </w:p>
    <w:p w:rsidR="000C650C" w:rsidRPr="000A0858" w:rsidP="000C650C" w14:paraId="77AECD08" w14:textId="77777777">
      <w:pPr>
        <w:tabs>
          <w:tab w:val="left" w:pos="0"/>
        </w:tabs>
        <w:suppressAutoHyphens/>
        <w:ind w:left="6480" w:hanging="720"/>
        <w:rPr>
          <w:b/>
          <w:bCs/>
          <w:sz w:val="22"/>
          <w:szCs w:val="22"/>
        </w:rPr>
      </w:pPr>
    </w:p>
    <w:p w:rsidR="000C650C" w:rsidRPr="000C650C" w:rsidP="000C650C" w14:paraId="07FCA119" w14:textId="77777777">
      <w:pPr>
        <w:ind w:left="6480" w:hanging="720"/>
        <w:rPr>
          <w:sz w:val="22"/>
          <w:szCs w:val="22"/>
        </w:rPr>
      </w:pPr>
      <w:r w:rsidRPr="000C650C">
        <w:rPr>
          <w:sz w:val="22"/>
          <w:szCs w:val="22"/>
        </w:rPr>
        <w:t>W237BZ, Clayton, NC</w:t>
      </w:r>
    </w:p>
    <w:p w:rsidR="000C650C" w:rsidRPr="000A0858" w:rsidP="000C650C" w14:paraId="01BCF2DC" w14:textId="77777777">
      <w:pPr>
        <w:ind w:left="5760"/>
        <w:rPr>
          <w:sz w:val="22"/>
          <w:szCs w:val="22"/>
        </w:rPr>
      </w:pPr>
      <w:r w:rsidRPr="000A0858">
        <w:rPr>
          <w:sz w:val="22"/>
          <w:szCs w:val="22"/>
        </w:rPr>
        <w:t>Facility ID No. 157001</w:t>
      </w:r>
    </w:p>
    <w:p w:rsidR="000C650C" w:rsidRPr="000A0858" w:rsidP="000C650C" w14:paraId="48BD8CEE" w14:textId="77777777">
      <w:pPr>
        <w:tabs>
          <w:tab w:val="left" w:pos="0"/>
        </w:tabs>
        <w:suppressAutoHyphens/>
        <w:ind w:left="6480" w:hanging="720"/>
        <w:rPr>
          <w:sz w:val="22"/>
          <w:szCs w:val="22"/>
        </w:rPr>
      </w:pPr>
      <w:r w:rsidRPr="000A0858">
        <w:rPr>
          <w:sz w:val="22"/>
          <w:szCs w:val="22"/>
        </w:rPr>
        <w:t>File No. 0000078295</w:t>
      </w:r>
      <w:r w:rsidRPr="000A0858">
        <w:rPr>
          <w:sz w:val="22"/>
          <w:szCs w:val="22"/>
        </w:rPr>
        <w:tab/>
      </w:r>
    </w:p>
    <w:p w:rsidR="00B04621" w:rsidP="00B04621" w14:paraId="358AC485" w14:textId="77777777">
      <w:pPr>
        <w:tabs>
          <w:tab w:val="left" w:pos="0"/>
        </w:tabs>
        <w:suppressAutoHyphens/>
        <w:ind w:left="6480" w:hanging="720"/>
        <w:rPr>
          <w:b/>
          <w:bCs/>
          <w:sz w:val="22"/>
          <w:szCs w:val="22"/>
        </w:rPr>
      </w:pPr>
    </w:p>
    <w:p w:rsidR="00B04621" w:rsidRPr="00B868D2" w:rsidP="00B04621" w14:paraId="1455090B" w14:textId="77777777">
      <w:pPr>
        <w:tabs>
          <w:tab w:val="left" w:pos="0"/>
        </w:tabs>
        <w:suppressAutoHyphens/>
        <w:ind w:left="6480" w:hanging="720"/>
        <w:rPr>
          <w:b/>
          <w:bCs/>
          <w:sz w:val="22"/>
          <w:szCs w:val="22"/>
        </w:rPr>
      </w:pPr>
      <w:r w:rsidRPr="00B868D2">
        <w:rPr>
          <w:b/>
          <w:bCs/>
          <w:sz w:val="22"/>
          <w:szCs w:val="22"/>
        </w:rPr>
        <w:t>Application for Renewal of License</w:t>
      </w:r>
    </w:p>
    <w:p w:rsidR="00B04621" w:rsidRPr="00282EDD" w:rsidP="00B04621" w14:paraId="24ABA6D3" w14:textId="27A1E0E2">
      <w:pPr>
        <w:tabs>
          <w:tab w:val="left" w:pos="0"/>
        </w:tabs>
        <w:suppressAutoHyphens/>
        <w:ind w:left="6480" w:hanging="720"/>
        <w:rPr>
          <w:b/>
          <w:bCs/>
          <w:sz w:val="22"/>
          <w:szCs w:val="22"/>
        </w:rPr>
      </w:pPr>
      <w:r w:rsidRPr="00282EDD">
        <w:rPr>
          <w:b/>
          <w:bCs/>
          <w:sz w:val="22"/>
          <w:szCs w:val="22"/>
        </w:rPr>
        <w:t>Informal Objection</w:t>
      </w:r>
    </w:p>
    <w:p w:rsidR="00B04621" w:rsidRPr="00D426DF" w:rsidP="00B04621" w14:paraId="32A4AC7B" w14:textId="0A22C966">
      <w:pPr>
        <w:tabs>
          <w:tab w:val="left" w:pos="6840"/>
        </w:tabs>
        <w:rPr>
          <w:sz w:val="22"/>
          <w:szCs w:val="22"/>
        </w:rPr>
      </w:pPr>
      <w:r w:rsidRPr="00D426DF">
        <w:rPr>
          <w:sz w:val="22"/>
          <w:szCs w:val="22"/>
        </w:rPr>
        <w:t xml:space="preserve">Dear </w:t>
      </w:r>
      <w:r w:rsidR="00114752">
        <w:rPr>
          <w:sz w:val="22"/>
          <w:szCs w:val="22"/>
        </w:rPr>
        <w:t xml:space="preserve">Counsel and </w:t>
      </w:r>
      <w:r w:rsidR="007557D0">
        <w:rPr>
          <w:sz w:val="22"/>
          <w:szCs w:val="22"/>
        </w:rPr>
        <w:t>Objector</w:t>
      </w:r>
      <w:r w:rsidRPr="00D426DF">
        <w:rPr>
          <w:sz w:val="22"/>
          <w:szCs w:val="22"/>
        </w:rPr>
        <w:t>:</w:t>
      </w:r>
    </w:p>
    <w:p w:rsidR="00B04621" w:rsidRPr="00D426DF" w:rsidP="00B04621" w14:paraId="7279C20C" w14:textId="77777777">
      <w:pPr>
        <w:tabs>
          <w:tab w:val="left" w:pos="6840"/>
        </w:tabs>
        <w:rPr>
          <w:sz w:val="22"/>
          <w:szCs w:val="22"/>
        </w:rPr>
      </w:pPr>
    </w:p>
    <w:p w:rsidR="000C650C" w:rsidP="000C650C" w14:paraId="56A7ACEF" w14:textId="4222BC8A">
      <w:pPr>
        <w:autoSpaceDE w:val="0"/>
        <w:autoSpaceDN w:val="0"/>
        <w:adjustRightInd w:val="0"/>
        <w:ind w:firstLine="720"/>
        <w:rPr>
          <w:sz w:val="22"/>
          <w:szCs w:val="22"/>
        </w:rPr>
      </w:pPr>
      <w:r w:rsidRPr="000A0858">
        <w:rPr>
          <w:sz w:val="22"/>
          <w:szCs w:val="22"/>
        </w:rPr>
        <w:t>We have before us the referenced application for renewal of license (Application) filed by Radio Training Network, Inc. (</w:t>
      </w:r>
      <w:r>
        <w:rPr>
          <w:sz w:val="22"/>
          <w:szCs w:val="22"/>
        </w:rPr>
        <w:t>RTN</w:t>
      </w:r>
      <w:r w:rsidRPr="000A0858">
        <w:rPr>
          <w:sz w:val="22"/>
          <w:szCs w:val="22"/>
        </w:rPr>
        <w:t>) for FM translator stations W236CA, Durham, North Carolina, and W237BZ, Clayton, North Carolina (</w:t>
      </w:r>
      <w:r>
        <w:rPr>
          <w:sz w:val="22"/>
          <w:szCs w:val="22"/>
        </w:rPr>
        <w:t>Translators</w:t>
      </w:r>
      <w:r w:rsidRPr="000A0858">
        <w:rPr>
          <w:sz w:val="22"/>
          <w:szCs w:val="22"/>
        </w:rPr>
        <w:t>).  Also</w:t>
      </w:r>
      <w:r>
        <w:rPr>
          <w:sz w:val="22"/>
          <w:szCs w:val="22"/>
        </w:rPr>
        <w:t>,</w:t>
      </w:r>
      <w:r w:rsidRPr="000A0858">
        <w:rPr>
          <w:sz w:val="22"/>
          <w:szCs w:val="22"/>
        </w:rPr>
        <w:t xml:space="preserve"> before us is an Informal Objection (Objection) </w:t>
      </w:r>
      <w:r>
        <w:rPr>
          <w:sz w:val="22"/>
          <w:szCs w:val="22"/>
        </w:rPr>
        <w:t xml:space="preserve">to the Application </w:t>
      </w:r>
      <w:r w:rsidRPr="000A0858">
        <w:rPr>
          <w:sz w:val="22"/>
          <w:szCs w:val="22"/>
        </w:rPr>
        <w:t xml:space="preserve">filed by Triangle Access Broadcasting, Inc. (Triangle) </w:t>
      </w:r>
      <w:r>
        <w:rPr>
          <w:sz w:val="22"/>
          <w:szCs w:val="22"/>
        </w:rPr>
        <w:t>and related responsive pleading</w:t>
      </w:r>
      <w:r w:rsidR="00DB76A9">
        <w:rPr>
          <w:sz w:val="22"/>
          <w:szCs w:val="22"/>
        </w:rPr>
        <w:t>s,</w:t>
      </w:r>
      <w:r>
        <w:rPr>
          <w:rStyle w:val="FootnoteReference"/>
          <w:szCs w:val="22"/>
        </w:rPr>
        <w:footnoteReference w:id="2"/>
      </w:r>
      <w:r>
        <w:rPr>
          <w:sz w:val="22"/>
          <w:szCs w:val="22"/>
        </w:rPr>
        <w:t xml:space="preserve"> and RTN’s “</w:t>
      </w:r>
      <w:r w:rsidRPr="000A0858">
        <w:rPr>
          <w:sz w:val="22"/>
          <w:szCs w:val="22"/>
        </w:rPr>
        <w:t>Response to Show Cause and Petition for Reconsideration” (</w:t>
      </w:r>
      <w:r w:rsidR="00866BCD">
        <w:rPr>
          <w:sz w:val="22"/>
          <w:szCs w:val="22"/>
        </w:rPr>
        <w:t>Response</w:t>
      </w:r>
      <w:r w:rsidRPr="000A0858">
        <w:rPr>
          <w:sz w:val="22"/>
          <w:szCs w:val="22"/>
        </w:rPr>
        <w:t>)</w:t>
      </w:r>
      <w:r>
        <w:rPr>
          <w:rStyle w:val="FootnoteReference"/>
          <w:szCs w:val="22"/>
        </w:rPr>
        <w:footnoteReference w:id="3"/>
      </w:r>
      <w:r>
        <w:rPr>
          <w:sz w:val="22"/>
          <w:szCs w:val="22"/>
        </w:rPr>
        <w:t xml:space="preserve"> filed in response to a staff letter directing</w:t>
      </w:r>
      <w:r w:rsidRPr="000A0858">
        <w:rPr>
          <w:sz w:val="22"/>
          <w:szCs w:val="22"/>
        </w:rPr>
        <w:t xml:space="preserve"> RTN to change its exempted status in the Application and either pay regulatory fees required for an FM translator or show cause why the fee is inapplicable, waived, or deferred.</w:t>
      </w:r>
      <w:r>
        <w:rPr>
          <w:rStyle w:val="FootnoteReference"/>
          <w:rFonts w:ascii="Times New Roman" w:hAnsi="Times New Roman"/>
          <w:sz w:val="22"/>
          <w:szCs w:val="22"/>
        </w:rPr>
        <w:footnoteReference w:id="4"/>
      </w:r>
      <w:r w:rsidRPr="000A0858">
        <w:rPr>
          <w:sz w:val="22"/>
          <w:szCs w:val="22"/>
        </w:rPr>
        <w:t xml:space="preserve">  </w:t>
      </w:r>
      <w:r w:rsidRPr="00FD03C2">
        <w:rPr>
          <w:sz w:val="22"/>
          <w:szCs w:val="22"/>
        </w:rPr>
        <w:t xml:space="preserve">For the </w:t>
      </w:r>
      <w:r w:rsidRPr="00FD03C2">
        <w:rPr>
          <w:sz w:val="22"/>
          <w:szCs w:val="22"/>
        </w:rPr>
        <w:t xml:space="preserve">reasons set forth below, we deny the Objection, </w:t>
      </w:r>
      <w:r w:rsidR="00DB76A9">
        <w:rPr>
          <w:sz w:val="22"/>
          <w:szCs w:val="22"/>
        </w:rPr>
        <w:t xml:space="preserve">rescind the </w:t>
      </w:r>
      <w:r w:rsidR="00DB76A9">
        <w:rPr>
          <w:i/>
          <w:iCs/>
          <w:sz w:val="22"/>
          <w:szCs w:val="22"/>
        </w:rPr>
        <w:t>Staff Letter</w:t>
      </w:r>
      <w:r w:rsidR="00DB76A9">
        <w:rPr>
          <w:sz w:val="22"/>
          <w:szCs w:val="22"/>
        </w:rPr>
        <w:t>,</w:t>
      </w:r>
      <w:r w:rsidR="00DB76A9">
        <w:rPr>
          <w:i/>
          <w:iCs/>
          <w:sz w:val="22"/>
          <w:szCs w:val="22"/>
        </w:rPr>
        <w:t xml:space="preserve"> </w:t>
      </w:r>
      <w:r w:rsidRPr="00FD03C2">
        <w:rPr>
          <w:sz w:val="22"/>
          <w:szCs w:val="22"/>
        </w:rPr>
        <w:t>dismiss the Petition, and grant the Application.</w:t>
      </w:r>
      <w:r>
        <w:rPr>
          <w:rStyle w:val="FootnoteReference"/>
          <w:szCs w:val="22"/>
        </w:rPr>
        <w:footnoteReference w:id="5"/>
      </w:r>
      <w:r w:rsidRPr="000C650C">
        <w:rPr>
          <w:color w:val="201F1E"/>
          <w:sz w:val="22"/>
          <w:szCs w:val="22"/>
          <w:bdr w:val="none" w:sz="0" w:space="0" w:color="auto" w:frame="1"/>
          <w:shd w:val="clear" w:color="auto" w:fill="FFFFFF"/>
        </w:rPr>
        <w:t xml:space="preserve"> </w:t>
      </w:r>
    </w:p>
    <w:p w:rsidR="00B04621" w:rsidRPr="00D426DF" w:rsidP="00B04621" w14:paraId="246D21C5" w14:textId="77777777">
      <w:pPr>
        <w:autoSpaceDE w:val="0"/>
        <w:autoSpaceDN w:val="0"/>
        <w:adjustRightInd w:val="0"/>
        <w:ind w:firstLine="720"/>
        <w:rPr>
          <w:sz w:val="22"/>
          <w:szCs w:val="22"/>
        </w:rPr>
      </w:pPr>
    </w:p>
    <w:p w:rsidR="006F0196" w:rsidRPr="000B0550" w:rsidP="00B04621" w14:paraId="03A3DC8A" w14:textId="78D2E801">
      <w:pPr>
        <w:ind w:firstLine="720"/>
        <w:rPr>
          <w:sz w:val="22"/>
          <w:szCs w:val="22"/>
        </w:rPr>
      </w:pPr>
      <w:r w:rsidRPr="00D426DF">
        <w:rPr>
          <w:i/>
          <w:iCs/>
          <w:sz w:val="22"/>
          <w:szCs w:val="22"/>
        </w:rPr>
        <w:t xml:space="preserve">Background. </w:t>
      </w:r>
      <w:r w:rsidR="00717E2F">
        <w:rPr>
          <w:i/>
          <w:iCs/>
          <w:sz w:val="22"/>
          <w:szCs w:val="22"/>
        </w:rPr>
        <w:t xml:space="preserve"> </w:t>
      </w:r>
      <w:r>
        <w:rPr>
          <w:sz w:val="22"/>
          <w:szCs w:val="22"/>
        </w:rPr>
        <w:t xml:space="preserve">The </w:t>
      </w:r>
      <w:r w:rsidR="000B0550">
        <w:rPr>
          <w:sz w:val="22"/>
          <w:szCs w:val="22"/>
        </w:rPr>
        <w:t>Translator</w:t>
      </w:r>
      <w:r w:rsidR="005A6AF1">
        <w:rPr>
          <w:sz w:val="22"/>
          <w:szCs w:val="22"/>
        </w:rPr>
        <w:t>s</w:t>
      </w:r>
      <w:r>
        <w:rPr>
          <w:sz w:val="22"/>
          <w:szCs w:val="22"/>
        </w:rPr>
        <w:t xml:space="preserve"> </w:t>
      </w:r>
      <w:r w:rsidR="000C650C">
        <w:rPr>
          <w:sz w:val="22"/>
          <w:szCs w:val="22"/>
        </w:rPr>
        <w:t>are both</w:t>
      </w:r>
      <w:r>
        <w:rPr>
          <w:sz w:val="22"/>
          <w:szCs w:val="22"/>
        </w:rPr>
        <w:t xml:space="preserve"> licensed to </w:t>
      </w:r>
      <w:r w:rsidRPr="000C650C" w:rsidR="000C650C">
        <w:rPr>
          <w:sz w:val="22"/>
          <w:szCs w:val="22"/>
        </w:rPr>
        <w:t>rebroadcast the programming of the digital WDCG-HD2 channel of WDCG(FM), licensed to Capstar TX, LLC (Capstar)</w:t>
      </w:r>
      <w:r w:rsidR="000C650C">
        <w:rPr>
          <w:sz w:val="22"/>
          <w:szCs w:val="22"/>
        </w:rPr>
        <w:t xml:space="preserve">. </w:t>
      </w:r>
      <w:r w:rsidR="00B679E9">
        <w:rPr>
          <w:sz w:val="22"/>
          <w:szCs w:val="22"/>
        </w:rPr>
        <w:t xml:space="preserve"> </w:t>
      </w:r>
      <w:r w:rsidR="000C650C">
        <w:rPr>
          <w:sz w:val="22"/>
          <w:szCs w:val="22"/>
        </w:rPr>
        <w:t>RTN</w:t>
      </w:r>
      <w:r>
        <w:rPr>
          <w:sz w:val="22"/>
          <w:szCs w:val="22"/>
        </w:rPr>
        <w:t xml:space="preserve"> timely filed the Application on July</w:t>
      </w:r>
      <w:r w:rsidR="00BC1CC6">
        <w:rPr>
          <w:sz w:val="22"/>
          <w:szCs w:val="22"/>
        </w:rPr>
        <w:t xml:space="preserve"> </w:t>
      </w:r>
      <w:r w:rsidR="00B679E9">
        <w:rPr>
          <w:sz w:val="22"/>
          <w:szCs w:val="22"/>
        </w:rPr>
        <w:t>18</w:t>
      </w:r>
      <w:r>
        <w:rPr>
          <w:sz w:val="22"/>
          <w:szCs w:val="22"/>
        </w:rPr>
        <w:t>, 2019.</w:t>
      </w:r>
    </w:p>
    <w:p w:rsidR="006F0196" w:rsidP="00B04621" w14:paraId="6508BC78" w14:textId="77777777">
      <w:pPr>
        <w:ind w:firstLine="720"/>
        <w:rPr>
          <w:i/>
          <w:iCs/>
          <w:sz w:val="22"/>
          <w:szCs w:val="22"/>
        </w:rPr>
      </w:pPr>
    </w:p>
    <w:p w:rsidR="00866BCD" w:rsidRPr="000A0858" w:rsidP="00866BCD" w14:paraId="7418DF92" w14:textId="75096FED">
      <w:pPr>
        <w:ind w:firstLine="720"/>
        <w:rPr>
          <w:sz w:val="22"/>
          <w:szCs w:val="22"/>
        </w:rPr>
      </w:pPr>
      <w:r w:rsidRPr="000A0858">
        <w:rPr>
          <w:sz w:val="22"/>
          <w:szCs w:val="22"/>
        </w:rPr>
        <w:t xml:space="preserve">In the Objection, Triangle argues that the </w:t>
      </w:r>
      <w:r w:rsidR="00DB76A9">
        <w:rPr>
          <w:sz w:val="22"/>
          <w:szCs w:val="22"/>
        </w:rPr>
        <w:t>Translators</w:t>
      </w:r>
      <w:r w:rsidRPr="000A0858">
        <w:rPr>
          <w:sz w:val="22"/>
          <w:szCs w:val="22"/>
        </w:rPr>
        <w:t xml:space="preserve"> operat</w:t>
      </w:r>
      <w:r w:rsidR="00FA05F2">
        <w:rPr>
          <w:sz w:val="22"/>
          <w:szCs w:val="22"/>
        </w:rPr>
        <w:t>e</w:t>
      </w:r>
      <w:r w:rsidRPr="000A0858">
        <w:rPr>
          <w:sz w:val="22"/>
          <w:szCs w:val="22"/>
        </w:rPr>
        <w:t xml:space="preserve"> as commercial stations </w:t>
      </w:r>
      <w:r w:rsidR="002D0814">
        <w:rPr>
          <w:sz w:val="22"/>
          <w:szCs w:val="22"/>
        </w:rPr>
        <w:t xml:space="preserve">and </w:t>
      </w:r>
      <w:r w:rsidR="00000B8E">
        <w:rPr>
          <w:sz w:val="22"/>
          <w:szCs w:val="22"/>
        </w:rPr>
        <w:t>RTN has</w:t>
      </w:r>
      <w:r w:rsidR="002D0814">
        <w:rPr>
          <w:sz w:val="22"/>
          <w:szCs w:val="22"/>
        </w:rPr>
        <w:t xml:space="preserve"> failed to pay</w:t>
      </w:r>
      <w:r w:rsidRPr="000A0858">
        <w:rPr>
          <w:sz w:val="22"/>
          <w:szCs w:val="22"/>
        </w:rPr>
        <w:t xml:space="preserve"> required </w:t>
      </w:r>
      <w:r w:rsidR="0047690E">
        <w:rPr>
          <w:sz w:val="22"/>
          <w:szCs w:val="22"/>
        </w:rPr>
        <w:t xml:space="preserve">regulatory </w:t>
      </w:r>
      <w:r w:rsidRPr="000A0858">
        <w:rPr>
          <w:sz w:val="22"/>
          <w:szCs w:val="22"/>
        </w:rPr>
        <w:t>fees</w:t>
      </w:r>
      <w:r w:rsidR="00DB76A9">
        <w:rPr>
          <w:sz w:val="22"/>
          <w:szCs w:val="22"/>
        </w:rPr>
        <w:t>.</w:t>
      </w:r>
      <w:r>
        <w:rPr>
          <w:rStyle w:val="FootnoteReference"/>
          <w:rFonts w:ascii="Times New Roman" w:hAnsi="Times New Roman"/>
          <w:sz w:val="22"/>
          <w:szCs w:val="22"/>
        </w:rPr>
        <w:footnoteReference w:id="6"/>
      </w:r>
      <w:r w:rsidRPr="000A0858">
        <w:rPr>
          <w:sz w:val="22"/>
          <w:szCs w:val="22"/>
        </w:rPr>
        <w:t xml:space="preserve"> </w:t>
      </w:r>
      <w:r w:rsidR="00DB76A9">
        <w:rPr>
          <w:sz w:val="22"/>
          <w:szCs w:val="22"/>
        </w:rPr>
        <w:t xml:space="preserve"> Triangle notes that the Translators</w:t>
      </w:r>
      <w:r w:rsidRPr="000A0858">
        <w:rPr>
          <w:sz w:val="22"/>
          <w:szCs w:val="22"/>
        </w:rPr>
        <w:t xml:space="preserve"> rebroadcast </w:t>
      </w:r>
      <w:r w:rsidR="00B814B2">
        <w:rPr>
          <w:sz w:val="22"/>
          <w:szCs w:val="22"/>
        </w:rPr>
        <w:t>the</w:t>
      </w:r>
      <w:r w:rsidRPr="000A0858">
        <w:rPr>
          <w:sz w:val="22"/>
          <w:szCs w:val="22"/>
        </w:rPr>
        <w:t xml:space="preserve"> commercial programming</w:t>
      </w:r>
      <w:r w:rsidR="00B814B2">
        <w:rPr>
          <w:sz w:val="22"/>
          <w:szCs w:val="22"/>
        </w:rPr>
        <w:t xml:space="preserve"> of a commercial station</w:t>
      </w:r>
      <w:r w:rsidRPr="000A0858">
        <w:rPr>
          <w:sz w:val="22"/>
          <w:szCs w:val="22"/>
        </w:rPr>
        <w:t xml:space="preserve">, </w:t>
      </w:r>
      <w:r w:rsidR="00DB76A9">
        <w:rPr>
          <w:sz w:val="22"/>
          <w:szCs w:val="22"/>
        </w:rPr>
        <w:t>which is licensed to</w:t>
      </w:r>
      <w:r w:rsidRPr="000A0858">
        <w:rPr>
          <w:sz w:val="22"/>
          <w:szCs w:val="22"/>
        </w:rPr>
        <w:t xml:space="preserve"> </w:t>
      </w:r>
      <w:r w:rsidR="00B679E9">
        <w:rPr>
          <w:sz w:val="22"/>
          <w:szCs w:val="22"/>
        </w:rPr>
        <w:t xml:space="preserve">Capstar, </w:t>
      </w:r>
      <w:r w:rsidR="00DB76A9">
        <w:rPr>
          <w:sz w:val="22"/>
          <w:szCs w:val="22"/>
        </w:rPr>
        <w:t xml:space="preserve">itself </w:t>
      </w:r>
      <w:r w:rsidRPr="000A0858">
        <w:rPr>
          <w:sz w:val="22"/>
          <w:szCs w:val="22"/>
        </w:rPr>
        <w:t>a commercial entity</w:t>
      </w:r>
      <w:r w:rsidR="00DB76A9">
        <w:rPr>
          <w:sz w:val="22"/>
          <w:szCs w:val="22"/>
        </w:rPr>
        <w:t>.</w:t>
      </w:r>
      <w:r>
        <w:rPr>
          <w:rStyle w:val="FootnoteReference"/>
          <w:rFonts w:ascii="Times New Roman" w:hAnsi="Times New Roman"/>
          <w:sz w:val="22"/>
          <w:szCs w:val="22"/>
        </w:rPr>
        <w:footnoteReference w:id="7"/>
      </w:r>
      <w:r w:rsidR="00DB76A9">
        <w:rPr>
          <w:sz w:val="22"/>
          <w:szCs w:val="22"/>
        </w:rPr>
        <w:t xml:space="preserve">  Triangle also argues that </w:t>
      </w:r>
      <w:r w:rsidR="00AC2651">
        <w:rPr>
          <w:sz w:val="22"/>
          <w:szCs w:val="22"/>
        </w:rPr>
        <w:t>broadc</w:t>
      </w:r>
      <w:r w:rsidR="004B5F87">
        <w:rPr>
          <w:sz w:val="22"/>
          <w:szCs w:val="22"/>
        </w:rPr>
        <w:t>asting</w:t>
      </w:r>
      <w:r w:rsidR="00AC2651">
        <w:rPr>
          <w:sz w:val="22"/>
          <w:szCs w:val="22"/>
        </w:rPr>
        <w:t xml:space="preserve"> </w:t>
      </w:r>
      <w:r w:rsidR="00DB76A9">
        <w:rPr>
          <w:sz w:val="22"/>
          <w:szCs w:val="22"/>
        </w:rPr>
        <w:t xml:space="preserve">commercial programming is </w:t>
      </w:r>
      <w:r w:rsidR="00E45173">
        <w:rPr>
          <w:sz w:val="22"/>
          <w:szCs w:val="22"/>
        </w:rPr>
        <w:t>inconsistent with</w:t>
      </w:r>
      <w:r w:rsidR="00DB76A9">
        <w:rPr>
          <w:sz w:val="22"/>
          <w:szCs w:val="22"/>
        </w:rPr>
        <w:t xml:space="preserve"> RTN’s charitable purpose, and that </w:t>
      </w:r>
      <w:r w:rsidRPr="000A0858">
        <w:rPr>
          <w:sz w:val="22"/>
          <w:szCs w:val="22"/>
        </w:rPr>
        <w:t>Capstar</w:t>
      </w:r>
      <w:r w:rsidR="00DB76A9">
        <w:rPr>
          <w:sz w:val="22"/>
          <w:szCs w:val="22"/>
        </w:rPr>
        <w:t xml:space="preserve"> </w:t>
      </w:r>
      <w:r w:rsidRPr="000A0858">
        <w:rPr>
          <w:sz w:val="22"/>
          <w:szCs w:val="22"/>
        </w:rPr>
        <w:t xml:space="preserve">may exercise control over the </w:t>
      </w:r>
      <w:r w:rsidR="00DB76A9">
        <w:rPr>
          <w:sz w:val="22"/>
          <w:szCs w:val="22"/>
        </w:rPr>
        <w:t>Translators</w:t>
      </w:r>
      <w:r w:rsidRPr="000A0858">
        <w:rPr>
          <w:sz w:val="22"/>
          <w:szCs w:val="22"/>
        </w:rPr>
        <w:t xml:space="preserve"> and could have an attributable ownership interest in RTN.</w:t>
      </w:r>
      <w:r>
        <w:rPr>
          <w:rStyle w:val="FootnoteReference"/>
          <w:rFonts w:ascii="Times New Roman" w:hAnsi="Times New Roman"/>
          <w:sz w:val="22"/>
          <w:szCs w:val="22"/>
        </w:rPr>
        <w:footnoteReference w:id="8"/>
      </w:r>
      <w:r w:rsidRPr="000A0858">
        <w:rPr>
          <w:sz w:val="22"/>
          <w:szCs w:val="22"/>
        </w:rPr>
        <w:t xml:space="preserve"> </w:t>
      </w:r>
      <w:r w:rsidR="00D0105E">
        <w:rPr>
          <w:sz w:val="22"/>
          <w:szCs w:val="22"/>
        </w:rPr>
        <w:t xml:space="preserve"> Finally, Triangle notes that other nonprofit entities, such as Positive Alternative Radio (PAR), pay regulatory fees for commercial translators.</w:t>
      </w:r>
      <w:r>
        <w:rPr>
          <w:rStyle w:val="FootnoteReference"/>
          <w:szCs w:val="22"/>
        </w:rPr>
        <w:footnoteReference w:id="9"/>
      </w:r>
    </w:p>
    <w:p w:rsidR="00866BCD" w:rsidRPr="000A0858" w:rsidP="00866BCD" w14:paraId="7945DE8B" w14:textId="77777777">
      <w:pPr>
        <w:ind w:firstLine="720"/>
        <w:rPr>
          <w:sz w:val="22"/>
          <w:szCs w:val="22"/>
        </w:rPr>
      </w:pPr>
    </w:p>
    <w:p w:rsidR="00866BCD" w:rsidRPr="000A0858" w:rsidP="00866BCD" w14:paraId="08777A1A" w14:textId="15E2BA20">
      <w:pPr>
        <w:ind w:firstLine="720"/>
        <w:rPr>
          <w:sz w:val="22"/>
          <w:szCs w:val="22"/>
        </w:rPr>
      </w:pPr>
      <w:r w:rsidRPr="000A0858">
        <w:rPr>
          <w:sz w:val="22"/>
          <w:szCs w:val="22"/>
        </w:rPr>
        <w:t>In its Opposition, RTN counters that</w:t>
      </w:r>
      <w:r w:rsidR="00DB76A9">
        <w:rPr>
          <w:sz w:val="22"/>
          <w:szCs w:val="22"/>
        </w:rPr>
        <w:t xml:space="preserve"> it is </w:t>
      </w:r>
      <w:r w:rsidRPr="000A0858">
        <w:rPr>
          <w:sz w:val="22"/>
          <w:szCs w:val="22"/>
        </w:rPr>
        <w:t>a qualified nonprofit, tax-exempt entity under section 501(c)(3) of the Internal Revenue Service (IRS) Code and is therefore exempt from paying regulatory fees on all of its licensed stations</w:t>
      </w:r>
      <w:r w:rsidR="00DB76A9">
        <w:rPr>
          <w:sz w:val="22"/>
          <w:szCs w:val="22"/>
        </w:rPr>
        <w:t xml:space="preserve"> under section 1.1162(c) of the Rules</w:t>
      </w:r>
      <w:r w:rsidR="00BC1CC6">
        <w:rPr>
          <w:sz w:val="22"/>
          <w:szCs w:val="22"/>
        </w:rPr>
        <w:t>.</w:t>
      </w:r>
      <w:r>
        <w:rPr>
          <w:rStyle w:val="FootnoteReference"/>
          <w:rFonts w:ascii="Times New Roman" w:hAnsi="Times New Roman"/>
          <w:sz w:val="22"/>
          <w:szCs w:val="22"/>
        </w:rPr>
        <w:footnoteReference w:id="10"/>
      </w:r>
      <w:r w:rsidRPr="000A0858">
        <w:rPr>
          <w:sz w:val="22"/>
          <w:szCs w:val="22"/>
        </w:rPr>
        <w:t xml:space="preserve"> </w:t>
      </w:r>
      <w:r w:rsidR="00BC1CC6">
        <w:rPr>
          <w:sz w:val="22"/>
          <w:szCs w:val="22"/>
        </w:rPr>
        <w:t xml:space="preserve"> RTN notes that the</w:t>
      </w:r>
      <w:r w:rsidRPr="000A0858">
        <w:rPr>
          <w:sz w:val="22"/>
          <w:szCs w:val="22"/>
        </w:rPr>
        <w:t xml:space="preserve"> Commission’s nonprofit exemption applies to a licensee based solely on its status as a nonprofit entity</w:t>
      </w:r>
      <w:r w:rsidR="00BC1CC6">
        <w:rPr>
          <w:sz w:val="22"/>
          <w:szCs w:val="22"/>
        </w:rPr>
        <w:t>.</w:t>
      </w:r>
      <w:r>
        <w:rPr>
          <w:rStyle w:val="FootnoteReference"/>
          <w:rFonts w:ascii="Times New Roman" w:hAnsi="Times New Roman"/>
          <w:sz w:val="22"/>
          <w:szCs w:val="22"/>
        </w:rPr>
        <w:footnoteReference w:id="11"/>
      </w:r>
      <w:r w:rsidRPr="000A0858">
        <w:rPr>
          <w:sz w:val="22"/>
          <w:szCs w:val="22"/>
        </w:rPr>
        <w:t xml:space="preserve"> </w:t>
      </w:r>
      <w:r w:rsidR="003C19F2">
        <w:rPr>
          <w:sz w:val="22"/>
          <w:szCs w:val="22"/>
        </w:rPr>
        <w:t xml:space="preserve"> </w:t>
      </w:r>
      <w:r w:rsidR="00BC1CC6">
        <w:rPr>
          <w:sz w:val="22"/>
          <w:szCs w:val="22"/>
        </w:rPr>
        <w:t xml:space="preserve">RTN furthers states that </w:t>
      </w:r>
      <w:r w:rsidR="005D30D7">
        <w:rPr>
          <w:sz w:val="22"/>
          <w:szCs w:val="22"/>
        </w:rPr>
        <w:t xml:space="preserve">the State of Georgia </w:t>
      </w:r>
      <w:r w:rsidR="00A768B6">
        <w:rPr>
          <w:sz w:val="22"/>
          <w:szCs w:val="22"/>
        </w:rPr>
        <w:t xml:space="preserve">recognizes </w:t>
      </w:r>
      <w:r w:rsidR="00BC1CC6">
        <w:rPr>
          <w:sz w:val="22"/>
          <w:szCs w:val="22"/>
        </w:rPr>
        <w:t xml:space="preserve">its status as a nonprofit entity , and </w:t>
      </w:r>
      <w:r w:rsidR="00A768B6">
        <w:rPr>
          <w:sz w:val="22"/>
          <w:szCs w:val="22"/>
        </w:rPr>
        <w:t>that</w:t>
      </w:r>
      <w:r w:rsidR="00BC1CC6">
        <w:rPr>
          <w:sz w:val="22"/>
          <w:szCs w:val="22"/>
        </w:rPr>
        <w:t xml:space="preserve"> it</w:t>
      </w:r>
      <w:r w:rsidRPr="000A0858">
        <w:rPr>
          <w:sz w:val="22"/>
          <w:szCs w:val="22"/>
        </w:rPr>
        <w:t xml:space="preserve"> is permitted to generate unrelated business income as long as it primarily engages in activities that accomplish one or more tax-exempt purposes</w:t>
      </w:r>
      <w:r w:rsidR="00BC1CC6">
        <w:rPr>
          <w:sz w:val="22"/>
          <w:szCs w:val="22"/>
        </w:rPr>
        <w:t>.</w:t>
      </w:r>
      <w:r>
        <w:rPr>
          <w:rStyle w:val="FootnoteReference"/>
          <w:rFonts w:ascii="Times New Roman" w:hAnsi="Times New Roman"/>
          <w:sz w:val="22"/>
          <w:szCs w:val="22"/>
        </w:rPr>
        <w:footnoteReference w:id="12"/>
      </w:r>
      <w:r w:rsidRPr="000A0858">
        <w:rPr>
          <w:sz w:val="22"/>
          <w:szCs w:val="22"/>
        </w:rPr>
        <w:t xml:space="preserve"> </w:t>
      </w:r>
      <w:r w:rsidR="00BC1CC6">
        <w:rPr>
          <w:sz w:val="22"/>
          <w:szCs w:val="22"/>
        </w:rPr>
        <w:t xml:space="preserve"> </w:t>
      </w:r>
      <w:r w:rsidRPr="000A0858">
        <w:rPr>
          <w:sz w:val="22"/>
          <w:szCs w:val="22"/>
        </w:rPr>
        <w:t>RTN</w:t>
      </w:r>
      <w:r w:rsidR="00BC1CC6">
        <w:rPr>
          <w:sz w:val="22"/>
          <w:szCs w:val="22"/>
        </w:rPr>
        <w:t xml:space="preserve"> states that it</w:t>
      </w:r>
      <w:r w:rsidRPr="000A0858">
        <w:rPr>
          <w:sz w:val="22"/>
          <w:szCs w:val="22"/>
        </w:rPr>
        <w:t>s status as a nonprofit entity</w:t>
      </w:r>
      <w:r w:rsidR="00BC1CC6">
        <w:rPr>
          <w:sz w:val="22"/>
          <w:szCs w:val="22"/>
        </w:rPr>
        <w:t>—</w:t>
      </w:r>
      <w:r w:rsidRPr="00BC1CC6" w:rsidR="00BC1CC6">
        <w:rPr>
          <w:sz w:val="22"/>
          <w:szCs w:val="22"/>
        </w:rPr>
        <w:t xml:space="preserve"> </w:t>
      </w:r>
      <w:r w:rsidRPr="000A0858" w:rsidR="00BC1CC6">
        <w:rPr>
          <w:sz w:val="22"/>
          <w:szCs w:val="22"/>
        </w:rPr>
        <w:t xml:space="preserve">not </w:t>
      </w:r>
      <w:r w:rsidR="00BC1CC6">
        <w:rPr>
          <w:sz w:val="22"/>
          <w:szCs w:val="22"/>
        </w:rPr>
        <w:t xml:space="preserve">the </w:t>
      </w:r>
      <w:r w:rsidR="0048741E">
        <w:rPr>
          <w:sz w:val="22"/>
          <w:szCs w:val="22"/>
        </w:rPr>
        <w:t xml:space="preserve">commercial </w:t>
      </w:r>
      <w:r w:rsidR="0038179C">
        <w:rPr>
          <w:sz w:val="22"/>
          <w:szCs w:val="22"/>
        </w:rPr>
        <w:t>nature</w:t>
      </w:r>
      <w:r w:rsidR="009C6B35">
        <w:rPr>
          <w:sz w:val="22"/>
          <w:szCs w:val="22"/>
        </w:rPr>
        <w:t xml:space="preserve"> of the </w:t>
      </w:r>
      <w:r w:rsidRPr="000A0858" w:rsidR="00BC1CC6">
        <w:rPr>
          <w:sz w:val="22"/>
          <w:szCs w:val="22"/>
        </w:rPr>
        <w:t>programming</w:t>
      </w:r>
      <w:r w:rsidR="00BC1CC6">
        <w:rPr>
          <w:sz w:val="22"/>
          <w:szCs w:val="22"/>
        </w:rPr>
        <w:t xml:space="preserve"> it rebroadcasts—</w:t>
      </w:r>
      <w:r w:rsidRPr="000A0858">
        <w:rPr>
          <w:sz w:val="22"/>
          <w:szCs w:val="22"/>
        </w:rPr>
        <w:t>is the determinative factor, for assessing regulatory fees.</w:t>
      </w:r>
      <w:r>
        <w:rPr>
          <w:rStyle w:val="FootnoteReference"/>
          <w:rFonts w:ascii="Times New Roman" w:hAnsi="Times New Roman"/>
          <w:sz w:val="22"/>
          <w:szCs w:val="22"/>
        </w:rPr>
        <w:footnoteReference w:id="13"/>
      </w:r>
      <w:r w:rsidR="00083915">
        <w:rPr>
          <w:sz w:val="22"/>
          <w:szCs w:val="22"/>
        </w:rPr>
        <w:t xml:space="preserve">  </w:t>
      </w:r>
      <w:r w:rsidR="00D0105E">
        <w:rPr>
          <w:sz w:val="22"/>
          <w:szCs w:val="22"/>
        </w:rPr>
        <w:t>Finally, RTN argues that Triangle did</w:t>
      </w:r>
      <w:r w:rsidR="00E67CC2">
        <w:rPr>
          <w:sz w:val="22"/>
          <w:szCs w:val="22"/>
        </w:rPr>
        <w:t xml:space="preserve"> not</w:t>
      </w:r>
      <w:r w:rsidR="00D0105E">
        <w:rPr>
          <w:sz w:val="22"/>
          <w:szCs w:val="22"/>
        </w:rPr>
        <w:t xml:space="preserve"> provide evidence that PAR attempted to assert a nonprofit exemption from regulatory fees, but notes that, contrary to Triangle’s assertion, PAR has in fact claimed an exemption from regulatory fees on a recent application.</w:t>
      </w:r>
      <w:r>
        <w:rPr>
          <w:rStyle w:val="FootnoteReference"/>
          <w:szCs w:val="22"/>
        </w:rPr>
        <w:footnoteReference w:id="14"/>
      </w:r>
      <w:r w:rsidR="00D0105E">
        <w:rPr>
          <w:sz w:val="22"/>
          <w:szCs w:val="22"/>
        </w:rPr>
        <w:t xml:space="preserve">  </w:t>
      </w:r>
      <w:r w:rsidR="00083915">
        <w:rPr>
          <w:sz w:val="22"/>
          <w:szCs w:val="22"/>
        </w:rPr>
        <w:t xml:space="preserve">RTN supports its Opposition with a letter from the IRS </w:t>
      </w:r>
      <w:r w:rsidR="00373574">
        <w:rPr>
          <w:sz w:val="22"/>
          <w:szCs w:val="22"/>
        </w:rPr>
        <w:t>granting RTN</w:t>
      </w:r>
      <w:r w:rsidR="00083915">
        <w:rPr>
          <w:sz w:val="22"/>
          <w:szCs w:val="22"/>
        </w:rPr>
        <w:t xml:space="preserve"> tax-exempt status and a Certificate of Good Standing from the State of Georgia </w:t>
      </w:r>
      <w:r w:rsidR="00667EAB">
        <w:rPr>
          <w:sz w:val="22"/>
          <w:szCs w:val="22"/>
        </w:rPr>
        <w:t>stating that RTN is a nonprofit corporation.</w:t>
      </w:r>
      <w:r>
        <w:rPr>
          <w:rStyle w:val="FootnoteReference"/>
          <w:szCs w:val="22"/>
        </w:rPr>
        <w:footnoteReference w:id="15"/>
      </w:r>
    </w:p>
    <w:p w:rsidR="00866BCD" w:rsidRPr="000A0858" w:rsidP="00866BCD" w14:paraId="6A93F7CE" w14:textId="77777777">
      <w:pPr>
        <w:ind w:firstLine="720"/>
        <w:rPr>
          <w:sz w:val="22"/>
          <w:szCs w:val="22"/>
        </w:rPr>
      </w:pPr>
    </w:p>
    <w:p w:rsidR="00866BCD" w:rsidRPr="000A0858" w:rsidP="00866BCD" w14:paraId="49969B29" w14:textId="0C0776A6">
      <w:pPr>
        <w:ind w:firstLine="720"/>
        <w:rPr>
          <w:sz w:val="22"/>
          <w:szCs w:val="22"/>
        </w:rPr>
      </w:pPr>
      <w:r w:rsidRPr="000A0858">
        <w:rPr>
          <w:sz w:val="22"/>
          <w:szCs w:val="22"/>
        </w:rPr>
        <w:t xml:space="preserve">In its Reply, Triangle </w:t>
      </w:r>
      <w:r w:rsidR="00BC1CC6">
        <w:rPr>
          <w:sz w:val="22"/>
          <w:szCs w:val="22"/>
        </w:rPr>
        <w:t xml:space="preserve">argues that regardless of the </w:t>
      </w:r>
      <w:r w:rsidRPr="000A0858">
        <w:rPr>
          <w:sz w:val="22"/>
          <w:szCs w:val="22"/>
        </w:rPr>
        <w:t>nonprofit exemption in section 1.1162(c) of the Rules</w:t>
      </w:r>
      <w:r w:rsidR="00BC1CC6">
        <w:rPr>
          <w:sz w:val="22"/>
          <w:szCs w:val="22"/>
        </w:rPr>
        <w:t xml:space="preserve">, </w:t>
      </w:r>
      <w:r w:rsidRPr="000A0858">
        <w:rPr>
          <w:sz w:val="22"/>
          <w:szCs w:val="22"/>
        </w:rPr>
        <w:t>section 1.1162(e) also requires broadcasters to adhere to section 73.503</w:t>
      </w:r>
      <w:r w:rsidR="00BC1CC6">
        <w:rPr>
          <w:sz w:val="22"/>
          <w:szCs w:val="22"/>
        </w:rPr>
        <w:t xml:space="preserve">, which provides that a noncommercial translator </w:t>
      </w:r>
      <w:r w:rsidRPr="000A0858">
        <w:rPr>
          <w:sz w:val="22"/>
          <w:szCs w:val="22"/>
        </w:rPr>
        <w:t>will only be used for the advancement of an educational program</w:t>
      </w:r>
      <w:r w:rsidR="00462D5C">
        <w:rPr>
          <w:sz w:val="22"/>
          <w:szCs w:val="22"/>
        </w:rPr>
        <w:t>.</w:t>
      </w:r>
      <w:r>
        <w:rPr>
          <w:rStyle w:val="FootnoteReference"/>
          <w:rFonts w:ascii="Times New Roman" w:hAnsi="Times New Roman"/>
          <w:sz w:val="22"/>
          <w:szCs w:val="22"/>
        </w:rPr>
        <w:footnoteReference w:id="16"/>
      </w:r>
      <w:r w:rsidRPr="000A0858">
        <w:rPr>
          <w:sz w:val="22"/>
          <w:szCs w:val="22"/>
        </w:rPr>
        <w:t xml:space="preserve"> </w:t>
      </w:r>
      <w:r w:rsidR="00083915">
        <w:rPr>
          <w:sz w:val="22"/>
          <w:szCs w:val="22"/>
        </w:rPr>
        <w:t xml:space="preserve"> Triangle</w:t>
      </w:r>
      <w:r w:rsidR="00462D5C">
        <w:rPr>
          <w:sz w:val="22"/>
          <w:szCs w:val="22"/>
        </w:rPr>
        <w:t xml:space="preserve"> further argues that</w:t>
      </w:r>
      <w:r w:rsidRPr="000A0858">
        <w:rPr>
          <w:sz w:val="22"/>
          <w:szCs w:val="22"/>
        </w:rPr>
        <w:t xml:space="preserve"> the Commission should examine agreements between Capstar and RTN to determine whether Capstar </w:t>
      </w:r>
      <w:r w:rsidR="00083915">
        <w:rPr>
          <w:sz w:val="22"/>
          <w:szCs w:val="22"/>
        </w:rPr>
        <w:t>has an</w:t>
      </w:r>
      <w:r w:rsidRPr="000A0858">
        <w:rPr>
          <w:sz w:val="22"/>
          <w:szCs w:val="22"/>
        </w:rPr>
        <w:t xml:space="preserve"> attributable </w:t>
      </w:r>
      <w:r w:rsidR="00083915">
        <w:rPr>
          <w:sz w:val="22"/>
          <w:szCs w:val="22"/>
        </w:rPr>
        <w:t>interest in the Translators.</w:t>
      </w:r>
      <w:r>
        <w:rPr>
          <w:rStyle w:val="FootnoteReference"/>
          <w:rFonts w:ascii="Times New Roman" w:hAnsi="Times New Roman"/>
          <w:sz w:val="22"/>
          <w:szCs w:val="22"/>
        </w:rPr>
        <w:footnoteReference w:id="17"/>
      </w:r>
      <w:r w:rsidR="003C19F2">
        <w:rPr>
          <w:sz w:val="22"/>
          <w:szCs w:val="22"/>
        </w:rPr>
        <w:t xml:space="preserve"> </w:t>
      </w:r>
      <w:r w:rsidRPr="000A0858">
        <w:rPr>
          <w:sz w:val="22"/>
          <w:szCs w:val="22"/>
        </w:rPr>
        <w:t xml:space="preserve"> </w:t>
      </w:r>
      <w:r w:rsidR="00D0105E">
        <w:rPr>
          <w:sz w:val="22"/>
          <w:szCs w:val="22"/>
        </w:rPr>
        <w:t>Triangle also argue</w:t>
      </w:r>
      <w:r w:rsidR="007D471D">
        <w:rPr>
          <w:sz w:val="22"/>
          <w:szCs w:val="22"/>
        </w:rPr>
        <w:t>s</w:t>
      </w:r>
      <w:r w:rsidR="00D0105E">
        <w:rPr>
          <w:sz w:val="22"/>
          <w:szCs w:val="22"/>
        </w:rPr>
        <w:t xml:space="preserve"> that </w:t>
      </w:r>
      <w:r w:rsidR="007D471D">
        <w:rPr>
          <w:sz w:val="22"/>
          <w:szCs w:val="22"/>
        </w:rPr>
        <w:t xml:space="preserve">PAR’s recent assertion of the nonprofit exemption is </w:t>
      </w:r>
      <w:r w:rsidR="00175680">
        <w:rPr>
          <w:sz w:val="22"/>
          <w:szCs w:val="22"/>
        </w:rPr>
        <w:t>inapposite</w:t>
      </w:r>
      <w:r w:rsidR="007D471D">
        <w:rPr>
          <w:sz w:val="22"/>
          <w:szCs w:val="22"/>
        </w:rPr>
        <w:t xml:space="preserve"> because that translator </w:t>
      </w:r>
      <w:r w:rsidR="00DE36AF">
        <w:rPr>
          <w:sz w:val="22"/>
          <w:szCs w:val="22"/>
        </w:rPr>
        <w:t xml:space="preserve">station </w:t>
      </w:r>
      <w:r w:rsidR="007D471D">
        <w:rPr>
          <w:sz w:val="22"/>
          <w:szCs w:val="22"/>
        </w:rPr>
        <w:t>is rebroadcasting noncommercial programming.</w:t>
      </w:r>
      <w:r>
        <w:rPr>
          <w:rStyle w:val="FootnoteReference"/>
          <w:szCs w:val="22"/>
        </w:rPr>
        <w:footnoteReference w:id="18"/>
      </w:r>
      <w:r w:rsidR="007D471D">
        <w:rPr>
          <w:sz w:val="22"/>
          <w:szCs w:val="22"/>
        </w:rPr>
        <w:t xml:space="preserve">  </w:t>
      </w:r>
      <w:r w:rsidR="00083915">
        <w:rPr>
          <w:sz w:val="22"/>
          <w:szCs w:val="22"/>
        </w:rPr>
        <w:t xml:space="preserve">Finally, </w:t>
      </w:r>
      <w:r w:rsidR="00667EAB">
        <w:rPr>
          <w:sz w:val="22"/>
          <w:szCs w:val="22"/>
        </w:rPr>
        <w:t>Triangle</w:t>
      </w:r>
      <w:r w:rsidR="00083915">
        <w:rPr>
          <w:sz w:val="22"/>
          <w:szCs w:val="22"/>
        </w:rPr>
        <w:t xml:space="preserve"> </w:t>
      </w:r>
      <w:r w:rsidR="00667EAB">
        <w:rPr>
          <w:sz w:val="22"/>
          <w:szCs w:val="22"/>
        </w:rPr>
        <w:t>a</w:t>
      </w:r>
      <w:r w:rsidR="00083915">
        <w:rPr>
          <w:sz w:val="22"/>
          <w:szCs w:val="22"/>
        </w:rPr>
        <w:t>rgues that</w:t>
      </w:r>
      <w:r w:rsidRPr="000A0858">
        <w:rPr>
          <w:sz w:val="22"/>
          <w:szCs w:val="22"/>
        </w:rPr>
        <w:t xml:space="preserve"> </w:t>
      </w:r>
      <w:r w:rsidR="00667EAB">
        <w:rPr>
          <w:sz w:val="22"/>
          <w:szCs w:val="22"/>
        </w:rPr>
        <w:t xml:space="preserve">the exhibits RTN provided in the Opposition are </w:t>
      </w:r>
      <w:r w:rsidRPr="000A0858">
        <w:rPr>
          <w:sz w:val="22"/>
          <w:szCs w:val="22"/>
        </w:rPr>
        <w:t>from 2011 and 1989 a</w:t>
      </w:r>
      <w:r w:rsidR="00667EAB">
        <w:rPr>
          <w:sz w:val="22"/>
          <w:szCs w:val="22"/>
        </w:rPr>
        <w:t xml:space="preserve">nd thus </w:t>
      </w:r>
      <w:r w:rsidRPr="000A0858">
        <w:rPr>
          <w:sz w:val="22"/>
          <w:szCs w:val="22"/>
        </w:rPr>
        <w:t>outdated, and</w:t>
      </w:r>
      <w:r w:rsidR="00667EAB">
        <w:rPr>
          <w:sz w:val="22"/>
          <w:szCs w:val="22"/>
        </w:rPr>
        <w:t xml:space="preserve"> </w:t>
      </w:r>
      <w:r w:rsidR="00D0105E">
        <w:rPr>
          <w:sz w:val="22"/>
          <w:szCs w:val="22"/>
        </w:rPr>
        <w:t xml:space="preserve">that it is possible that RTN is no longer a nonprofit entity because </w:t>
      </w:r>
      <w:r w:rsidRPr="000A0858">
        <w:rPr>
          <w:sz w:val="22"/>
          <w:szCs w:val="22"/>
        </w:rPr>
        <w:t xml:space="preserve">RTN’s operation of a commercial translator deviates from the exclusively religious, nonprofit purposes originally stated </w:t>
      </w:r>
      <w:r w:rsidR="00D0105E">
        <w:rPr>
          <w:sz w:val="22"/>
          <w:szCs w:val="22"/>
        </w:rPr>
        <w:t>in those documents</w:t>
      </w:r>
      <w:r w:rsidRPr="000A0858">
        <w:rPr>
          <w:sz w:val="22"/>
          <w:szCs w:val="22"/>
        </w:rPr>
        <w:t>.</w:t>
      </w:r>
      <w:r>
        <w:rPr>
          <w:rStyle w:val="FootnoteReference"/>
          <w:rFonts w:ascii="Times New Roman" w:hAnsi="Times New Roman"/>
          <w:sz w:val="22"/>
          <w:szCs w:val="22"/>
        </w:rPr>
        <w:footnoteReference w:id="19"/>
      </w:r>
      <w:r w:rsidRPr="000A0858">
        <w:rPr>
          <w:sz w:val="22"/>
          <w:szCs w:val="22"/>
        </w:rPr>
        <w:t xml:space="preserve"> </w:t>
      </w:r>
    </w:p>
    <w:p w:rsidR="00866BCD" w:rsidP="00866BCD" w14:paraId="31CB615E" w14:textId="7A8FF84A">
      <w:pPr>
        <w:ind w:firstLine="720"/>
        <w:rPr>
          <w:sz w:val="22"/>
          <w:szCs w:val="22"/>
        </w:rPr>
      </w:pPr>
    </w:p>
    <w:p w:rsidR="00667EAB" w:rsidRPr="004A4082" w:rsidP="00866BCD" w14:paraId="0035268C" w14:textId="1A7B5749">
      <w:pPr>
        <w:ind w:firstLine="720"/>
        <w:rPr>
          <w:sz w:val="22"/>
          <w:szCs w:val="22"/>
        </w:rPr>
      </w:pPr>
      <w:r w:rsidRPr="00E90A15">
        <w:rPr>
          <w:sz w:val="22"/>
          <w:szCs w:val="22"/>
        </w:rPr>
        <w:t xml:space="preserve">In the </w:t>
      </w:r>
      <w:r w:rsidRPr="00E90A15">
        <w:rPr>
          <w:i/>
          <w:iCs/>
          <w:sz w:val="22"/>
          <w:szCs w:val="22"/>
        </w:rPr>
        <w:t>Staff Letter</w:t>
      </w:r>
      <w:r w:rsidRPr="00E90A15">
        <w:rPr>
          <w:sz w:val="22"/>
          <w:szCs w:val="22"/>
        </w:rPr>
        <w:t>, the Audio Division determined</w:t>
      </w:r>
      <w:r w:rsidRPr="00E90A15" w:rsidR="004A4082">
        <w:rPr>
          <w:sz w:val="22"/>
          <w:szCs w:val="22"/>
        </w:rPr>
        <w:t>, even though RTN is a nonprofit entity under sections 73.503 and section 74.1201(</w:t>
      </w:r>
      <w:r w:rsidRPr="00E90A15" w:rsidR="00E90A15">
        <w:rPr>
          <w:sz w:val="22"/>
          <w:szCs w:val="22"/>
        </w:rPr>
        <w:t>c</w:t>
      </w:r>
      <w:r w:rsidRPr="00E90A15" w:rsidR="004A4082">
        <w:rPr>
          <w:sz w:val="22"/>
          <w:szCs w:val="22"/>
        </w:rPr>
        <w:t>) of the Rules, the</w:t>
      </w:r>
      <w:r w:rsidRPr="00E90A15">
        <w:rPr>
          <w:sz w:val="22"/>
          <w:szCs w:val="22"/>
        </w:rPr>
        <w:t xml:space="preserve"> Translators </w:t>
      </w:r>
      <w:r w:rsidRPr="00E90A15" w:rsidR="004A4082">
        <w:rPr>
          <w:sz w:val="22"/>
          <w:szCs w:val="22"/>
        </w:rPr>
        <w:t xml:space="preserve">were commercial translators, and thus RTN was required to pay regulatory fees.  The </w:t>
      </w:r>
      <w:r w:rsidRPr="00E90A15" w:rsidR="004A4082">
        <w:rPr>
          <w:i/>
          <w:iCs/>
          <w:sz w:val="22"/>
          <w:szCs w:val="22"/>
        </w:rPr>
        <w:t>Staff Letter</w:t>
      </w:r>
      <w:r w:rsidRPr="00E90A15" w:rsidR="004A4082">
        <w:rPr>
          <w:sz w:val="22"/>
          <w:szCs w:val="22"/>
        </w:rPr>
        <w:t xml:space="preserve"> </w:t>
      </w:r>
      <w:r w:rsidRPr="00E90A15" w:rsidR="00AC6B29">
        <w:rPr>
          <w:sz w:val="22"/>
          <w:szCs w:val="22"/>
        </w:rPr>
        <w:t xml:space="preserve">directed RTN to amend the Application to reflect that it was not exempt from paying regulatory fees and pay its outstanding regulatory fees for FY 2019, or demonstrate why the </w:t>
      </w:r>
      <w:r w:rsidRPr="00E90A15" w:rsidR="0008070B">
        <w:rPr>
          <w:sz w:val="22"/>
          <w:szCs w:val="22"/>
        </w:rPr>
        <w:t>regulatory fees were inapplicable or should otherwise be waived or deferred.</w:t>
      </w:r>
    </w:p>
    <w:p w:rsidR="00667EAB" w:rsidRPr="00667EAB" w:rsidP="00866BCD" w14:paraId="09221E5F" w14:textId="77777777">
      <w:pPr>
        <w:ind w:firstLine="720"/>
        <w:rPr>
          <w:sz w:val="22"/>
          <w:szCs w:val="22"/>
        </w:rPr>
      </w:pPr>
    </w:p>
    <w:p w:rsidR="00A4063F" w:rsidRPr="000A0858" w:rsidP="00A4063F" w14:paraId="749852A5" w14:textId="08D04332">
      <w:pPr>
        <w:ind w:firstLine="720"/>
        <w:rPr>
          <w:sz w:val="22"/>
          <w:szCs w:val="22"/>
        </w:rPr>
      </w:pPr>
      <w:r>
        <w:rPr>
          <w:sz w:val="22"/>
          <w:szCs w:val="22"/>
        </w:rPr>
        <w:t xml:space="preserve">RTN filed </w:t>
      </w:r>
      <w:r w:rsidR="00FC5743">
        <w:rPr>
          <w:sz w:val="22"/>
          <w:szCs w:val="22"/>
        </w:rPr>
        <w:t>the required</w:t>
      </w:r>
      <w:r>
        <w:rPr>
          <w:sz w:val="22"/>
          <w:szCs w:val="22"/>
        </w:rPr>
        <w:t xml:space="preserve"> amendment to the Application on April 24, 2020, in which it noted that the Commission’s filing system, LMS, does not allow it </w:t>
      </w:r>
      <w:r w:rsidR="009F3015">
        <w:rPr>
          <w:sz w:val="22"/>
          <w:szCs w:val="22"/>
        </w:rPr>
        <w:t xml:space="preserve">to </w:t>
      </w:r>
      <w:r>
        <w:rPr>
          <w:sz w:val="22"/>
          <w:szCs w:val="22"/>
        </w:rPr>
        <w:t>modify the Application to indicate that it is not exempt from regulatory fees, and request</w:t>
      </w:r>
      <w:r w:rsidR="00A61C4D">
        <w:rPr>
          <w:sz w:val="22"/>
          <w:szCs w:val="22"/>
        </w:rPr>
        <w:t>ed</w:t>
      </w:r>
      <w:r>
        <w:rPr>
          <w:sz w:val="22"/>
          <w:szCs w:val="22"/>
        </w:rPr>
        <w:t xml:space="preserve"> that the Bureau manually modify the Application.  RTN also noted that it had paid the require regulatory fees to avoid dismissal of the Application.</w:t>
      </w:r>
    </w:p>
    <w:p w:rsidR="00A4063F" w:rsidP="00866BCD" w14:paraId="3BAB5D79" w14:textId="77777777">
      <w:pPr>
        <w:ind w:firstLine="720"/>
        <w:rPr>
          <w:sz w:val="22"/>
          <w:szCs w:val="22"/>
        </w:rPr>
      </w:pPr>
    </w:p>
    <w:p w:rsidR="00A4063F" w:rsidP="00866BCD" w14:paraId="08D6DE46" w14:textId="697CA6C5">
      <w:pPr>
        <w:ind w:firstLine="720"/>
        <w:rPr>
          <w:sz w:val="22"/>
          <w:szCs w:val="22"/>
        </w:rPr>
      </w:pPr>
      <w:r w:rsidRPr="000A0858">
        <w:rPr>
          <w:sz w:val="22"/>
          <w:szCs w:val="22"/>
        </w:rPr>
        <w:t>In its Petition, RTN</w:t>
      </w:r>
      <w:r w:rsidR="00667EAB">
        <w:rPr>
          <w:sz w:val="22"/>
          <w:szCs w:val="22"/>
        </w:rPr>
        <w:t xml:space="preserve"> </w:t>
      </w:r>
      <w:r w:rsidR="006F2AC5">
        <w:rPr>
          <w:sz w:val="22"/>
          <w:szCs w:val="22"/>
        </w:rPr>
        <w:t>reiterates</w:t>
      </w:r>
      <w:r w:rsidR="00667EAB">
        <w:rPr>
          <w:sz w:val="22"/>
          <w:szCs w:val="22"/>
        </w:rPr>
        <w:t xml:space="preserve"> </w:t>
      </w:r>
      <w:r w:rsidRPr="000A0858">
        <w:rPr>
          <w:sz w:val="22"/>
          <w:szCs w:val="22"/>
        </w:rPr>
        <w:t>that</w:t>
      </w:r>
      <w:r w:rsidR="006F2AC5">
        <w:rPr>
          <w:sz w:val="22"/>
          <w:szCs w:val="22"/>
        </w:rPr>
        <w:t xml:space="preserve"> </w:t>
      </w:r>
      <w:r w:rsidRPr="000A0858">
        <w:rPr>
          <w:sz w:val="22"/>
          <w:szCs w:val="22"/>
        </w:rPr>
        <w:t xml:space="preserve">RTN is a qualified nonprofit, tax-exempt entity under section 501(c)(3) of the </w:t>
      </w:r>
      <w:r w:rsidR="006F2AC5">
        <w:rPr>
          <w:sz w:val="22"/>
          <w:szCs w:val="22"/>
        </w:rPr>
        <w:t>IRS</w:t>
      </w:r>
      <w:r w:rsidR="005259FF">
        <w:rPr>
          <w:sz w:val="22"/>
          <w:szCs w:val="22"/>
        </w:rPr>
        <w:t xml:space="preserve"> </w:t>
      </w:r>
      <w:r w:rsidRPr="000A0858">
        <w:rPr>
          <w:sz w:val="22"/>
          <w:szCs w:val="22"/>
        </w:rPr>
        <w:t>Code and is therefore exempt from paying regulatory fees on all of its licensed stations</w:t>
      </w:r>
      <w:r w:rsidR="006F2AC5">
        <w:rPr>
          <w:sz w:val="22"/>
          <w:szCs w:val="22"/>
        </w:rPr>
        <w:t xml:space="preserve"> under section 1.1162(c), regardless of the nature of the Translators’ programming.</w:t>
      </w:r>
      <w:r>
        <w:rPr>
          <w:rStyle w:val="FootnoteReference"/>
          <w:rFonts w:ascii="Times New Roman" w:hAnsi="Times New Roman"/>
          <w:sz w:val="22"/>
          <w:szCs w:val="22"/>
        </w:rPr>
        <w:footnoteReference w:id="20"/>
      </w:r>
      <w:r w:rsidRPr="000A0858">
        <w:rPr>
          <w:sz w:val="22"/>
          <w:szCs w:val="22"/>
        </w:rPr>
        <w:t xml:space="preserve"> </w:t>
      </w:r>
      <w:r w:rsidR="006F2AC5">
        <w:rPr>
          <w:sz w:val="22"/>
          <w:szCs w:val="22"/>
        </w:rPr>
        <w:t xml:space="preserve"> RTN further argues that it did not address the commercia</w:t>
      </w:r>
      <w:r w:rsidR="005259FF">
        <w:rPr>
          <w:sz w:val="22"/>
          <w:szCs w:val="22"/>
        </w:rPr>
        <w:t>l</w:t>
      </w:r>
      <w:r w:rsidRPr="000A0858">
        <w:rPr>
          <w:sz w:val="22"/>
          <w:szCs w:val="22"/>
        </w:rPr>
        <w:t xml:space="preserve"> nature of the </w:t>
      </w:r>
      <w:r w:rsidR="00770212">
        <w:rPr>
          <w:sz w:val="22"/>
          <w:szCs w:val="22"/>
        </w:rPr>
        <w:t xml:space="preserve">Translators’ </w:t>
      </w:r>
      <w:r w:rsidRPr="000A0858">
        <w:rPr>
          <w:sz w:val="22"/>
          <w:szCs w:val="22"/>
        </w:rPr>
        <w:t xml:space="preserve">primary station, WDCG, because </w:t>
      </w:r>
      <w:r w:rsidR="006F2AC5">
        <w:rPr>
          <w:sz w:val="22"/>
          <w:szCs w:val="22"/>
        </w:rPr>
        <w:t>the</w:t>
      </w:r>
      <w:r w:rsidRPr="000A0858">
        <w:rPr>
          <w:sz w:val="22"/>
          <w:szCs w:val="22"/>
        </w:rPr>
        <w:t xml:space="preserve"> programming and the nature of the</w:t>
      </w:r>
      <w:r w:rsidR="005259FF">
        <w:rPr>
          <w:sz w:val="22"/>
          <w:szCs w:val="22"/>
        </w:rPr>
        <w:t xml:space="preserve"> primary</w:t>
      </w:r>
      <w:r w:rsidRPr="000A0858">
        <w:rPr>
          <w:sz w:val="22"/>
          <w:szCs w:val="22"/>
        </w:rPr>
        <w:t xml:space="preserve"> station are irrelevant</w:t>
      </w:r>
      <w:r w:rsidR="006F2AC5">
        <w:rPr>
          <w:sz w:val="22"/>
          <w:szCs w:val="22"/>
        </w:rPr>
        <w:t xml:space="preserve"> in determining whether a translator is exempt from regulatory fees where the </w:t>
      </w:r>
      <w:r w:rsidR="005259FF">
        <w:rPr>
          <w:sz w:val="22"/>
          <w:szCs w:val="22"/>
        </w:rPr>
        <w:t>licensee of the translator</w:t>
      </w:r>
      <w:r w:rsidR="006F2AC5">
        <w:rPr>
          <w:sz w:val="22"/>
          <w:szCs w:val="22"/>
        </w:rPr>
        <w:t xml:space="preserve"> is a nonprofit entity</w:t>
      </w:r>
      <w:r w:rsidR="001F7DA8">
        <w:rPr>
          <w:sz w:val="22"/>
          <w:szCs w:val="22"/>
        </w:rPr>
        <w:t>.</w:t>
      </w:r>
      <w:r>
        <w:rPr>
          <w:rStyle w:val="FootnoteReference"/>
          <w:rFonts w:ascii="Times New Roman" w:hAnsi="Times New Roman"/>
          <w:sz w:val="22"/>
          <w:szCs w:val="22"/>
        </w:rPr>
        <w:footnoteReference w:id="21"/>
      </w:r>
      <w:r w:rsidR="006F2AC5">
        <w:rPr>
          <w:sz w:val="22"/>
          <w:szCs w:val="22"/>
        </w:rPr>
        <w:t xml:space="preserve"> </w:t>
      </w:r>
      <w:r w:rsidR="005259FF">
        <w:rPr>
          <w:sz w:val="22"/>
          <w:szCs w:val="22"/>
        </w:rPr>
        <w:t xml:space="preserve"> RTN avers that the </w:t>
      </w:r>
      <w:r w:rsidR="005259FF">
        <w:rPr>
          <w:i/>
          <w:iCs/>
          <w:sz w:val="22"/>
          <w:szCs w:val="22"/>
        </w:rPr>
        <w:t xml:space="preserve">Staff Letter </w:t>
      </w:r>
      <w:r w:rsidR="005259FF">
        <w:rPr>
          <w:sz w:val="22"/>
          <w:szCs w:val="22"/>
        </w:rPr>
        <w:t>conflict</w:t>
      </w:r>
      <w:r w:rsidR="00F67AE9">
        <w:rPr>
          <w:sz w:val="22"/>
          <w:szCs w:val="22"/>
        </w:rPr>
        <w:t>s</w:t>
      </w:r>
      <w:r w:rsidR="005259FF">
        <w:rPr>
          <w:sz w:val="22"/>
          <w:szCs w:val="22"/>
        </w:rPr>
        <w:t xml:space="preserve"> with the Commission’s 2019 Order assessing regulatory fees, which notes that nonprofit entities are exempt from paying regulatory fees</w:t>
      </w:r>
      <w:r w:rsidR="00F67AE9">
        <w:rPr>
          <w:sz w:val="22"/>
          <w:szCs w:val="22"/>
        </w:rPr>
        <w:t xml:space="preserve"> and identifies noncommercial radio station</w:t>
      </w:r>
      <w:r w:rsidR="00077AFB">
        <w:rPr>
          <w:sz w:val="22"/>
          <w:szCs w:val="22"/>
        </w:rPr>
        <w:t>s</w:t>
      </w:r>
      <w:r w:rsidR="00F67AE9">
        <w:rPr>
          <w:sz w:val="22"/>
          <w:szCs w:val="22"/>
        </w:rPr>
        <w:t xml:space="preserve"> as a separate category of exempt entities</w:t>
      </w:r>
      <w:r w:rsidR="005259FF">
        <w:rPr>
          <w:sz w:val="22"/>
          <w:szCs w:val="22"/>
        </w:rPr>
        <w:t>.</w:t>
      </w:r>
      <w:r>
        <w:rPr>
          <w:rStyle w:val="FootnoteReference"/>
          <w:szCs w:val="22"/>
        </w:rPr>
        <w:footnoteReference w:id="22"/>
      </w:r>
      <w:r w:rsidR="005259FF">
        <w:rPr>
          <w:sz w:val="22"/>
          <w:szCs w:val="22"/>
        </w:rPr>
        <w:t xml:space="preserve"> </w:t>
      </w:r>
      <w:r w:rsidR="006F2AC5">
        <w:rPr>
          <w:sz w:val="22"/>
          <w:szCs w:val="22"/>
        </w:rPr>
        <w:t xml:space="preserve"> </w:t>
      </w:r>
      <w:r w:rsidR="00F67AE9">
        <w:rPr>
          <w:sz w:val="22"/>
          <w:szCs w:val="22"/>
        </w:rPr>
        <w:t>Thus, R</w:t>
      </w:r>
      <w:r w:rsidR="005259FF">
        <w:rPr>
          <w:sz w:val="22"/>
          <w:szCs w:val="22"/>
        </w:rPr>
        <w:t xml:space="preserve">TN argues the </w:t>
      </w:r>
      <w:r w:rsidRPr="005259FF">
        <w:rPr>
          <w:sz w:val="22"/>
          <w:szCs w:val="22"/>
        </w:rPr>
        <w:t>Bureau</w:t>
      </w:r>
      <w:r w:rsidRPr="000A0858">
        <w:rPr>
          <w:sz w:val="22"/>
          <w:szCs w:val="22"/>
        </w:rPr>
        <w:t xml:space="preserve"> </w:t>
      </w:r>
      <w:r w:rsidR="005259FF">
        <w:rPr>
          <w:sz w:val="22"/>
          <w:szCs w:val="22"/>
        </w:rPr>
        <w:t xml:space="preserve">erred in the </w:t>
      </w:r>
      <w:r w:rsidR="005259FF">
        <w:rPr>
          <w:i/>
          <w:iCs/>
          <w:sz w:val="22"/>
          <w:szCs w:val="22"/>
        </w:rPr>
        <w:t xml:space="preserve">Staff Letter </w:t>
      </w:r>
      <w:r w:rsidR="00323D81">
        <w:rPr>
          <w:sz w:val="22"/>
          <w:szCs w:val="22"/>
        </w:rPr>
        <w:t>when it found</w:t>
      </w:r>
      <w:r w:rsidR="005259FF">
        <w:rPr>
          <w:sz w:val="22"/>
          <w:szCs w:val="22"/>
        </w:rPr>
        <w:t xml:space="preserve"> that</w:t>
      </w:r>
      <w:r w:rsidRPr="000A0858">
        <w:rPr>
          <w:sz w:val="22"/>
          <w:szCs w:val="22"/>
        </w:rPr>
        <w:t xml:space="preserve"> the nonprofit exemption </w:t>
      </w:r>
      <w:r w:rsidR="005259FF">
        <w:rPr>
          <w:sz w:val="22"/>
          <w:szCs w:val="22"/>
        </w:rPr>
        <w:t xml:space="preserve">applies </w:t>
      </w:r>
      <w:r w:rsidRPr="000A0858">
        <w:rPr>
          <w:sz w:val="22"/>
          <w:szCs w:val="22"/>
        </w:rPr>
        <w:t>only to nonprofit or noncommercial activity</w:t>
      </w:r>
      <w:r w:rsidR="005259FF">
        <w:rPr>
          <w:sz w:val="22"/>
          <w:szCs w:val="22"/>
        </w:rPr>
        <w:t xml:space="preserve">, and argues that </w:t>
      </w:r>
      <w:r w:rsidR="00994371">
        <w:rPr>
          <w:sz w:val="22"/>
          <w:szCs w:val="22"/>
        </w:rPr>
        <w:t xml:space="preserve">the </w:t>
      </w:r>
      <w:r w:rsidRPr="000A0858">
        <w:rPr>
          <w:sz w:val="22"/>
          <w:szCs w:val="22"/>
        </w:rPr>
        <w:t>nonprofit exemption applies to a licensee based solely on its status as a nonprofit entity</w:t>
      </w:r>
      <w:r w:rsidR="005259FF">
        <w:rPr>
          <w:sz w:val="22"/>
          <w:szCs w:val="22"/>
        </w:rPr>
        <w:t>,</w:t>
      </w:r>
      <w:r w:rsidRPr="000A0858">
        <w:rPr>
          <w:sz w:val="22"/>
          <w:szCs w:val="22"/>
        </w:rPr>
        <w:t xml:space="preserve"> regardless of the </w:t>
      </w:r>
      <w:r w:rsidR="009D75A5">
        <w:rPr>
          <w:sz w:val="22"/>
          <w:szCs w:val="22"/>
        </w:rPr>
        <w:t xml:space="preserve">commercial nature of the </w:t>
      </w:r>
      <w:r w:rsidRPr="000A0858">
        <w:rPr>
          <w:sz w:val="22"/>
          <w:szCs w:val="22"/>
        </w:rPr>
        <w:t>station</w:t>
      </w:r>
      <w:r w:rsidR="00A805A3">
        <w:rPr>
          <w:sz w:val="22"/>
          <w:szCs w:val="22"/>
        </w:rPr>
        <w:t>’s</w:t>
      </w:r>
      <w:r w:rsidRPr="000A0858">
        <w:rPr>
          <w:sz w:val="22"/>
          <w:szCs w:val="22"/>
        </w:rPr>
        <w:t xml:space="preserve"> programming.</w:t>
      </w:r>
      <w:r>
        <w:rPr>
          <w:rStyle w:val="FootnoteReference"/>
          <w:rFonts w:ascii="Times New Roman" w:hAnsi="Times New Roman"/>
          <w:sz w:val="22"/>
          <w:szCs w:val="22"/>
        </w:rPr>
        <w:footnoteReference w:id="23"/>
      </w:r>
      <w:r>
        <w:rPr>
          <w:sz w:val="22"/>
          <w:szCs w:val="22"/>
        </w:rPr>
        <w:t xml:space="preserve">  </w:t>
      </w:r>
    </w:p>
    <w:p w:rsidR="00A4063F" w:rsidP="00866BCD" w14:paraId="1AF6F5B2" w14:textId="77777777">
      <w:pPr>
        <w:ind w:firstLine="720"/>
        <w:rPr>
          <w:sz w:val="22"/>
          <w:szCs w:val="22"/>
        </w:rPr>
      </w:pPr>
    </w:p>
    <w:p w:rsidR="00B04621" w:rsidRPr="00D426DF" w:rsidP="00B04621" w14:paraId="383F2B57" w14:textId="5A139800">
      <w:pPr>
        <w:ind w:firstLine="720"/>
        <w:rPr>
          <w:sz w:val="22"/>
          <w:szCs w:val="22"/>
        </w:rPr>
      </w:pPr>
      <w:r w:rsidRPr="0040127D">
        <w:rPr>
          <w:b/>
          <w:bCs/>
          <w:sz w:val="22"/>
          <w:szCs w:val="22"/>
        </w:rPr>
        <w:t>Discussion.</w:t>
      </w:r>
      <w:r w:rsidRPr="0040127D">
        <w:rPr>
          <w:sz w:val="22"/>
          <w:szCs w:val="22"/>
        </w:rPr>
        <w:t xml:space="preserve">  Under section 309(k) of the Communications Act of 1934, as amended (Act), the Commission shall grant the renewal application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w:t>
      </w:r>
      <w:r>
        <w:rPr>
          <w:rStyle w:val="FootnoteReference"/>
          <w:rFonts w:ascii="Times New Roman" w:hAnsi="Times New Roman"/>
          <w:sz w:val="22"/>
          <w:szCs w:val="22"/>
        </w:rPr>
        <w:footnoteReference w:id="24"/>
      </w:r>
      <w:r w:rsidRPr="0040127D">
        <w:rPr>
          <w:sz w:val="22"/>
          <w:szCs w:val="22"/>
        </w:rPr>
        <w:t xml:space="preserve"> </w:t>
      </w:r>
      <w:r w:rsidRPr="0040127D">
        <w:rPr>
          <w:i/>
          <w:sz w:val="22"/>
          <w:szCs w:val="22"/>
        </w:rPr>
        <w:t xml:space="preserve"> </w:t>
      </w:r>
      <w:r w:rsidRPr="000A0858" w:rsidR="00866BCD">
        <w:rPr>
          <w:sz w:val="22"/>
          <w:szCs w:val="22"/>
        </w:rPr>
        <w:t>Under section 309(k) of the Act, we will deny an application for renewal of a broadcast station license only if we find, after notice and an opportunity for a hearing, that the station has failed to serve the public interest, convenience and necessity, committed a serious violation of the Act or rules, or committed a series of violations that constitute a pattern of abuse.</w:t>
      </w:r>
      <w:r>
        <w:rPr>
          <w:sz w:val="22"/>
          <w:szCs w:val="22"/>
          <w:vertAlign w:val="superscript"/>
        </w:rPr>
        <w:footnoteReference w:id="25"/>
      </w:r>
    </w:p>
    <w:p w:rsidR="00B04621" w:rsidRPr="00D426DF" w:rsidP="00B04621" w14:paraId="6A6E8464" w14:textId="77777777">
      <w:pPr>
        <w:ind w:firstLine="720"/>
        <w:rPr>
          <w:sz w:val="22"/>
          <w:szCs w:val="22"/>
        </w:rPr>
      </w:pPr>
    </w:p>
    <w:p w:rsidR="00B04621" w:rsidRPr="00D426DF" w:rsidP="00B04621" w14:paraId="2CD9DDBA" w14:textId="0C456513">
      <w:pPr>
        <w:ind w:firstLine="720"/>
        <w:rPr>
          <w:sz w:val="22"/>
          <w:szCs w:val="22"/>
        </w:rPr>
      </w:pPr>
      <w:r w:rsidRPr="00D426DF">
        <w:rPr>
          <w:sz w:val="22"/>
          <w:szCs w:val="22"/>
        </w:rPr>
        <w:t xml:space="preserve">Informal objections to license renewal applications, like petitions to deny, must provide properly supported allegations of fact that, if true, would establish a substantial and material question of fact that grant of the application would be </w:t>
      </w:r>
      <w:r w:rsidRPr="00D426DF">
        <w:rPr>
          <w:i/>
          <w:iCs/>
          <w:sz w:val="22"/>
          <w:szCs w:val="22"/>
        </w:rPr>
        <w:t>prima facie</w:t>
      </w:r>
      <w:r w:rsidRPr="00D426DF">
        <w:rPr>
          <w:sz w:val="22"/>
          <w:szCs w:val="22"/>
        </w:rPr>
        <w:t xml:space="preserve"> inconsistent with section 309(k) of the Act.</w:t>
      </w:r>
      <w:r>
        <w:rPr>
          <w:rStyle w:val="FootnoteReference"/>
          <w:rFonts w:ascii="Times New Roman" w:hAnsi="Times New Roman"/>
          <w:sz w:val="22"/>
          <w:szCs w:val="22"/>
        </w:rPr>
        <w:footnoteReference w:id="26"/>
      </w:r>
      <w:r w:rsidRPr="00D426DF">
        <w:rPr>
          <w:sz w:val="22"/>
          <w:szCs w:val="22"/>
        </w:rPr>
        <w:t xml:space="preserve">  Informal objections must also contain adequate and specific factual allegations sufficient to warrant the relief requested.</w:t>
      </w:r>
      <w:r>
        <w:rPr>
          <w:rStyle w:val="FootnoteReference"/>
          <w:rFonts w:ascii="Times New Roman" w:hAnsi="Times New Roman"/>
          <w:sz w:val="22"/>
          <w:szCs w:val="22"/>
        </w:rPr>
        <w:footnoteReference w:id="27"/>
      </w:r>
      <w:r w:rsidRPr="00D426DF">
        <w:rPr>
          <w:sz w:val="22"/>
          <w:szCs w:val="22"/>
        </w:rPr>
        <w:t xml:space="preserve">  For the reasons set for</w:t>
      </w:r>
      <w:r w:rsidR="00B85526">
        <w:rPr>
          <w:sz w:val="22"/>
          <w:szCs w:val="22"/>
        </w:rPr>
        <w:t>th</w:t>
      </w:r>
      <w:r w:rsidRPr="00D426DF">
        <w:rPr>
          <w:sz w:val="22"/>
          <w:szCs w:val="22"/>
        </w:rPr>
        <w:t xml:space="preserve"> below, we find that Triangle has not met this burden. </w:t>
      </w:r>
    </w:p>
    <w:p w:rsidR="00B04621" w:rsidP="00B04621" w14:paraId="3D1BE38A" w14:textId="39171592">
      <w:pPr>
        <w:rPr>
          <w:sz w:val="22"/>
          <w:szCs w:val="22"/>
        </w:rPr>
      </w:pPr>
    </w:p>
    <w:p w:rsidR="0047690E" w:rsidP="00114752" w14:paraId="2A3AC75A" w14:textId="18449844">
      <w:pPr>
        <w:rPr>
          <w:sz w:val="22"/>
          <w:szCs w:val="22"/>
        </w:rPr>
      </w:pPr>
      <w:r>
        <w:rPr>
          <w:sz w:val="22"/>
          <w:szCs w:val="22"/>
        </w:rPr>
        <w:tab/>
      </w:r>
      <w:bookmarkStart w:id="0" w:name="_Hlk24723186"/>
      <w:bookmarkEnd w:id="0"/>
      <w:r w:rsidRPr="00B868D2" w:rsidR="00474A19">
        <w:rPr>
          <w:i/>
          <w:iCs/>
          <w:sz w:val="22"/>
          <w:szCs w:val="22"/>
        </w:rPr>
        <w:t>Regulatory Fee</w:t>
      </w:r>
      <w:r w:rsidR="00474A19">
        <w:rPr>
          <w:i/>
          <w:iCs/>
          <w:sz w:val="22"/>
          <w:szCs w:val="22"/>
        </w:rPr>
        <w:t>s</w:t>
      </w:r>
      <w:r w:rsidRPr="00B868D2" w:rsidR="00474A19">
        <w:rPr>
          <w:sz w:val="22"/>
          <w:szCs w:val="22"/>
        </w:rPr>
        <w:t xml:space="preserve">.  </w:t>
      </w:r>
      <w:r w:rsidR="00B90341">
        <w:rPr>
          <w:sz w:val="22"/>
          <w:szCs w:val="22"/>
        </w:rPr>
        <w:t>S</w:t>
      </w:r>
      <w:r w:rsidRPr="00D426DF" w:rsidR="00B04621">
        <w:rPr>
          <w:sz w:val="22"/>
          <w:szCs w:val="22"/>
        </w:rPr>
        <w:t>ection 9 of the Act, and section 1.1153 of the Rules</w:t>
      </w:r>
      <w:r w:rsidR="00B90341">
        <w:rPr>
          <w:sz w:val="22"/>
          <w:szCs w:val="22"/>
        </w:rPr>
        <w:t xml:space="preserve"> require that </w:t>
      </w:r>
      <w:r w:rsidRPr="00D426DF" w:rsidR="00B04621">
        <w:rPr>
          <w:sz w:val="22"/>
          <w:szCs w:val="22"/>
        </w:rPr>
        <w:t>the Commission assess and collect regulatory fees to recover the costs of certain regulatory activities.</w:t>
      </w:r>
      <w:r>
        <w:rPr>
          <w:rStyle w:val="FootnoteReference"/>
          <w:rFonts w:ascii="Times New Roman" w:hAnsi="Times New Roman"/>
          <w:sz w:val="22"/>
          <w:szCs w:val="22"/>
        </w:rPr>
        <w:footnoteReference w:id="28"/>
      </w:r>
      <w:r w:rsidRPr="00D426DF" w:rsidR="00B04621">
        <w:rPr>
          <w:sz w:val="22"/>
          <w:szCs w:val="22"/>
        </w:rPr>
        <w:t xml:space="preserve">  </w:t>
      </w:r>
      <w:bookmarkStart w:id="1" w:name="_Hlk47002769"/>
      <w:r w:rsidRPr="00D426DF" w:rsidR="00B04621">
        <w:rPr>
          <w:sz w:val="22"/>
          <w:szCs w:val="22"/>
        </w:rPr>
        <w:t xml:space="preserve">Section 159(e)(1)(A) of the Act and section 1.1162(c) of the Rules </w:t>
      </w:r>
      <w:r w:rsidR="002D3DB5">
        <w:rPr>
          <w:sz w:val="22"/>
          <w:szCs w:val="22"/>
        </w:rPr>
        <w:t xml:space="preserve">exempt nonprofit entities from the </w:t>
      </w:r>
      <w:r w:rsidR="00027900">
        <w:rPr>
          <w:sz w:val="22"/>
          <w:szCs w:val="22"/>
        </w:rPr>
        <w:t xml:space="preserve">requirement to pay </w:t>
      </w:r>
      <w:r w:rsidRPr="00D426DF" w:rsidR="00B04621">
        <w:rPr>
          <w:sz w:val="22"/>
          <w:szCs w:val="22"/>
        </w:rPr>
        <w:t>regulatory fee</w:t>
      </w:r>
      <w:r w:rsidR="00027900">
        <w:rPr>
          <w:sz w:val="22"/>
          <w:szCs w:val="22"/>
        </w:rPr>
        <w:t>s</w:t>
      </w:r>
      <w:r w:rsidRPr="006D7C18" w:rsidR="00B04621">
        <w:rPr>
          <w:sz w:val="22"/>
          <w:szCs w:val="22"/>
        </w:rPr>
        <w:t>.</w:t>
      </w:r>
      <w:r>
        <w:rPr>
          <w:rStyle w:val="FootnoteReference"/>
          <w:rFonts w:ascii="Times New Roman" w:hAnsi="Times New Roman"/>
          <w:sz w:val="22"/>
          <w:szCs w:val="22"/>
        </w:rPr>
        <w:footnoteReference w:id="29"/>
      </w:r>
      <w:r w:rsidRPr="006D7C18" w:rsidR="00B04621">
        <w:rPr>
          <w:sz w:val="22"/>
          <w:szCs w:val="22"/>
        </w:rPr>
        <w:t xml:space="preserve">  </w:t>
      </w:r>
      <w:bookmarkEnd w:id="1"/>
      <w:r w:rsidRPr="006D7C18" w:rsidR="00B04621">
        <w:rPr>
          <w:sz w:val="22"/>
          <w:szCs w:val="22"/>
        </w:rPr>
        <w:t xml:space="preserve">The nonprofit exemption is available only to those licensees who have established their nonprofit status under </w:t>
      </w:r>
      <w:r w:rsidR="00B04621">
        <w:rPr>
          <w:sz w:val="22"/>
          <w:szCs w:val="22"/>
        </w:rPr>
        <w:t>s</w:t>
      </w:r>
      <w:r w:rsidRPr="006D7C18" w:rsidR="00B04621">
        <w:rPr>
          <w:sz w:val="22"/>
          <w:szCs w:val="22"/>
        </w:rPr>
        <w:t xml:space="preserve">ection 501 of the </w:t>
      </w:r>
      <w:r w:rsidRPr="00D426DF" w:rsidR="00B04621">
        <w:rPr>
          <w:sz w:val="22"/>
          <w:szCs w:val="22"/>
        </w:rPr>
        <w:t>Internal Revenue Code</w:t>
      </w:r>
      <w:r w:rsidRPr="006D7C18" w:rsidR="00B04621">
        <w:rPr>
          <w:sz w:val="22"/>
          <w:szCs w:val="22"/>
        </w:rPr>
        <w:t xml:space="preserve"> or to those licensees with certification as a nonprofit entity by state or other governmental authority.</w:t>
      </w:r>
      <w:r>
        <w:rPr>
          <w:rStyle w:val="FootnoteReference"/>
          <w:rFonts w:ascii="Times New Roman" w:hAnsi="Times New Roman"/>
          <w:sz w:val="22"/>
          <w:szCs w:val="22"/>
        </w:rPr>
        <w:footnoteReference w:id="30"/>
      </w:r>
      <w:r w:rsidR="00B04621">
        <w:rPr>
          <w:sz w:val="22"/>
          <w:szCs w:val="22"/>
        </w:rPr>
        <w:t xml:space="preserve">  Thus, this exemption is predicated solely on the entity’s status as a qualified nonprofit entity.</w:t>
      </w:r>
      <w:r>
        <w:rPr>
          <w:rStyle w:val="FootnoteReference"/>
          <w:rFonts w:ascii="Times New Roman" w:hAnsi="Times New Roman"/>
          <w:sz w:val="22"/>
          <w:szCs w:val="22"/>
        </w:rPr>
        <w:footnoteReference w:id="31"/>
      </w:r>
    </w:p>
    <w:p w:rsidR="0047690E" w:rsidP="001172AD" w14:paraId="628ACD50" w14:textId="77777777">
      <w:pPr>
        <w:ind w:firstLine="720"/>
        <w:rPr>
          <w:sz w:val="22"/>
          <w:szCs w:val="22"/>
        </w:rPr>
      </w:pPr>
    </w:p>
    <w:p w:rsidR="00D0105E" w:rsidP="00F15594" w14:paraId="6276D30F" w14:textId="2D5049FC">
      <w:pPr>
        <w:ind w:firstLine="720"/>
        <w:rPr>
          <w:sz w:val="22"/>
          <w:szCs w:val="22"/>
        </w:rPr>
      </w:pPr>
      <w:r w:rsidRPr="006D7C18">
        <w:rPr>
          <w:sz w:val="22"/>
          <w:szCs w:val="22"/>
        </w:rPr>
        <w:t xml:space="preserve">We have confirmed that </w:t>
      </w:r>
      <w:r w:rsidR="0047690E">
        <w:rPr>
          <w:sz w:val="22"/>
          <w:szCs w:val="22"/>
        </w:rPr>
        <w:t>RTN</w:t>
      </w:r>
      <w:r w:rsidRPr="006D7C18">
        <w:rPr>
          <w:sz w:val="22"/>
          <w:szCs w:val="22"/>
        </w:rPr>
        <w:t xml:space="preserve"> is recognized as a nonprofit organization under </w:t>
      </w:r>
      <w:r>
        <w:rPr>
          <w:sz w:val="22"/>
          <w:szCs w:val="22"/>
        </w:rPr>
        <w:t>s</w:t>
      </w:r>
      <w:r w:rsidRPr="006D7C18">
        <w:rPr>
          <w:sz w:val="22"/>
          <w:szCs w:val="22"/>
        </w:rPr>
        <w:t xml:space="preserve">ection 501 of the </w:t>
      </w:r>
      <w:r w:rsidRPr="00D426DF">
        <w:rPr>
          <w:sz w:val="22"/>
          <w:szCs w:val="22"/>
        </w:rPr>
        <w:t>Internal Revenue Code</w:t>
      </w:r>
      <w:r w:rsidR="00BE1FE7">
        <w:rPr>
          <w:sz w:val="22"/>
          <w:szCs w:val="22"/>
        </w:rPr>
        <w:t>, and was recognized as such at the time it filed the Application</w:t>
      </w:r>
      <w:r w:rsidRPr="00260454">
        <w:rPr>
          <w:sz w:val="22"/>
          <w:szCs w:val="22"/>
        </w:rPr>
        <w:t>.</w:t>
      </w:r>
      <w:r>
        <w:rPr>
          <w:rStyle w:val="FootnoteReference"/>
          <w:rFonts w:ascii="Times New Roman" w:hAnsi="Times New Roman"/>
          <w:sz w:val="22"/>
          <w:szCs w:val="22"/>
        </w:rPr>
        <w:footnoteReference w:id="32"/>
      </w:r>
      <w:r w:rsidRPr="00260454">
        <w:rPr>
          <w:sz w:val="22"/>
          <w:szCs w:val="22"/>
        </w:rPr>
        <w:t xml:space="preserve"> </w:t>
      </w:r>
      <w:r w:rsidR="00E00076">
        <w:rPr>
          <w:sz w:val="22"/>
          <w:szCs w:val="22"/>
        </w:rPr>
        <w:t xml:space="preserve"> </w:t>
      </w:r>
      <w:r w:rsidR="00DC1360">
        <w:rPr>
          <w:sz w:val="22"/>
          <w:szCs w:val="22"/>
        </w:rPr>
        <w:t xml:space="preserve">Therefore, </w:t>
      </w:r>
      <w:r w:rsidRPr="00260454">
        <w:rPr>
          <w:sz w:val="22"/>
          <w:szCs w:val="22"/>
        </w:rPr>
        <w:t xml:space="preserve">we conclude </w:t>
      </w:r>
      <w:r w:rsidR="0047690E">
        <w:rPr>
          <w:sz w:val="22"/>
          <w:szCs w:val="22"/>
        </w:rPr>
        <w:t>RTN</w:t>
      </w:r>
      <w:r w:rsidRPr="00D426DF">
        <w:rPr>
          <w:sz w:val="22"/>
          <w:szCs w:val="22"/>
        </w:rPr>
        <w:t xml:space="preserve"> </w:t>
      </w:r>
      <w:r w:rsidR="00DC1360">
        <w:rPr>
          <w:sz w:val="22"/>
          <w:szCs w:val="22"/>
        </w:rPr>
        <w:t xml:space="preserve">is exempt from </w:t>
      </w:r>
      <w:r w:rsidR="00190ADB">
        <w:rPr>
          <w:sz w:val="22"/>
          <w:szCs w:val="22"/>
        </w:rPr>
        <w:t>the requirement to pay regulatory fees for the Translators.</w:t>
      </w:r>
      <w:r>
        <w:rPr>
          <w:rStyle w:val="FootnoteReference"/>
          <w:rFonts w:ascii="Times New Roman" w:hAnsi="Times New Roman"/>
          <w:sz w:val="22"/>
          <w:szCs w:val="22"/>
        </w:rPr>
        <w:footnoteReference w:id="33"/>
      </w:r>
      <w:r w:rsidRPr="00D426DF">
        <w:rPr>
          <w:sz w:val="22"/>
          <w:szCs w:val="22"/>
        </w:rPr>
        <w:t xml:space="preserve"> </w:t>
      </w:r>
      <w:r w:rsidR="00E00076">
        <w:rPr>
          <w:sz w:val="22"/>
          <w:szCs w:val="22"/>
        </w:rPr>
        <w:t xml:space="preserve"> We reject Triangle</w:t>
      </w:r>
      <w:r w:rsidR="009350A1">
        <w:rPr>
          <w:sz w:val="22"/>
          <w:szCs w:val="22"/>
        </w:rPr>
        <w:t>’s</w:t>
      </w:r>
      <w:r w:rsidR="00E00076">
        <w:rPr>
          <w:sz w:val="22"/>
          <w:szCs w:val="22"/>
        </w:rPr>
        <w:t xml:space="preserve"> argument that an entity requesting an exemption under section 1.1162(c) must also meet the criteria of section 1.1162(e).  Triangle provides no authority for this argument, and as discussed, </w:t>
      </w:r>
      <w:r w:rsidR="0047690E">
        <w:rPr>
          <w:sz w:val="22"/>
          <w:szCs w:val="22"/>
        </w:rPr>
        <w:t>RTN</w:t>
      </w:r>
      <w:r w:rsidR="00E00076">
        <w:rPr>
          <w:sz w:val="22"/>
          <w:szCs w:val="22"/>
        </w:rPr>
        <w:t xml:space="preserve"> has demonstrated that it meets the requirements of section 1.1162(c)</w:t>
      </w:r>
      <w:r w:rsidR="00D71AC5">
        <w:rPr>
          <w:sz w:val="22"/>
          <w:szCs w:val="22"/>
        </w:rPr>
        <w:t>, which is all th</w:t>
      </w:r>
      <w:r w:rsidR="0040127D">
        <w:rPr>
          <w:sz w:val="22"/>
          <w:szCs w:val="22"/>
        </w:rPr>
        <w:t>at</w:t>
      </w:r>
      <w:r w:rsidR="00D71AC5">
        <w:rPr>
          <w:sz w:val="22"/>
          <w:szCs w:val="22"/>
        </w:rPr>
        <w:t xml:space="preserve"> is required to obtain exemption from regulatory fees.</w:t>
      </w:r>
      <w:r w:rsidR="0047690E">
        <w:rPr>
          <w:sz w:val="22"/>
          <w:szCs w:val="22"/>
        </w:rPr>
        <w:t xml:space="preserve">  Accordingly, </w:t>
      </w:r>
      <w:r w:rsidR="00F15594">
        <w:rPr>
          <w:sz w:val="22"/>
          <w:szCs w:val="22"/>
        </w:rPr>
        <w:t xml:space="preserve">whether the Translators are commercial translators is not dispositive.  </w:t>
      </w:r>
    </w:p>
    <w:p w:rsidR="00D0105E" w:rsidP="00F15594" w14:paraId="23FAC172" w14:textId="77777777">
      <w:pPr>
        <w:ind w:firstLine="720"/>
        <w:rPr>
          <w:sz w:val="22"/>
          <w:szCs w:val="22"/>
        </w:rPr>
      </w:pPr>
    </w:p>
    <w:p w:rsidR="00605439" w:rsidP="00F15594" w14:paraId="3C549813" w14:textId="038BC46A">
      <w:pPr>
        <w:ind w:firstLine="720"/>
        <w:rPr>
          <w:sz w:val="22"/>
          <w:szCs w:val="22"/>
        </w:rPr>
      </w:pPr>
      <w:r>
        <w:rPr>
          <w:sz w:val="22"/>
          <w:szCs w:val="22"/>
        </w:rPr>
        <w:t>We further reject Triangle’s argument that RTN’s operation of a commercial translator might affect its status as a non-profit entity</w:t>
      </w:r>
      <w:r w:rsidR="00F67AE9">
        <w:rPr>
          <w:sz w:val="22"/>
          <w:szCs w:val="22"/>
        </w:rPr>
        <w:t xml:space="preserve"> with</w:t>
      </w:r>
      <w:r>
        <w:rPr>
          <w:sz w:val="22"/>
          <w:szCs w:val="22"/>
        </w:rPr>
        <w:t xml:space="preserve"> either the IRS or the State of Georgia.  The Commission generally defers to the IRS </w:t>
      </w:r>
      <w:r w:rsidR="002340C1">
        <w:rPr>
          <w:sz w:val="22"/>
          <w:szCs w:val="22"/>
        </w:rPr>
        <w:t xml:space="preserve">on whether a licensee is complying with the Internal </w:t>
      </w:r>
      <w:r w:rsidR="003C19F2">
        <w:rPr>
          <w:sz w:val="22"/>
          <w:szCs w:val="22"/>
        </w:rPr>
        <w:t>Revenue</w:t>
      </w:r>
      <w:r w:rsidR="002340C1">
        <w:rPr>
          <w:sz w:val="22"/>
          <w:szCs w:val="22"/>
        </w:rPr>
        <w:t xml:space="preserve"> Code, </w:t>
      </w:r>
      <w:r>
        <w:rPr>
          <w:sz w:val="22"/>
          <w:szCs w:val="22"/>
        </w:rPr>
        <w:t xml:space="preserve">and the </w:t>
      </w:r>
      <w:r w:rsidR="002340C1">
        <w:rPr>
          <w:sz w:val="22"/>
          <w:szCs w:val="22"/>
        </w:rPr>
        <w:t>Commission will not consider issues of a licensee’s compliance with the requirement of state corporate law unless a challenge to an applicant’s corporate status has been made in state court</w:t>
      </w:r>
      <w:r>
        <w:rPr>
          <w:sz w:val="22"/>
          <w:szCs w:val="22"/>
        </w:rPr>
        <w:t>.</w:t>
      </w:r>
      <w:r>
        <w:rPr>
          <w:rStyle w:val="FootnoteReference"/>
          <w:szCs w:val="22"/>
        </w:rPr>
        <w:footnoteReference w:id="34"/>
      </w:r>
      <w:r w:rsidR="002340C1">
        <w:rPr>
          <w:sz w:val="22"/>
          <w:szCs w:val="22"/>
        </w:rPr>
        <w:t xml:space="preserve">  No such challenge has been raised here.</w:t>
      </w:r>
    </w:p>
    <w:p w:rsidR="00605439" w:rsidP="00F15594" w14:paraId="7F314997" w14:textId="77777777">
      <w:pPr>
        <w:ind w:firstLine="720"/>
        <w:rPr>
          <w:sz w:val="22"/>
          <w:szCs w:val="22"/>
        </w:rPr>
      </w:pPr>
    </w:p>
    <w:p w:rsidR="00F67AE9" w:rsidP="00F67AE9" w14:paraId="75031C92" w14:textId="29F567FA">
      <w:pPr>
        <w:ind w:firstLine="720"/>
        <w:rPr>
          <w:sz w:val="22"/>
          <w:szCs w:val="22"/>
        </w:rPr>
      </w:pPr>
      <w:r>
        <w:rPr>
          <w:sz w:val="22"/>
          <w:szCs w:val="22"/>
        </w:rPr>
        <w:t>We also reject Triangle’s argument that RTN should pay regulatory fees because another nonprofit en</w:t>
      </w:r>
      <w:r w:rsidR="00DF413B">
        <w:rPr>
          <w:sz w:val="22"/>
          <w:szCs w:val="22"/>
        </w:rPr>
        <w:t>t</w:t>
      </w:r>
      <w:r>
        <w:rPr>
          <w:sz w:val="22"/>
          <w:szCs w:val="22"/>
        </w:rPr>
        <w:t>ity, PAR, paid regulatory fees for translator</w:t>
      </w:r>
      <w:r w:rsidR="006A6665">
        <w:rPr>
          <w:sz w:val="22"/>
          <w:szCs w:val="22"/>
        </w:rPr>
        <w:t xml:space="preserve"> </w:t>
      </w:r>
      <w:r>
        <w:rPr>
          <w:sz w:val="22"/>
          <w:szCs w:val="22"/>
        </w:rPr>
        <w:t>s</w:t>
      </w:r>
      <w:r w:rsidR="006A6665">
        <w:rPr>
          <w:sz w:val="22"/>
          <w:szCs w:val="22"/>
        </w:rPr>
        <w:t>tations rebroadcasting commercial programming</w:t>
      </w:r>
      <w:r>
        <w:rPr>
          <w:sz w:val="22"/>
          <w:szCs w:val="22"/>
        </w:rPr>
        <w:t>.  RTN has demonstrated here that it is entitled to claim the exemption under section 1.1162(c), and PAR</w:t>
      </w:r>
      <w:r w:rsidR="00C16CFD">
        <w:rPr>
          <w:sz w:val="22"/>
          <w:szCs w:val="22"/>
        </w:rPr>
        <w:t>’s failure to claim</w:t>
      </w:r>
      <w:r>
        <w:rPr>
          <w:sz w:val="22"/>
          <w:szCs w:val="22"/>
        </w:rPr>
        <w:t xml:space="preserve"> this exemption is irrelevant to RTN’s qualification to the exemption.  </w:t>
      </w:r>
      <w:r>
        <w:rPr>
          <w:sz w:val="22"/>
          <w:szCs w:val="22"/>
        </w:rPr>
        <w:t>Finally</w:t>
      </w:r>
      <w:r w:rsidRPr="006F0196">
        <w:rPr>
          <w:sz w:val="22"/>
          <w:szCs w:val="22"/>
        </w:rPr>
        <w:t xml:space="preserve">, Triangle </w:t>
      </w:r>
      <w:r>
        <w:rPr>
          <w:sz w:val="22"/>
          <w:szCs w:val="22"/>
        </w:rPr>
        <w:t>does not explain how, under the criteria of Note 2 to section 73.3555 of the Rules, Capstar</w:t>
      </w:r>
      <w:r w:rsidRPr="006F0196">
        <w:rPr>
          <w:sz w:val="22"/>
          <w:szCs w:val="22"/>
        </w:rPr>
        <w:t xml:space="preserve"> </w:t>
      </w:r>
      <w:r>
        <w:rPr>
          <w:sz w:val="22"/>
          <w:szCs w:val="22"/>
        </w:rPr>
        <w:t xml:space="preserve">would </w:t>
      </w:r>
      <w:r w:rsidRPr="006F0196">
        <w:rPr>
          <w:sz w:val="22"/>
          <w:szCs w:val="22"/>
        </w:rPr>
        <w:t>ha</w:t>
      </w:r>
      <w:r>
        <w:rPr>
          <w:sz w:val="22"/>
          <w:szCs w:val="22"/>
        </w:rPr>
        <w:t>ve</w:t>
      </w:r>
      <w:r w:rsidRPr="006F0196">
        <w:rPr>
          <w:sz w:val="22"/>
          <w:szCs w:val="22"/>
        </w:rPr>
        <w:t xml:space="preserve"> an attributable interest in the </w:t>
      </w:r>
      <w:r>
        <w:rPr>
          <w:sz w:val="22"/>
          <w:szCs w:val="22"/>
        </w:rPr>
        <w:t>Translator.</w:t>
      </w:r>
      <w:r>
        <w:rPr>
          <w:rStyle w:val="FootnoteReference"/>
          <w:rFonts w:ascii="Times New Roman" w:hAnsi="Times New Roman"/>
          <w:sz w:val="22"/>
          <w:szCs w:val="22"/>
        </w:rPr>
        <w:footnoteReference w:id="35"/>
      </w:r>
      <w:r w:rsidRPr="006F0196">
        <w:rPr>
          <w:sz w:val="22"/>
          <w:szCs w:val="22"/>
        </w:rPr>
        <w:t xml:space="preserve"> </w:t>
      </w:r>
      <w:r>
        <w:rPr>
          <w:sz w:val="22"/>
          <w:szCs w:val="22"/>
        </w:rPr>
        <w:t xml:space="preserve"> We thus reject the argument that Capstar has an attributable interest in the Translator which would require payment of regulatory fees.  Accordingly, we will deny the Objection.</w:t>
      </w:r>
    </w:p>
    <w:p w:rsidR="00F67AE9" w:rsidP="00F67AE9" w14:paraId="338DCD39" w14:textId="77777777">
      <w:pPr>
        <w:ind w:firstLine="720"/>
        <w:rPr>
          <w:sz w:val="24"/>
          <w:szCs w:val="24"/>
        </w:rPr>
      </w:pPr>
    </w:p>
    <w:p w:rsidR="00F15594" w:rsidP="00F15594" w14:paraId="5AED9589" w14:textId="22268E2E">
      <w:pPr>
        <w:ind w:firstLine="720"/>
        <w:rPr>
          <w:sz w:val="22"/>
          <w:szCs w:val="22"/>
        </w:rPr>
      </w:pPr>
      <w:r>
        <w:rPr>
          <w:sz w:val="22"/>
          <w:szCs w:val="22"/>
        </w:rPr>
        <w:t>W</w:t>
      </w:r>
      <w:r w:rsidR="0047690E">
        <w:rPr>
          <w:sz w:val="22"/>
          <w:szCs w:val="22"/>
        </w:rPr>
        <w:t>e</w:t>
      </w:r>
      <w:r w:rsidR="00605439">
        <w:rPr>
          <w:sz w:val="22"/>
          <w:szCs w:val="22"/>
        </w:rPr>
        <w:t xml:space="preserve"> thus</w:t>
      </w:r>
      <w:r w:rsidR="00826C7D">
        <w:rPr>
          <w:sz w:val="22"/>
          <w:szCs w:val="22"/>
        </w:rPr>
        <w:t xml:space="preserve"> rescind</w:t>
      </w:r>
      <w:r w:rsidR="0047690E">
        <w:rPr>
          <w:sz w:val="22"/>
          <w:szCs w:val="22"/>
        </w:rPr>
        <w:t xml:space="preserve"> our determination in the </w:t>
      </w:r>
      <w:r w:rsidR="0047690E">
        <w:rPr>
          <w:i/>
          <w:iCs/>
          <w:sz w:val="22"/>
          <w:szCs w:val="22"/>
        </w:rPr>
        <w:t>Staff Letter</w:t>
      </w:r>
      <w:r>
        <w:rPr>
          <w:sz w:val="22"/>
          <w:szCs w:val="22"/>
        </w:rPr>
        <w:t xml:space="preserve"> that RTN was not eligible for an exemption from regulatory fees and we</w:t>
      </w:r>
      <w:r w:rsidRPr="000A0858">
        <w:rPr>
          <w:sz w:val="22"/>
          <w:szCs w:val="22"/>
        </w:rPr>
        <w:t xml:space="preserve"> rescind the directive to </w:t>
      </w:r>
      <w:r>
        <w:rPr>
          <w:sz w:val="22"/>
          <w:szCs w:val="22"/>
        </w:rPr>
        <w:t>amend</w:t>
      </w:r>
      <w:r w:rsidRPr="000A0858">
        <w:rPr>
          <w:sz w:val="22"/>
          <w:szCs w:val="22"/>
        </w:rPr>
        <w:t xml:space="preserve"> the Application and pay regulatory fees for the </w:t>
      </w:r>
      <w:r w:rsidR="00826C7D">
        <w:rPr>
          <w:sz w:val="22"/>
          <w:szCs w:val="22"/>
        </w:rPr>
        <w:t>Translators.</w:t>
      </w:r>
      <w:r>
        <w:rPr>
          <w:rStyle w:val="FootnoteReference"/>
          <w:szCs w:val="22"/>
        </w:rPr>
        <w:footnoteReference w:id="36"/>
      </w:r>
      <w:r w:rsidRPr="000A0858">
        <w:rPr>
          <w:sz w:val="22"/>
          <w:szCs w:val="22"/>
        </w:rPr>
        <w:t xml:space="preserve">  </w:t>
      </w:r>
    </w:p>
    <w:p w:rsidR="003D6DA8" w:rsidRPr="00F15594" w:rsidP="001172AD" w14:paraId="0E204CA5" w14:textId="678E7EC9">
      <w:pPr>
        <w:ind w:firstLine="720"/>
        <w:rPr>
          <w:sz w:val="22"/>
          <w:szCs w:val="22"/>
        </w:rPr>
      </w:pPr>
    </w:p>
    <w:p w:rsidR="004B4C53" w:rsidRPr="00EA7247" w:rsidP="004B4C53" w14:paraId="669C92F0" w14:textId="46A2B36B">
      <w:pPr>
        <w:ind w:firstLine="720"/>
        <w:rPr>
          <w:sz w:val="22"/>
          <w:szCs w:val="22"/>
        </w:rPr>
      </w:pPr>
      <w:r>
        <w:rPr>
          <w:i/>
          <w:iCs/>
          <w:sz w:val="22"/>
          <w:szCs w:val="22"/>
        </w:rPr>
        <w:t xml:space="preserve">Renewal of </w:t>
      </w:r>
      <w:r w:rsidRPr="005118AD">
        <w:rPr>
          <w:i/>
          <w:iCs/>
          <w:sz w:val="22"/>
          <w:szCs w:val="22"/>
        </w:rPr>
        <w:t>License</w:t>
      </w:r>
      <w:r>
        <w:rPr>
          <w:sz w:val="22"/>
          <w:szCs w:val="22"/>
        </w:rPr>
        <w:t xml:space="preserve">.  </w:t>
      </w:r>
      <w:r>
        <w:rPr>
          <w:sz w:val="22"/>
          <w:szCs w:val="22"/>
        </w:rPr>
        <w:t>We find that</w:t>
      </w:r>
      <w:r w:rsidRPr="000A0858">
        <w:rPr>
          <w:sz w:val="22"/>
          <w:szCs w:val="22"/>
        </w:rPr>
        <w:t xml:space="preserve"> </w:t>
      </w:r>
      <w:r w:rsidR="00667EAB">
        <w:rPr>
          <w:sz w:val="22"/>
          <w:szCs w:val="22"/>
        </w:rPr>
        <w:t>RTN</w:t>
      </w:r>
      <w:r w:rsidR="00826C7D">
        <w:rPr>
          <w:sz w:val="22"/>
          <w:szCs w:val="22"/>
        </w:rPr>
        <w:t xml:space="preserve"> </w:t>
      </w:r>
      <w:r>
        <w:rPr>
          <w:sz w:val="22"/>
          <w:szCs w:val="22"/>
        </w:rPr>
        <w:t xml:space="preserve">has satisfied the standards of section 309(k) of the Act and </w:t>
      </w:r>
      <w:r w:rsidRPr="000A0858">
        <w:rPr>
          <w:sz w:val="22"/>
          <w:szCs w:val="22"/>
        </w:rPr>
        <w:t xml:space="preserve">grant of the </w:t>
      </w:r>
      <w:r w:rsidR="00826C7D">
        <w:rPr>
          <w:sz w:val="22"/>
          <w:szCs w:val="22"/>
        </w:rPr>
        <w:t>A</w:t>
      </w:r>
      <w:r w:rsidRPr="000A0858">
        <w:rPr>
          <w:sz w:val="22"/>
          <w:szCs w:val="22"/>
        </w:rPr>
        <w:t xml:space="preserve">pplication is consistent with the public interest.  </w:t>
      </w:r>
      <w:r>
        <w:rPr>
          <w:sz w:val="22"/>
          <w:szCs w:val="22"/>
        </w:rPr>
        <w:t>We</w:t>
      </w:r>
      <w:r w:rsidRPr="000A0858">
        <w:rPr>
          <w:sz w:val="22"/>
          <w:szCs w:val="22"/>
        </w:rPr>
        <w:t xml:space="preserve"> find neither evidence of serious violations of the Act or the FCC rules nor of other violations that, when considered together, evidence a pattern of abuse.  Further, we find that the </w:t>
      </w:r>
      <w:r w:rsidR="007069B9">
        <w:rPr>
          <w:sz w:val="22"/>
          <w:szCs w:val="22"/>
        </w:rPr>
        <w:t>Translators</w:t>
      </w:r>
      <w:r w:rsidRPr="000A0858" w:rsidR="007069B9">
        <w:rPr>
          <w:sz w:val="22"/>
          <w:szCs w:val="22"/>
        </w:rPr>
        <w:t xml:space="preserve"> </w:t>
      </w:r>
      <w:r w:rsidRPr="000A0858">
        <w:rPr>
          <w:sz w:val="22"/>
          <w:szCs w:val="22"/>
        </w:rPr>
        <w:t xml:space="preserve">served the public interest, convenience, and necessity during the subject license terms. </w:t>
      </w:r>
      <w:r w:rsidR="00826C7D">
        <w:rPr>
          <w:sz w:val="22"/>
          <w:szCs w:val="22"/>
        </w:rPr>
        <w:t xml:space="preserve"> </w:t>
      </w:r>
      <w:r w:rsidR="00605439">
        <w:rPr>
          <w:sz w:val="22"/>
          <w:szCs w:val="22"/>
        </w:rPr>
        <w:t>Accordingly, we will grant the Applications.</w:t>
      </w:r>
    </w:p>
    <w:p w:rsidR="00B04621" w:rsidRPr="00D426DF" w:rsidP="007675E5" w14:paraId="382008A7" w14:textId="1FBDFE2C">
      <w:pPr>
        <w:ind w:firstLine="720"/>
        <w:rPr>
          <w:sz w:val="22"/>
          <w:szCs w:val="22"/>
        </w:rPr>
      </w:pPr>
    </w:p>
    <w:p w:rsidR="00605439" w:rsidP="004B4C53" w14:paraId="2D8B59DD" w14:textId="3A1CCC45">
      <w:pPr>
        <w:ind w:firstLine="720"/>
        <w:rPr>
          <w:b/>
          <w:bCs/>
          <w:sz w:val="22"/>
          <w:szCs w:val="22"/>
        </w:rPr>
      </w:pPr>
      <w:r w:rsidRPr="00D426DF">
        <w:rPr>
          <w:b/>
          <w:bCs/>
          <w:sz w:val="22"/>
          <w:szCs w:val="22"/>
        </w:rPr>
        <w:t xml:space="preserve">Conclusion/Actions.  </w:t>
      </w:r>
      <w:r w:rsidRPr="000A0858" w:rsidR="004B4C53">
        <w:rPr>
          <w:sz w:val="22"/>
          <w:szCs w:val="22"/>
        </w:rPr>
        <w:t>For the reasons set forth above</w:t>
      </w:r>
      <w:r w:rsidR="004B4C53">
        <w:rPr>
          <w:sz w:val="22"/>
          <w:szCs w:val="22"/>
        </w:rPr>
        <w:t xml:space="preserve">, </w:t>
      </w:r>
      <w:r w:rsidRPr="00605439" w:rsidR="004B4C53">
        <w:rPr>
          <w:b/>
          <w:bCs/>
          <w:sz w:val="22"/>
          <w:szCs w:val="22"/>
        </w:rPr>
        <w:t>IT IS ORDERED</w:t>
      </w:r>
      <w:r w:rsidRPr="00605439">
        <w:rPr>
          <w:sz w:val="22"/>
          <w:szCs w:val="22"/>
        </w:rPr>
        <w:t xml:space="preserve"> </w:t>
      </w:r>
      <w:r w:rsidRPr="000A0858">
        <w:rPr>
          <w:sz w:val="22"/>
          <w:szCs w:val="22"/>
        </w:rPr>
        <w:t xml:space="preserve">that the Informal Objection filed by Triangle Access Broadcasting, Inc. on October 31, 2019, </w:t>
      </w:r>
      <w:r w:rsidRPr="00A4063F">
        <w:rPr>
          <w:b/>
          <w:bCs/>
          <w:sz w:val="22"/>
          <w:szCs w:val="22"/>
        </w:rPr>
        <w:t xml:space="preserve">IS </w:t>
      </w:r>
      <w:r w:rsidRPr="00A4063F">
        <w:rPr>
          <w:b/>
          <w:bCs/>
          <w:caps/>
          <w:sz w:val="22"/>
          <w:szCs w:val="22"/>
        </w:rPr>
        <w:t>denIED</w:t>
      </w:r>
      <w:r w:rsidRPr="000A0858">
        <w:rPr>
          <w:sz w:val="22"/>
          <w:szCs w:val="22"/>
        </w:rPr>
        <w:t>.</w:t>
      </w:r>
    </w:p>
    <w:p w:rsidR="00605439" w:rsidP="004B4C53" w14:paraId="55347302" w14:textId="77777777">
      <w:pPr>
        <w:ind w:firstLine="720"/>
        <w:rPr>
          <w:b/>
          <w:bCs/>
          <w:sz w:val="22"/>
          <w:szCs w:val="22"/>
        </w:rPr>
      </w:pPr>
    </w:p>
    <w:p w:rsidR="00605439" w:rsidP="004B4C53" w14:paraId="310A9311" w14:textId="703B65F8">
      <w:pPr>
        <w:ind w:firstLine="720"/>
        <w:rPr>
          <w:sz w:val="22"/>
          <w:szCs w:val="22"/>
        </w:rPr>
      </w:pPr>
      <w:r w:rsidRPr="00605439">
        <w:rPr>
          <w:b/>
          <w:bCs/>
          <w:sz w:val="22"/>
          <w:szCs w:val="22"/>
        </w:rPr>
        <w:t xml:space="preserve">IT IS FURTHER ORDERED </w:t>
      </w:r>
      <w:r w:rsidRPr="000A0858">
        <w:rPr>
          <w:sz w:val="22"/>
          <w:szCs w:val="22"/>
        </w:rPr>
        <w:t xml:space="preserve">that the </w:t>
      </w:r>
      <w:r w:rsidR="00826C7D">
        <w:rPr>
          <w:sz w:val="22"/>
          <w:szCs w:val="22"/>
        </w:rPr>
        <w:t xml:space="preserve">April 8, 2020 </w:t>
      </w:r>
      <w:r>
        <w:rPr>
          <w:i/>
          <w:iCs/>
          <w:sz w:val="22"/>
          <w:szCs w:val="22"/>
        </w:rPr>
        <w:t xml:space="preserve">Staff Letter </w:t>
      </w:r>
      <w:r w:rsidRPr="000A0858">
        <w:rPr>
          <w:sz w:val="22"/>
          <w:szCs w:val="22"/>
        </w:rPr>
        <w:t xml:space="preserve">direction to pay FM translator </w:t>
      </w:r>
      <w:r>
        <w:rPr>
          <w:sz w:val="22"/>
          <w:szCs w:val="22"/>
        </w:rPr>
        <w:t xml:space="preserve">regulatory </w:t>
      </w:r>
      <w:r w:rsidRPr="000A0858">
        <w:rPr>
          <w:sz w:val="22"/>
          <w:szCs w:val="22"/>
        </w:rPr>
        <w:t xml:space="preserve">fees for stations W236CA, Durham, North Carolina and W237BZ, Clayton, North Carolina </w:t>
      </w:r>
      <w:r w:rsidRPr="00826C7D">
        <w:rPr>
          <w:b/>
          <w:bCs/>
          <w:sz w:val="22"/>
          <w:szCs w:val="22"/>
        </w:rPr>
        <w:t>IS RESCINDED</w:t>
      </w:r>
      <w:r w:rsidRPr="000A0858">
        <w:rPr>
          <w:sz w:val="22"/>
          <w:szCs w:val="22"/>
        </w:rPr>
        <w:t>.</w:t>
      </w:r>
    </w:p>
    <w:p w:rsidR="00605439" w:rsidP="004B4C53" w14:paraId="32E083AE" w14:textId="77777777">
      <w:pPr>
        <w:ind w:firstLine="720"/>
        <w:rPr>
          <w:sz w:val="22"/>
          <w:szCs w:val="22"/>
        </w:rPr>
      </w:pPr>
    </w:p>
    <w:p w:rsidR="004B4C53" w:rsidRPr="000A0858" w:rsidP="004B4C53" w14:paraId="12C926A4" w14:textId="4755A8D0">
      <w:pPr>
        <w:ind w:firstLine="720"/>
        <w:rPr>
          <w:sz w:val="22"/>
          <w:szCs w:val="22"/>
        </w:rPr>
      </w:pPr>
      <w:r w:rsidRPr="00826C7D">
        <w:rPr>
          <w:b/>
          <w:bCs/>
          <w:sz w:val="22"/>
          <w:szCs w:val="22"/>
        </w:rPr>
        <w:t>IT IS FURTHER ORDERED</w:t>
      </w:r>
      <w:r w:rsidRPr="000A0858">
        <w:rPr>
          <w:sz w:val="22"/>
          <w:szCs w:val="22"/>
        </w:rPr>
        <w:t xml:space="preserve"> </w:t>
      </w:r>
      <w:r w:rsidRPr="000A0858">
        <w:rPr>
          <w:sz w:val="22"/>
          <w:szCs w:val="22"/>
        </w:rPr>
        <w:t xml:space="preserve">that Radio Training Network, Inc.’s pending Application amendment </w:t>
      </w:r>
      <w:r w:rsidR="00A4063F">
        <w:rPr>
          <w:b/>
          <w:bCs/>
          <w:sz w:val="22"/>
          <w:szCs w:val="22"/>
        </w:rPr>
        <w:t xml:space="preserve">IS </w:t>
      </w:r>
      <w:r w:rsidRPr="00605439">
        <w:rPr>
          <w:b/>
          <w:bCs/>
          <w:sz w:val="22"/>
          <w:szCs w:val="22"/>
        </w:rPr>
        <w:t>DISMISSED</w:t>
      </w:r>
      <w:r w:rsidRPr="000A0858">
        <w:rPr>
          <w:sz w:val="22"/>
          <w:szCs w:val="22"/>
        </w:rPr>
        <w:t>, and the Application of Radio Training Network, Inc. for renewal of license for stations W236CA, Durham, North Carolina and W237BZ, Clayton, North Carolina (File No. 0000078295</w:t>
      </w:r>
      <w:r w:rsidRPr="00290A4C">
        <w:rPr>
          <w:sz w:val="22"/>
          <w:szCs w:val="22"/>
        </w:rPr>
        <w:t>)</w:t>
      </w:r>
      <w:r w:rsidRPr="000A0858">
        <w:rPr>
          <w:sz w:val="22"/>
          <w:szCs w:val="22"/>
        </w:rPr>
        <w:t xml:space="preserve"> </w:t>
      </w:r>
      <w:r w:rsidRPr="00605439">
        <w:rPr>
          <w:b/>
          <w:bCs/>
          <w:sz w:val="22"/>
          <w:szCs w:val="22"/>
        </w:rPr>
        <w:t>IS GRANTED</w:t>
      </w:r>
      <w:r w:rsidRPr="000A0858">
        <w:rPr>
          <w:sz w:val="22"/>
          <w:szCs w:val="22"/>
        </w:rPr>
        <w:t>.</w:t>
      </w:r>
    </w:p>
    <w:p w:rsidR="004B4C53" w:rsidRPr="000A0858" w:rsidP="004B4C53" w14:paraId="49DC2576" w14:textId="77777777">
      <w:pPr>
        <w:ind w:firstLine="720"/>
        <w:rPr>
          <w:sz w:val="22"/>
          <w:szCs w:val="22"/>
        </w:rPr>
      </w:pPr>
    </w:p>
    <w:p w:rsidR="004B4C53" w:rsidRPr="000A0858" w:rsidP="004B4C53" w14:paraId="20DB00EC" w14:textId="77777777">
      <w:pPr>
        <w:ind w:firstLine="720"/>
        <w:rPr>
          <w:sz w:val="22"/>
          <w:szCs w:val="22"/>
        </w:rPr>
      </w:pPr>
    </w:p>
    <w:p w:rsidR="00B04621" w:rsidRPr="00D426DF" w:rsidP="004B4C53" w14:paraId="2810A794" w14:textId="1DD25EF1">
      <w:pPr>
        <w:tabs>
          <w:tab w:val="left" w:pos="-720"/>
        </w:tabs>
        <w:suppressAutoHyphens/>
        <w:rPr>
          <w:sz w:val="22"/>
          <w:szCs w:val="22"/>
        </w:rPr>
      </w:pPr>
    </w:p>
    <w:p w:rsidR="00B04621" w:rsidRPr="00D426DF" w:rsidP="00B04621" w14:paraId="021DA34E" w14:textId="77777777">
      <w:pPr>
        <w:pStyle w:val="BodyText"/>
        <w:ind w:left="5040"/>
        <w:rPr>
          <w:sz w:val="22"/>
          <w:szCs w:val="22"/>
        </w:rPr>
      </w:pPr>
      <w:r w:rsidRPr="00D426DF">
        <w:rPr>
          <w:sz w:val="22"/>
          <w:szCs w:val="22"/>
        </w:rPr>
        <w:t>Sincerely,</w:t>
      </w:r>
    </w:p>
    <w:p w:rsidR="00B04621" w:rsidRPr="00D426DF" w:rsidP="00B04621" w14:paraId="460E9CD6" w14:textId="77777777">
      <w:pPr>
        <w:pStyle w:val="BodyText"/>
        <w:rPr>
          <w:sz w:val="22"/>
          <w:szCs w:val="22"/>
        </w:rPr>
      </w:pPr>
    </w:p>
    <w:p w:rsidR="00B04621" w:rsidRPr="00D426DF" w:rsidP="00B04621" w14:paraId="39A38BBF" w14:textId="77777777">
      <w:pPr>
        <w:pStyle w:val="BodyText"/>
        <w:rPr>
          <w:sz w:val="22"/>
          <w:szCs w:val="22"/>
        </w:rPr>
      </w:pPr>
    </w:p>
    <w:p w:rsidR="00B04621" w:rsidRPr="00D426DF" w:rsidP="00B04621" w14:paraId="5234EC3D" w14:textId="77777777">
      <w:pPr>
        <w:pStyle w:val="BodyText"/>
        <w:rPr>
          <w:sz w:val="22"/>
          <w:szCs w:val="22"/>
        </w:rPr>
      </w:pPr>
    </w:p>
    <w:p w:rsidR="00B04621" w:rsidRPr="00D426DF" w:rsidP="00B04621" w14:paraId="5357AF6F" w14:textId="77777777">
      <w:pPr>
        <w:pStyle w:val="BodyText"/>
        <w:rPr>
          <w:sz w:val="22"/>
          <w:szCs w:val="22"/>
        </w:rPr>
      </w:pP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t>Albert Shuldiner</w:t>
      </w:r>
    </w:p>
    <w:p w:rsidR="00B04621" w:rsidRPr="00D426DF" w:rsidP="00B04621" w14:paraId="65F215E8" w14:textId="77777777">
      <w:pPr>
        <w:pStyle w:val="BodyText"/>
        <w:rPr>
          <w:sz w:val="22"/>
          <w:szCs w:val="22"/>
        </w:rPr>
      </w:pP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t>Chief, Audio Division</w:t>
      </w:r>
    </w:p>
    <w:p w:rsidR="00B04621" w:rsidRPr="00B04621" w:rsidP="00956EA8" w14:paraId="2DC8A0CD" w14:textId="0B3248D0">
      <w:pPr>
        <w:ind w:left="2160" w:firstLine="720"/>
      </w:pPr>
      <w:r w:rsidRPr="00D426DF">
        <w:rPr>
          <w:sz w:val="22"/>
          <w:szCs w:val="22"/>
        </w:rPr>
        <w:tab/>
      </w:r>
      <w:r w:rsidRPr="00D426DF">
        <w:rPr>
          <w:sz w:val="22"/>
          <w:szCs w:val="22"/>
        </w:rPr>
        <w:tab/>
      </w:r>
      <w:r w:rsidRPr="00D426DF">
        <w:rPr>
          <w:sz w:val="22"/>
          <w:szCs w:val="22"/>
        </w:rPr>
        <w:tab/>
        <w:t>Media Bureau</w:t>
      </w: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649D" w14:paraId="1EFF0CFC" w14:textId="77777777">
      <w:r>
        <w:separator/>
      </w:r>
    </w:p>
  </w:footnote>
  <w:footnote w:type="continuationSeparator" w:id="1">
    <w:p w:rsidR="00EB649D" w14:paraId="141491B8" w14:textId="77777777">
      <w:r>
        <w:continuationSeparator/>
      </w:r>
    </w:p>
  </w:footnote>
  <w:footnote w:id="2">
    <w:p w:rsidR="000C650C" w14:paraId="4A5B447D" w14:textId="0ED72046">
      <w:pPr>
        <w:pStyle w:val="FootnoteText"/>
      </w:pPr>
      <w:r>
        <w:rPr>
          <w:rStyle w:val="FootnoteReference"/>
        </w:rPr>
        <w:footnoteRef/>
      </w:r>
      <w:r>
        <w:t xml:space="preserve"> Triangle filed the Objection on October 31, 2019 (Pleading No. 00000</w:t>
      </w:r>
      <w:r w:rsidR="00E07B68">
        <w:t>87759</w:t>
      </w:r>
      <w:r>
        <w:t xml:space="preserve">).  </w:t>
      </w:r>
      <w:r w:rsidR="00866BCD">
        <w:t>RTN</w:t>
      </w:r>
      <w:r w:rsidRPr="00D426DF">
        <w:t xml:space="preserve"> filed an Opposition </w:t>
      </w:r>
      <w:r>
        <w:t xml:space="preserve">to </w:t>
      </w:r>
      <w:r w:rsidRPr="00D426DF">
        <w:t xml:space="preserve">Triangle’s Objection on </w:t>
      </w:r>
      <w:r>
        <w:t>November 12, 2019</w:t>
      </w:r>
      <w:r w:rsidRPr="00D426DF">
        <w:t xml:space="preserve"> (Pleading No. </w:t>
      </w:r>
      <w:hyperlink r:id="rId1" w:history="1">
        <w:r w:rsidRPr="00D426DF">
          <w:t>00000</w:t>
        </w:r>
        <w:r w:rsidR="00B679E9">
          <w:t>89022</w:t>
        </w:r>
      </w:hyperlink>
      <w:r w:rsidRPr="00D426DF">
        <w:t>)</w:t>
      </w:r>
      <w:r w:rsidRPr="00B679E9" w:rsidR="00B679E9">
        <w:t xml:space="preserve"> </w:t>
      </w:r>
      <w:r w:rsidRPr="00D426DF" w:rsidR="00B679E9">
        <w:t>(Opposition)</w:t>
      </w:r>
      <w:r w:rsidRPr="00D426DF">
        <w:t xml:space="preserve">.  Triangle filed a Reply to the Opposition on </w:t>
      </w:r>
      <w:r>
        <w:t>November 18</w:t>
      </w:r>
      <w:r w:rsidRPr="00D426DF">
        <w:t xml:space="preserve">, 2019 (Pleading No. </w:t>
      </w:r>
      <w:hyperlink r:id="rId2" w:history="1">
        <w:r w:rsidRPr="00D426DF">
          <w:t>00000</w:t>
        </w:r>
        <w:r w:rsidR="00B679E9">
          <w:t>90259</w:t>
        </w:r>
      </w:hyperlink>
      <w:r>
        <w:t>)</w:t>
      </w:r>
      <w:r w:rsidRPr="00B679E9" w:rsidR="00B679E9">
        <w:t xml:space="preserve"> </w:t>
      </w:r>
      <w:r w:rsidRPr="00D426DF" w:rsidR="00B679E9">
        <w:t>(Reply)</w:t>
      </w:r>
      <w:r>
        <w:t>.</w:t>
      </w:r>
    </w:p>
  </w:footnote>
  <w:footnote w:id="3">
    <w:p w:rsidR="000C650C" w14:paraId="68867E97" w14:textId="43A925CB">
      <w:pPr>
        <w:pStyle w:val="FootnoteText"/>
      </w:pPr>
      <w:r>
        <w:rPr>
          <w:rStyle w:val="FootnoteReference"/>
        </w:rPr>
        <w:footnoteRef/>
      </w:r>
      <w:r>
        <w:t xml:space="preserve"> </w:t>
      </w:r>
      <w:r w:rsidR="00866BCD">
        <w:t xml:space="preserve">RTN </w:t>
      </w:r>
      <w:r w:rsidRPr="00EA3395">
        <w:t xml:space="preserve">filed the Petition on May </w:t>
      </w:r>
      <w:r w:rsidR="00E07B68">
        <w:t>7</w:t>
      </w:r>
      <w:r w:rsidRPr="00EA3395">
        <w:t>, 2020</w:t>
      </w:r>
      <w:r w:rsidR="00866BCD">
        <w:t xml:space="preserve"> (Pleading No. </w:t>
      </w:r>
      <w:r w:rsidR="00E07B68">
        <w:t>0000113394</w:t>
      </w:r>
      <w:r w:rsidR="00866BCD">
        <w:t>)</w:t>
      </w:r>
      <w:r w:rsidRPr="00EA3395">
        <w:t>.</w:t>
      </w:r>
    </w:p>
  </w:footnote>
  <w:footnote w:id="4">
    <w:p w:rsidR="000C650C" w:rsidRPr="00EA3395" w:rsidP="000C650C" w14:paraId="08A4E479" w14:textId="2CFF0795">
      <w:pPr>
        <w:pStyle w:val="FootnoteText"/>
      </w:pPr>
      <w:r w:rsidRPr="00EA3395">
        <w:rPr>
          <w:rStyle w:val="FootnoteReference"/>
          <w:rFonts w:ascii="Times New Roman" w:hAnsi="Times New Roman"/>
        </w:rPr>
        <w:footnoteRef/>
      </w:r>
      <w:r w:rsidRPr="00EA3395">
        <w:t xml:space="preserve"> </w:t>
      </w:r>
      <w:r>
        <w:t xml:space="preserve">Letter from Albert Shuldiner, Chief, Audio Division, FCC Media Bureau to Steven L. White, Director, Triangle Access </w:t>
      </w:r>
      <w:r w:rsidR="00827B13">
        <w:t>Broadcasting</w:t>
      </w:r>
      <w:r>
        <w:t xml:space="preserve"> and A.</w:t>
      </w:r>
      <w:r w:rsidR="00231BFB">
        <w:t xml:space="preserve"> </w:t>
      </w:r>
      <w:r>
        <w:t>Wray Fitch III, Eq, Gammon &amp; Gran</w:t>
      </w:r>
      <w:r w:rsidR="003C19F2">
        <w:t>g</w:t>
      </w:r>
      <w:r>
        <w:t>e, P.C. (Apr. 8, 2020) (</w:t>
      </w:r>
      <w:r>
        <w:rPr>
          <w:i/>
          <w:iCs/>
        </w:rPr>
        <w:t>Staff Letter</w:t>
      </w:r>
      <w:r>
        <w:t>).</w:t>
      </w:r>
    </w:p>
  </w:footnote>
  <w:footnote w:id="5">
    <w:p w:rsidR="00866BCD" w:rsidRPr="00866BCD" w14:paraId="47E73EC4" w14:textId="49F593A0">
      <w:pPr>
        <w:pStyle w:val="FootnoteText"/>
      </w:pPr>
      <w:r>
        <w:rPr>
          <w:rStyle w:val="FootnoteReference"/>
        </w:rPr>
        <w:footnoteRef/>
      </w:r>
      <w:r>
        <w:t xml:space="preserve"> Although RTN’ Response is partially styled as a Petition for Reconsideration, the </w:t>
      </w:r>
      <w:r>
        <w:rPr>
          <w:i/>
          <w:iCs/>
        </w:rPr>
        <w:t>Staff Letter</w:t>
      </w:r>
      <w:r>
        <w:t xml:space="preserve"> was </w:t>
      </w:r>
      <w:r w:rsidR="00DB76A9">
        <w:t xml:space="preserve">an </w:t>
      </w:r>
      <w:r w:rsidRPr="00866BCD">
        <w:t>interlocutory action that did not grant, dismiss or deny the Application.</w:t>
      </w:r>
      <w:r>
        <w:t xml:space="preserve">  </w:t>
      </w:r>
      <w:r w:rsidRPr="00866BCD">
        <w:t>Section 1.106(a)(1) of the Commission’s rules (Rules) prohibits the filing of petitions for reconsideration of interlocutory actions.</w:t>
      </w:r>
      <w:r>
        <w:t xml:space="preserve">  </w:t>
      </w:r>
      <w:r w:rsidRPr="00866BCD">
        <w:t xml:space="preserve">47 CFR § 1.106(a)(1).  </w:t>
      </w:r>
      <w:r>
        <w:t xml:space="preserve">We will thus consider the filing </w:t>
      </w:r>
      <w:r w:rsidR="00DB76A9">
        <w:t xml:space="preserve">entirely </w:t>
      </w:r>
      <w:r>
        <w:t xml:space="preserve">as a response to the </w:t>
      </w:r>
      <w:r>
        <w:rPr>
          <w:i/>
          <w:iCs/>
        </w:rPr>
        <w:t>Staff Letter</w:t>
      </w:r>
      <w:r>
        <w:t xml:space="preserve"> and dismiss it as a petition for reconsideration.</w:t>
      </w:r>
      <w:r w:rsidRPr="00866BCD">
        <w:t xml:space="preserve"> </w:t>
      </w:r>
      <w:r>
        <w:t xml:space="preserve"> </w:t>
      </w:r>
    </w:p>
  </w:footnote>
  <w:footnote w:id="6">
    <w:p w:rsidR="00866BCD" w:rsidRPr="00EA3395" w:rsidP="00866BCD" w14:paraId="0E2CC0D7" w14:textId="7AF5FEA8">
      <w:pPr>
        <w:pStyle w:val="FootnoteText"/>
      </w:pPr>
      <w:r w:rsidRPr="00EA3395">
        <w:rPr>
          <w:rStyle w:val="FootnoteReference"/>
          <w:rFonts w:ascii="Times New Roman" w:hAnsi="Times New Roman"/>
        </w:rPr>
        <w:footnoteRef/>
      </w:r>
      <w:r w:rsidRPr="00EA3395">
        <w:t xml:space="preserve"> Objection at 1-2.</w:t>
      </w:r>
    </w:p>
  </w:footnote>
  <w:footnote w:id="7">
    <w:p w:rsidR="00866BCD" w:rsidRPr="00EA3395" w:rsidP="00866BCD" w14:paraId="65EEB565" w14:textId="77777777">
      <w:pPr>
        <w:pStyle w:val="FootnoteText"/>
      </w:pPr>
      <w:r w:rsidRPr="00EA3395">
        <w:rPr>
          <w:rStyle w:val="FootnoteReference"/>
          <w:rFonts w:ascii="Times New Roman" w:hAnsi="Times New Roman"/>
        </w:rPr>
        <w:footnoteRef/>
      </w:r>
      <w:r w:rsidRPr="00EA3395">
        <w:t xml:space="preserve"> </w:t>
      </w:r>
      <w:r w:rsidRPr="00EA3395">
        <w:rPr>
          <w:i/>
          <w:iCs/>
        </w:rPr>
        <w:t>Id.</w:t>
      </w:r>
      <w:r w:rsidRPr="00EA3395">
        <w:t xml:space="preserve"> at 2.</w:t>
      </w:r>
    </w:p>
  </w:footnote>
  <w:footnote w:id="8">
    <w:p w:rsidR="00866BCD" w:rsidRPr="00EA3395" w:rsidP="00866BCD" w14:paraId="11B1D3DD" w14:textId="77777777">
      <w:pPr>
        <w:pStyle w:val="FootnoteText"/>
      </w:pPr>
      <w:r w:rsidRPr="00EA3395">
        <w:rPr>
          <w:rStyle w:val="FootnoteReference"/>
          <w:rFonts w:ascii="Times New Roman" w:hAnsi="Times New Roman"/>
        </w:rPr>
        <w:footnoteRef/>
      </w:r>
      <w:r w:rsidRPr="00EA3395">
        <w:t xml:space="preserve"> </w:t>
      </w:r>
      <w:r w:rsidRPr="00EA3395">
        <w:rPr>
          <w:i/>
          <w:iCs/>
        </w:rPr>
        <w:t>Id.</w:t>
      </w:r>
      <w:r w:rsidRPr="00EA3395">
        <w:t xml:space="preserve"> </w:t>
      </w:r>
    </w:p>
  </w:footnote>
  <w:footnote w:id="9">
    <w:p w:rsidR="00D0105E" w:rsidRPr="00D0105E" w14:paraId="4AD177A3" w14:textId="60B0203E">
      <w:pPr>
        <w:pStyle w:val="FootnoteText"/>
      </w:pPr>
      <w:r>
        <w:rPr>
          <w:rStyle w:val="FootnoteReference"/>
        </w:rPr>
        <w:footnoteRef/>
      </w:r>
      <w:r>
        <w:t xml:space="preserve"> </w:t>
      </w:r>
      <w:r>
        <w:rPr>
          <w:i/>
          <w:iCs/>
        </w:rPr>
        <w:t>Id</w:t>
      </w:r>
      <w:r>
        <w:t>. at 3.</w:t>
      </w:r>
    </w:p>
  </w:footnote>
  <w:footnote w:id="10">
    <w:p w:rsidR="00866BCD" w:rsidRPr="00EA3395" w:rsidP="00866BCD" w14:paraId="6E197589" w14:textId="3A602409">
      <w:pPr>
        <w:pStyle w:val="FootnoteText"/>
      </w:pPr>
      <w:r w:rsidRPr="00EA3395">
        <w:rPr>
          <w:rStyle w:val="FootnoteReference"/>
          <w:rFonts w:ascii="Times New Roman" w:hAnsi="Times New Roman"/>
        </w:rPr>
        <w:footnoteRef/>
      </w:r>
      <w:r w:rsidRPr="00EA3395">
        <w:t xml:space="preserve"> Opposition at 1</w:t>
      </w:r>
      <w:r w:rsidR="00DB76A9">
        <w:t xml:space="preserve"> (citing 47 CFR</w:t>
      </w:r>
      <w:r w:rsidR="00462D5C">
        <w:t xml:space="preserve"> </w:t>
      </w:r>
      <w:r w:rsidRPr="00866BCD" w:rsidR="00462D5C">
        <w:t>§</w:t>
      </w:r>
      <w:r w:rsidR="00DB76A9">
        <w:t xml:space="preserve"> 1.1162(c)).</w:t>
      </w:r>
    </w:p>
  </w:footnote>
  <w:footnote w:id="11">
    <w:p w:rsidR="00866BCD" w:rsidRPr="00EA3395" w:rsidP="00866BCD" w14:paraId="61BF0812" w14:textId="37056DF0">
      <w:pPr>
        <w:pStyle w:val="FootnoteText"/>
      </w:pPr>
      <w:r w:rsidRPr="00EA3395">
        <w:rPr>
          <w:rStyle w:val="FootnoteReference"/>
          <w:rFonts w:ascii="Times New Roman" w:hAnsi="Times New Roman"/>
        </w:rPr>
        <w:footnoteRef/>
      </w:r>
      <w:r w:rsidRPr="00EA3395">
        <w:t xml:space="preserve"> </w:t>
      </w:r>
      <w:r w:rsidR="00DB76A9">
        <w:t>Opposition</w:t>
      </w:r>
      <w:r w:rsidRPr="00EA3395">
        <w:rPr>
          <w:i/>
          <w:iCs/>
        </w:rPr>
        <w:t xml:space="preserve"> </w:t>
      </w:r>
      <w:r w:rsidRPr="00EA3395">
        <w:t>at 2.</w:t>
      </w:r>
    </w:p>
  </w:footnote>
  <w:footnote w:id="12">
    <w:p w:rsidR="00866BCD" w:rsidRPr="00EA3395" w:rsidP="00866BCD" w14:paraId="78A58BC1" w14:textId="77777777">
      <w:pPr>
        <w:pStyle w:val="FootnoteText"/>
      </w:pPr>
      <w:r w:rsidRPr="00EA3395">
        <w:rPr>
          <w:rStyle w:val="FootnoteReference"/>
          <w:rFonts w:ascii="Times New Roman" w:hAnsi="Times New Roman"/>
        </w:rPr>
        <w:footnoteRef/>
      </w:r>
      <w:r w:rsidRPr="00EA3395">
        <w:t xml:space="preserve"> </w:t>
      </w:r>
      <w:r w:rsidRPr="00EA3395">
        <w:rPr>
          <w:i/>
          <w:iCs/>
        </w:rPr>
        <w:t>Id.</w:t>
      </w:r>
      <w:r w:rsidRPr="00EA3395">
        <w:t xml:space="preserve"> at 2-3.</w:t>
      </w:r>
    </w:p>
  </w:footnote>
  <w:footnote w:id="13">
    <w:p w:rsidR="00866BCD" w:rsidRPr="00EA3395" w:rsidP="00866BCD" w14:paraId="01EF5691" w14:textId="77777777">
      <w:pPr>
        <w:pStyle w:val="FootnoteText"/>
      </w:pPr>
      <w:r w:rsidRPr="00EA3395">
        <w:rPr>
          <w:rStyle w:val="FootnoteReference"/>
          <w:rFonts w:ascii="Times New Roman" w:hAnsi="Times New Roman"/>
        </w:rPr>
        <w:footnoteRef/>
      </w:r>
      <w:r w:rsidRPr="00EA3395">
        <w:t xml:space="preserve"> </w:t>
      </w:r>
      <w:r w:rsidRPr="00EA3395">
        <w:rPr>
          <w:i/>
          <w:iCs/>
        </w:rPr>
        <w:t>Id.</w:t>
      </w:r>
      <w:r w:rsidRPr="00EA3395">
        <w:t xml:space="preserve"> at 3.</w:t>
      </w:r>
    </w:p>
  </w:footnote>
  <w:footnote w:id="14">
    <w:p w:rsidR="00D0105E" w:rsidRPr="00D0105E" w14:paraId="7DBCA20C" w14:textId="10A3D063">
      <w:pPr>
        <w:pStyle w:val="FootnoteText"/>
      </w:pPr>
      <w:r>
        <w:rPr>
          <w:rStyle w:val="FootnoteReference"/>
        </w:rPr>
        <w:footnoteRef/>
      </w:r>
      <w:r>
        <w:t xml:space="preserve"> </w:t>
      </w:r>
      <w:r>
        <w:rPr>
          <w:i/>
          <w:iCs/>
        </w:rPr>
        <w:t>Id</w:t>
      </w:r>
      <w:r>
        <w:t>.</w:t>
      </w:r>
    </w:p>
  </w:footnote>
  <w:footnote w:id="15">
    <w:p w:rsidR="00667EAB" w:rsidRPr="00667EAB" w14:paraId="4AA57C70" w14:textId="0E9B75D4">
      <w:pPr>
        <w:pStyle w:val="FootnoteText"/>
      </w:pPr>
      <w:r>
        <w:rPr>
          <w:rStyle w:val="FootnoteReference"/>
        </w:rPr>
        <w:footnoteRef/>
      </w:r>
      <w:r>
        <w:t xml:space="preserve"> </w:t>
      </w:r>
      <w:r>
        <w:rPr>
          <w:i/>
          <w:iCs/>
        </w:rPr>
        <w:t>Id</w:t>
      </w:r>
      <w:r>
        <w:t>. at Exhibits A and B.</w:t>
      </w:r>
    </w:p>
  </w:footnote>
  <w:footnote w:id="16">
    <w:p w:rsidR="00866BCD" w:rsidRPr="00EA3395" w:rsidP="00866BCD" w14:paraId="55D89812" w14:textId="7D04100B">
      <w:pPr>
        <w:pStyle w:val="FootnoteText"/>
      </w:pPr>
      <w:r w:rsidRPr="00EA3395">
        <w:rPr>
          <w:rStyle w:val="FootnoteReference"/>
          <w:rFonts w:ascii="Times New Roman" w:hAnsi="Times New Roman"/>
        </w:rPr>
        <w:footnoteRef/>
      </w:r>
      <w:r w:rsidRPr="00EA3395">
        <w:t xml:space="preserve"> Reply at 1</w:t>
      </w:r>
      <w:r w:rsidR="00083915">
        <w:t xml:space="preserve"> (citing 47 CFR </w:t>
      </w:r>
      <w:r w:rsidRPr="00866BCD" w:rsidR="00083915">
        <w:t>§</w:t>
      </w:r>
      <w:r w:rsidR="00083915">
        <w:t xml:space="preserve"> 73.503)</w:t>
      </w:r>
      <w:r w:rsidRPr="00EA3395">
        <w:t>.</w:t>
      </w:r>
    </w:p>
  </w:footnote>
  <w:footnote w:id="17">
    <w:p w:rsidR="00866BCD" w:rsidRPr="00EA3395" w:rsidP="00866BCD" w14:paraId="714EC880" w14:textId="1CD97D49">
      <w:pPr>
        <w:pStyle w:val="FootnoteText"/>
      </w:pPr>
      <w:r w:rsidRPr="00EA3395">
        <w:rPr>
          <w:rStyle w:val="FootnoteReference"/>
          <w:rFonts w:ascii="Times New Roman" w:hAnsi="Times New Roman"/>
        </w:rPr>
        <w:footnoteRef/>
      </w:r>
      <w:r w:rsidRPr="00EA3395">
        <w:t xml:space="preserve"> </w:t>
      </w:r>
      <w:r w:rsidR="00083915">
        <w:t>Reply</w:t>
      </w:r>
      <w:r w:rsidRPr="00EA3395">
        <w:rPr>
          <w:i/>
          <w:iCs/>
        </w:rPr>
        <w:t xml:space="preserve"> </w:t>
      </w:r>
      <w:r w:rsidRPr="00EA3395">
        <w:t>at 2</w:t>
      </w:r>
      <w:r w:rsidR="00083915">
        <w:t xml:space="preserve"> (citing Note 2 to 47 CFR </w:t>
      </w:r>
      <w:r w:rsidRPr="00866BCD" w:rsidR="00083915">
        <w:t>§</w:t>
      </w:r>
      <w:r w:rsidR="00083915">
        <w:t xml:space="preserve"> 73.5555).</w:t>
      </w:r>
      <w:r w:rsidR="00462D5C">
        <w:t xml:space="preserve"> </w:t>
      </w:r>
    </w:p>
  </w:footnote>
  <w:footnote w:id="18">
    <w:p w:rsidR="007D471D" w14:paraId="05DC4ED6" w14:textId="5DF6674D">
      <w:pPr>
        <w:pStyle w:val="FootnoteText"/>
      </w:pPr>
      <w:r>
        <w:rPr>
          <w:rStyle w:val="FootnoteReference"/>
        </w:rPr>
        <w:footnoteRef/>
      </w:r>
      <w:r>
        <w:t xml:space="preserve"> Reply at 3.</w:t>
      </w:r>
    </w:p>
  </w:footnote>
  <w:footnote w:id="19">
    <w:p w:rsidR="00866BCD" w:rsidRPr="00EA3395" w:rsidP="00866BCD" w14:paraId="766EBECC" w14:textId="77777777">
      <w:pPr>
        <w:pStyle w:val="FootnoteText"/>
      </w:pPr>
      <w:r w:rsidRPr="00EA3395">
        <w:rPr>
          <w:rStyle w:val="FootnoteReference"/>
          <w:rFonts w:ascii="Times New Roman" w:hAnsi="Times New Roman"/>
        </w:rPr>
        <w:footnoteRef/>
      </w:r>
      <w:r w:rsidRPr="00EA3395">
        <w:t xml:space="preserve"> </w:t>
      </w:r>
      <w:r w:rsidRPr="00EA3395">
        <w:rPr>
          <w:i/>
          <w:iCs/>
        </w:rPr>
        <w:t xml:space="preserve">Id. </w:t>
      </w:r>
      <w:r w:rsidRPr="00EA3395">
        <w:t>at 3-4.</w:t>
      </w:r>
    </w:p>
  </w:footnote>
  <w:footnote w:id="20">
    <w:p w:rsidR="00866BCD" w:rsidRPr="00EA3395" w:rsidP="00866BCD" w14:paraId="119A9252" w14:textId="0A36E09A">
      <w:pPr>
        <w:pStyle w:val="FootnoteText"/>
      </w:pPr>
      <w:r w:rsidRPr="00EA3395">
        <w:rPr>
          <w:rStyle w:val="FootnoteReference"/>
          <w:rFonts w:ascii="Times New Roman" w:hAnsi="Times New Roman"/>
        </w:rPr>
        <w:footnoteRef/>
      </w:r>
      <w:r w:rsidRPr="00EA3395">
        <w:t xml:space="preserve"> Petition at 1-2</w:t>
      </w:r>
      <w:r w:rsidR="006F2AC5">
        <w:t xml:space="preserve"> (citing 47 CFR </w:t>
      </w:r>
      <w:r w:rsidRPr="00866BCD" w:rsidR="006F2AC5">
        <w:t>§</w:t>
      </w:r>
      <w:r w:rsidR="006F2AC5">
        <w:t xml:space="preserve"> 1.1162(c)).</w:t>
      </w:r>
    </w:p>
  </w:footnote>
  <w:footnote w:id="21">
    <w:p w:rsidR="00866BCD" w:rsidRPr="00EA3395" w:rsidP="00866BCD" w14:paraId="71EC1127" w14:textId="76466EEA">
      <w:pPr>
        <w:pStyle w:val="FootnoteText"/>
      </w:pPr>
      <w:r w:rsidRPr="00EA3395">
        <w:rPr>
          <w:rStyle w:val="FootnoteReference"/>
          <w:rFonts w:ascii="Times New Roman" w:hAnsi="Times New Roman"/>
        </w:rPr>
        <w:footnoteRef/>
      </w:r>
      <w:r w:rsidRPr="00EA3395">
        <w:t xml:space="preserve"> </w:t>
      </w:r>
      <w:r w:rsidRPr="006F2AC5" w:rsidR="006F2AC5">
        <w:t>Petition</w:t>
      </w:r>
      <w:r w:rsidRPr="00EA3395">
        <w:t xml:space="preserve"> at 2.</w:t>
      </w:r>
    </w:p>
  </w:footnote>
  <w:footnote w:id="22">
    <w:p w:rsidR="005259FF" w:rsidRPr="00F67AE9" w14:paraId="12C49BAB" w14:textId="4D7186C9">
      <w:pPr>
        <w:pStyle w:val="FootnoteText"/>
      </w:pPr>
      <w:r>
        <w:rPr>
          <w:rStyle w:val="FootnoteReference"/>
        </w:rPr>
        <w:footnoteRef/>
      </w:r>
      <w:r>
        <w:t xml:space="preserve"> </w:t>
      </w:r>
      <w:r>
        <w:rPr>
          <w:i/>
          <w:iCs/>
        </w:rPr>
        <w:t>Id</w:t>
      </w:r>
      <w:r>
        <w:t xml:space="preserve">. at 3 (citing </w:t>
      </w:r>
      <w:r w:rsidRPr="00F67AE9">
        <w:rPr>
          <w:i/>
          <w:iCs/>
        </w:rPr>
        <w:t xml:space="preserve">Assessment and Collection of </w:t>
      </w:r>
      <w:r w:rsidRPr="00F67AE9" w:rsidR="00F67AE9">
        <w:rPr>
          <w:i/>
          <w:iCs/>
        </w:rPr>
        <w:t>Regulatory</w:t>
      </w:r>
      <w:r w:rsidRPr="00F67AE9">
        <w:rPr>
          <w:i/>
          <w:iCs/>
        </w:rPr>
        <w:t xml:space="preserve"> Fees for Fiscal Year 2019</w:t>
      </w:r>
      <w:r>
        <w:t xml:space="preserve">, </w:t>
      </w:r>
      <w:r w:rsidR="00F67AE9">
        <w:t xml:space="preserve">MD Docket No 19-105, Report and Order and Further Notice of Proposed Rulemaking, 34 RCC Rcd 8189, 8190, para. 2 (2019) (“Regulatory fees also cover the costs incurred in regulating entities that are statutorily exempt from paying regulatory fees (e.g., governmental and </w:t>
      </w:r>
      <w:r w:rsidR="00F67AE9">
        <w:rPr>
          <w:i/>
          <w:iCs/>
        </w:rPr>
        <w:t>nonprofit entities</w:t>
      </w:r>
      <w:r w:rsidR="00F67AE9">
        <w:t>, amateur radio operators, and noncommercial radio and television station) and entities whose regulatory fee are waived.” (emphasis added))).</w:t>
      </w:r>
    </w:p>
  </w:footnote>
  <w:footnote w:id="23">
    <w:p w:rsidR="00866BCD" w:rsidRPr="00EA3395" w:rsidP="00866BCD" w14:paraId="085AFC4F" w14:textId="7A07FEAB">
      <w:pPr>
        <w:pStyle w:val="FootnoteText"/>
        <w:rPr>
          <w:i/>
          <w:iCs/>
        </w:rPr>
      </w:pPr>
      <w:r w:rsidRPr="00EA3395">
        <w:rPr>
          <w:rStyle w:val="FootnoteReference"/>
          <w:rFonts w:ascii="Times New Roman" w:hAnsi="Times New Roman"/>
        </w:rPr>
        <w:footnoteRef/>
      </w:r>
      <w:r w:rsidRPr="00EA3395">
        <w:t xml:space="preserve"> </w:t>
      </w:r>
      <w:r w:rsidR="00F67AE9">
        <w:t>Petition</w:t>
      </w:r>
      <w:r w:rsidRPr="00EA3395">
        <w:t xml:space="preserve"> at 2-3</w:t>
      </w:r>
      <w:r w:rsidR="00E04E3E">
        <w:t>.</w:t>
      </w:r>
    </w:p>
  </w:footnote>
  <w:footnote w:id="24">
    <w:p w:rsidR="00B04621" w:rsidRPr="0097369E" w:rsidP="00B04621" w14:paraId="5C74D96E" w14:textId="77777777">
      <w:pPr>
        <w:pStyle w:val="FootnoteText"/>
      </w:pPr>
      <w:r w:rsidRPr="0097369E">
        <w:rPr>
          <w:rStyle w:val="FootnoteReference"/>
          <w:rFonts w:ascii="Times New Roman" w:hAnsi="Times New Roman"/>
        </w:rPr>
        <w:footnoteRef/>
      </w:r>
      <w:r w:rsidRPr="0097369E">
        <w:t xml:space="preserve"> 47 U.S.C. § 309(k)(1).  The renewal standard was amended to read as described by section 204(a) of the Telecommunications Act of 1996, Pub. L. No. 104-104, 110 Stat. 56 (1996).  </w:t>
      </w:r>
      <w:r w:rsidRPr="0097369E">
        <w:rPr>
          <w:i/>
          <w:iCs/>
        </w:rPr>
        <w:t>See Implementation of Sections 204(a) and 204(c) of the Telecommunications Act of 1996</w:t>
      </w:r>
      <w:r w:rsidRPr="0097369E">
        <w:t>, Order, 11 FCC Rcd 6363 (1996).</w:t>
      </w:r>
    </w:p>
  </w:footnote>
  <w:footnote w:id="25">
    <w:p w:rsidR="00866BCD" w:rsidRPr="00EA3395" w:rsidP="00866BCD" w14:paraId="3CBB2073" w14:textId="6655F102">
      <w:pPr>
        <w:pStyle w:val="FootnoteText"/>
      </w:pPr>
      <w:r w:rsidRPr="00EA3395">
        <w:rPr>
          <w:vertAlign w:val="superscript"/>
        </w:rPr>
        <w:footnoteRef/>
      </w:r>
      <w:r w:rsidRPr="00EA3395">
        <w:t xml:space="preserve"> </w:t>
      </w:r>
      <w:r w:rsidRPr="00EA3395">
        <w:rPr>
          <w:i/>
          <w:iCs/>
        </w:rPr>
        <w:t>See Pacifica Found., Inc.</w:t>
      </w:r>
      <w:r w:rsidRPr="00EA3395">
        <w:t>, Memorandum Opinion and Order, 31 FCC Rcd 13566, 13566–67 (2016).</w:t>
      </w:r>
    </w:p>
  </w:footnote>
  <w:footnote w:id="26">
    <w:p w:rsidR="00B04621" w:rsidRPr="0097369E" w:rsidP="00B04621" w14:paraId="17279550" w14:textId="77777777">
      <w:pPr>
        <w:pStyle w:val="FootnoteText"/>
      </w:pPr>
      <w:r w:rsidRPr="0097369E">
        <w:rPr>
          <w:rStyle w:val="FootnoteReference"/>
          <w:rFonts w:ascii="Times New Roman" w:hAnsi="Times New Roman"/>
        </w:rPr>
        <w:footnoteRef/>
      </w:r>
      <w:r w:rsidRPr="0097369E">
        <w:t xml:space="preserve"> 47 U.S.C § 309(d)-(e).  </w:t>
      </w:r>
      <w:r w:rsidRPr="0097369E">
        <w:rPr>
          <w:i/>
          <w:iCs/>
        </w:rPr>
        <w:t>See, e.g.</w:t>
      </w:r>
      <w:r w:rsidRPr="0097369E">
        <w:t xml:space="preserve">, </w:t>
      </w:r>
      <w:r w:rsidRPr="0097369E">
        <w:rPr>
          <w:i/>
          <w:iCs/>
        </w:rPr>
        <w:t>WWOR-TV, Inc.</w:t>
      </w:r>
      <w:r w:rsidRPr="0097369E">
        <w:t xml:space="preserve">, Memorandum Opinion and Order, 6 FCC Rcd 193, 197 n.10 (1990), </w:t>
      </w:r>
      <w:r w:rsidRPr="0097369E">
        <w:rPr>
          <w:i/>
          <w:iCs/>
        </w:rPr>
        <w:t>aff’d sub nom</w:t>
      </w:r>
      <w:r w:rsidRPr="0097369E">
        <w:t xml:space="preserve">. </w:t>
      </w:r>
      <w:r w:rsidRPr="0097369E">
        <w:rPr>
          <w:i/>
          <w:iCs/>
        </w:rPr>
        <w:t>Garden State Broad. L.P. v. FCC</w:t>
      </w:r>
      <w:r w:rsidRPr="0097369E">
        <w:t xml:space="preserve">, 996 F.2d 386 (D.C. Cir. 1993), </w:t>
      </w:r>
      <w:r w:rsidRPr="0097369E">
        <w:rPr>
          <w:i/>
          <w:iCs/>
        </w:rPr>
        <w:t>reh’g denied</w:t>
      </w:r>
      <w:r w:rsidRPr="0097369E">
        <w:t xml:space="preserve"> (D.C. Cir. Sept. 10, 1993); </w:t>
      </w:r>
      <w:r w:rsidRPr="0097369E">
        <w:rPr>
          <w:i/>
          <w:iCs/>
        </w:rPr>
        <w:t>Area Christian Television, Inc.</w:t>
      </w:r>
      <w:r w:rsidRPr="0097369E">
        <w:t>, Memorandum Opinion and Order, 60 R.R.2d 862, 864, para. 6 (1986) (</w:t>
      </w:r>
      <w:r w:rsidRPr="0097369E">
        <w:rPr>
          <w:i/>
          <w:iCs/>
        </w:rPr>
        <w:t>Area Christian)</w:t>
      </w:r>
      <w:r w:rsidRPr="0097369E">
        <w:t xml:space="preserve"> (stating informal objections must contain adequate and specific factual allegations sufficient to warrant the relief requested).</w:t>
      </w:r>
    </w:p>
  </w:footnote>
  <w:footnote w:id="27">
    <w:p w:rsidR="00B04621" w:rsidRPr="0097369E" w:rsidP="00B04621" w14:paraId="6497E278" w14:textId="77777777">
      <w:pPr>
        <w:pStyle w:val="FootnoteText"/>
      </w:pPr>
      <w:r w:rsidRPr="0097369E">
        <w:rPr>
          <w:rStyle w:val="FootnoteReference"/>
          <w:rFonts w:ascii="Times New Roman" w:hAnsi="Times New Roman"/>
        </w:rPr>
        <w:footnoteRef/>
      </w:r>
      <w:r w:rsidRPr="0097369E">
        <w:t xml:space="preserve"> </w:t>
      </w:r>
      <w:r w:rsidRPr="0097369E">
        <w:rPr>
          <w:i/>
          <w:iCs/>
        </w:rPr>
        <w:t>See Area Christian</w:t>
      </w:r>
      <w:r w:rsidRPr="0097369E">
        <w:t xml:space="preserve">, 60 R.R.2d at 864, para. 6; </w:t>
      </w:r>
      <w:r w:rsidRPr="0097369E">
        <w:rPr>
          <w:i/>
          <w:iCs/>
        </w:rPr>
        <w:t>WFBM, Inc.</w:t>
      </w:r>
      <w:r w:rsidRPr="0097369E">
        <w:t>, Memorandum Opinion and Order, 47 FCC 2d 1267, 1268, para. 3 (1974).</w:t>
      </w:r>
    </w:p>
  </w:footnote>
  <w:footnote w:id="28">
    <w:p w:rsidR="00B04621" w:rsidRPr="00D426DF" w:rsidP="00B04621" w14:paraId="01C2EFE0" w14:textId="77777777">
      <w:pPr>
        <w:pStyle w:val="FootnoteText"/>
      </w:pPr>
      <w:r w:rsidRPr="00D426DF">
        <w:rPr>
          <w:rStyle w:val="FootnoteReference"/>
          <w:rFonts w:ascii="Times New Roman" w:hAnsi="Times New Roman"/>
        </w:rPr>
        <w:footnoteRef/>
      </w:r>
      <w:r w:rsidRPr="00D426DF">
        <w:t xml:space="preserve"> 47 U.S.C. § 159(a); 47 CFR §§ 1.1151-1.1167.</w:t>
      </w:r>
    </w:p>
  </w:footnote>
  <w:footnote w:id="29">
    <w:p w:rsidR="00B04621" w:rsidRPr="00D426DF" w:rsidP="00B04621" w14:paraId="2E7910BC" w14:textId="77777777">
      <w:pPr>
        <w:pStyle w:val="FootnoteText"/>
      </w:pPr>
      <w:r w:rsidRPr="00D426DF">
        <w:rPr>
          <w:rStyle w:val="FootnoteReference"/>
          <w:rFonts w:ascii="Times New Roman" w:hAnsi="Times New Roman"/>
        </w:rPr>
        <w:footnoteRef/>
      </w:r>
      <w:r w:rsidRPr="00D426DF">
        <w:t xml:space="preserve"> 47 U.S.C. § 159; 47 CFR § 1.1162(c).  </w:t>
      </w:r>
    </w:p>
  </w:footnote>
  <w:footnote w:id="30">
    <w:p w:rsidR="00B04621" w:rsidRPr="00D426DF" w:rsidP="00B04621" w14:paraId="7583C427" w14:textId="77777777">
      <w:pPr>
        <w:pStyle w:val="FootnoteText"/>
      </w:pPr>
      <w:r w:rsidRPr="00D426DF">
        <w:rPr>
          <w:rStyle w:val="FootnoteReference"/>
          <w:rFonts w:ascii="Times New Roman" w:hAnsi="Times New Roman"/>
        </w:rPr>
        <w:footnoteRef/>
      </w:r>
      <w:r w:rsidRPr="00D426DF">
        <w:t xml:space="preserve"> </w:t>
      </w:r>
      <w:r w:rsidRPr="00D426DF">
        <w:rPr>
          <w:color w:val="000000"/>
        </w:rPr>
        <w:t>47 CFR § 1.1162(c) (</w:t>
      </w:r>
      <w:r w:rsidRPr="00D426DF">
        <w:t xml:space="preserve">No regulatory fee shall be required for “[a]pplicants and permittees who qualify as nonprofit entities.  For purposes of this exemption, a nonprofit entity is defined as: “an organization duly qualified as a nonprofit, tax exempt entity under section 501 of the Internal Revenue Code, 26 U.S.C. 501; or an entity with current certification as a nonprofit corporation or other nonprofit entity by state or other governmental authority.”).  </w:t>
      </w:r>
    </w:p>
  </w:footnote>
  <w:footnote w:id="31">
    <w:p w:rsidR="00B04621" w:rsidP="00B04621" w14:paraId="5B09046D" w14:textId="425B83B2">
      <w:pPr>
        <w:pStyle w:val="FootnoteText"/>
      </w:pPr>
      <w:r w:rsidRPr="00B113EC">
        <w:rPr>
          <w:rStyle w:val="FootnoteReference"/>
        </w:rPr>
        <w:footnoteRef/>
      </w:r>
      <w:r w:rsidRPr="00B113EC">
        <w:t xml:space="preserve"> </w:t>
      </w:r>
      <w:r w:rsidRPr="00B113EC">
        <w:rPr>
          <w:bdr w:val="none" w:sz="0" w:space="0" w:color="auto" w:frame="1"/>
          <w:shd w:val="clear" w:color="auto" w:fill="FFFFFF"/>
        </w:rPr>
        <w:t>47 CFR § 1.1162(c)</w:t>
      </w:r>
      <w:r w:rsidRPr="00B113EC">
        <w:rPr>
          <w:shd w:val="clear" w:color="auto" w:fill="FFFFFF"/>
        </w:rPr>
        <w:t>(1) (“Any permittee, licensee or other entity subject to a regulatory fee and claiming an exemption from a regulatory fee </w:t>
      </w:r>
      <w:r w:rsidRPr="00B113EC">
        <w:rPr>
          <w:i/>
          <w:iCs/>
          <w:shd w:val="clear" w:color="auto" w:fill="FFFFFF"/>
        </w:rPr>
        <w:t>based upon its status as a nonprofit entity</w:t>
      </w:r>
      <w:r w:rsidRPr="00B113EC">
        <w:rPr>
          <w:shd w:val="clear" w:color="auto" w:fill="FFFFFF"/>
        </w:rPr>
        <w:t>, as described above, shall file with the Secretary of the Commission (Attn: Managing Director) written documentation establishing the basis for its exemption . . . .”) (emphasis added); </w:t>
      </w:r>
      <w:r w:rsidRPr="00B113EC">
        <w:rPr>
          <w:i/>
          <w:iCs/>
          <w:shd w:val="clear" w:color="auto" w:fill="FFFFFF"/>
        </w:rPr>
        <w:t>Documentation of Nonprofit Exemption from Regulatory Fees</w:t>
      </w:r>
      <w:r w:rsidRPr="00B113EC">
        <w:rPr>
          <w:shd w:val="clear" w:color="auto" w:fill="FFFFFF"/>
        </w:rPr>
        <w:t>, Public Notice, 13 FCC Rcd 744 (1998) (providing that “Nonprofit entities are exempt from paying FCC annual regulatory fees if they claim nonprofit status under Section 501(c)(3) of the Internal Revenue Code (IRS), 26 U.S.C. §501 or are certified, or otherwise authorized, as a nonprofit entity by a state or other governmental authority.”).  </w:t>
      </w:r>
      <w:r w:rsidRPr="00B113EC">
        <w:rPr>
          <w:i/>
          <w:iCs/>
          <w:shd w:val="clear" w:color="auto" w:fill="FFFFFF"/>
        </w:rPr>
        <w:t>See, e.g</w:t>
      </w:r>
      <w:r w:rsidRPr="00B113EC">
        <w:rPr>
          <w:shd w:val="clear" w:color="auto" w:fill="FFFFFF"/>
        </w:rPr>
        <w:t>., </w:t>
      </w:r>
      <w:r w:rsidRPr="00B113EC">
        <w:rPr>
          <w:i/>
          <w:iCs/>
          <w:shd w:val="clear" w:color="auto" w:fill="FFFFFF"/>
        </w:rPr>
        <w:t>Assessment &amp; Collection of Regulatory Fees for Fiscal Year 2005, </w:t>
      </w:r>
      <w:r w:rsidRPr="00B113EC">
        <w:rPr>
          <w:shd w:val="clear" w:color="auto" w:fill="FFFFFF"/>
        </w:rPr>
        <w:t>Report and Order, 20 FCC Rcd 12259, 12266 (2005) (“A University owns a commercial facility whose profits are used to support the University and/or its programs. If the facility is licensed to the University directly, or to an exempt subsidiary of the University, it is exempt from regulatory fees.</w:t>
      </w:r>
      <w:r w:rsidRPr="00B113EC" w:rsidR="00826C7D">
        <w:rPr>
          <w:shd w:val="clear" w:color="auto" w:fill="FFFFFF"/>
        </w:rPr>
        <w:t xml:space="preserve"> </w:t>
      </w:r>
      <w:r w:rsidRPr="00B113EC">
        <w:rPr>
          <w:shd w:val="clear" w:color="auto" w:fill="FFFFFF"/>
        </w:rPr>
        <w:t xml:space="preserve"> If, however, the license is held by a for-profit subsidiary, regulatory fees are owed, even though the University is an exempt entity.  A state pension fund is the majority owner of a for-profit commercial broadcasting firm. The facilities licensed to the for-profit broadcasting firm would be subject to regulatory fees, even though it is owned by an exempt agency.”).</w:t>
      </w:r>
    </w:p>
  </w:footnote>
  <w:footnote w:id="32">
    <w:p w:rsidR="00B04621" w:rsidRPr="00D426DF" w:rsidP="00B04621" w14:paraId="03FBB7F9" w14:textId="2E1C6C99">
      <w:pPr>
        <w:pStyle w:val="FootnoteText"/>
      </w:pPr>
      <w:r w:rsidRPr="00D426DF">
        <w:rPr>
          <w:rStyle w:val="FootnoteReference"/>
          <w:rFonts w:ascii="Times New Roman" w:hAnsi="Times New Roman"/>
        </w:rPr>
        <w:footnoteRef/>
      </w:r>
      <w:r w:rsidRPr="00D426DF">
        <w:t xml:space="preserve"> </w:t>
      </w:r>
      <w:r w:rsidRPr="00D426DF">
        <w:rPr>
          <w:i/>
          <w:iCs/>
        </w:rPr>
        <w:t xml:space="preserve">See </w:t>
      </w:r>
      <w:r w:rsidRPr="00D426DF">
        <w:t>IRS, Charities and Non-Profits</w:t>
      </w:r>
      <w:r w:rsidRPr="00B04621">
        <w:rPr>
          <w:color w:val="000000"/>
        </w:rPr>
        <w:t xml:space="preserve">, </w:t>
      </w:r>
      <w:hyperlink r:id="rId3" w:history="1">
        <w:r w:rsidRPr="00D426DF">
          <w:rPr>
            <w:color w:val="000000"/>
          </w:rPr>
          <w:t>https://www.irs.gov/charities-non-profits/tax-exempt-organization-search</w:t>
        </w:r>
      </w:hyperlink>
      <w:r w:rsidRPr="00D426DF">
        <w:rPr>
          <w:color w:val="000000"/>
        </w:rPr>
        <w:t xml:space="preserve"> (last visited July 30, 2020) (displaying tax exempt status for “</w:t>
      </w:r>
      <w:r w:rsidR="003C19F2">
        <w:rPr>
          <w:color w:val="000000"/>
        </w:rPr>
        <w:t>Radio Training Network Inc</w:t>
      </w:r>
      <w:r w:rsidRPr="00D426DF">
        <w:rPr>
          <w:color w:val="000000"/>
        </w:rPr>
        <w:t xml:space="preserve">”).  </w:t>
      </w:r>
    </w:p>
  </w:footnote>
  <w:footnote w:id="33">
    <w:p w:rsidR="00B04621" w:rsidRPr="002B6D62" w:rsidP="002B6D62" w14:paraId="65FEE5DA" w14:textId="7A6A65CF">
      <w:pPr>
        <w:pStyle w:val="FootnoteText"/>
      </w:pPr>
      <w:r w:rsidRPr="00D426DF">
        <w:rPr>
          <w:rStyle w:val="FootnoteReference"/>
          <w:rFonts w:ascii="Times New Roman" w:hAnsi="Times New Roman"/>
        </w:rPr>
        <w:footnoteRef/>
      </w:r>
      <w:r w:rsidRPr="00D426DF">
        <w:t xml:space="preserve"> </w:t>
      </w:r>
      <w:bookmarkStart w:id="2" w:name="x__Hlk46837730"/>
      <w:r w:rsidRPr="00D426DF">
        <w:rPr>
          <w:color w:val="201F1E"/>
          <w:bdr w:val="none" w:sz="0" w:space="0" w:color="auto" w:frame="1"/>
          <w:shd w:val="clear" w:color="auto" w:fill="FFFFFF"/>
        </w:rPr>
        <w:t>47 CFR </w:t>
      </w:r>
      <w:r w:rsidRPr="00D426DF">
        <w:rPr>
          <w:color w:val="000000"/>
          <w:bdr w:val="none" w:sz="0" w:space="0" w:color="auto" w:frame="1"/>
          <w:shd w:val="clear" w:color="auto" w:fill="FFFFFF"/>
        </w:rPr>
        <w:t>§ 1.1162(c).  </w:t>
      </w:r>
      <w:r w:rsidR="00826C7D">
        <w:rPr>
          <w:color w:val="201F1E"/>
          <w:bdr w:val="none" w:sz="0" w:space="0" w:color="auto" w:frame="1"/>
          <w:shd w:val="clear" w:color="auto" w:fill="FFFFFF"/>
        </w:rPr>
        <w:t>RTN</w:t>
      </w:r>
      <w:r w:rsidR="002340C1">
        <w:rPr>
          <w:color w:val="201F1E"/>
          <w:bdr w:val="none" w:sz="0" w:space="0" w:color="auto" w:frame="1"/>
          <w:shd w:val="clear" w:color="auto" w:fill="FFFFFF"/>
        </w:rPr>
        <w:t xml:space="preserve"> </w:t>
      </w:r>
      <w:r w:rsidRPr="00D426DF">
        <w:rPr>
          <w:color w:val="201F1E"/>
          <w:bdr w:val="none" w:sz="0" w:space="0" w:color="auto" w:frame="1"/>
          <w:shd w:val="clear" w:color="auto" w:fill="FFFFFF"/>
        </w:rPr>
        <w:t>does not claim (nor is it qualified to claim) the NCE regulatory fee exemption.  </w:t>
      </w:r>
      <w:r w:rsidRPr="00D426DF">
        <w:rPr>
          <w:i/>
          <w:iCs/>
          <w:color w:val="201F1E"/>
          <w:bdr w:val="none" w:sz="0" w:space="0" w:color="auto" w:frame="1"/>
          <w:shd w:val="clear" w:color="auto" w:fill="FFFFFF"/>
        </w:rPr>
        <w:t>See </w:t>
      </w:r>
      <w:r w:rsidRPr="00D426DF">
        <w:rPr>
          <w:color w:val="201F1E"/>
          <w:bdr w:val="none" w:sz="0" w:space="0" w:color="auto" w:frame="1"/>
          <w:shd w:val="clear" w:color="auto" w:fill="FFFFFF"/>
        </w:rPr>
        <w:t xml:space="preserve">47 CFR § 1.1162(e) (No regulatory fee shall be required for “[a]pplicants, permittees or licensees of noncommercial educational broadcast stations in the FM or TV services, as well as AM applicants, permittees or </w:t>
      </w:r>
      <w:r w:rsidRPr="002B6D62">
        <w:rPr>
          <w:color w:val="201F1E"/>
          <w:bdr w:val="none" w:sz="0" w:space="0" w:color="auto" w:frame="1"/>
          <w:shd w:val="clear" w:color="auto" w:fill="FFFFFF"/>
        </w:rPr>
        <w:t>licensees operating in accordance with § 73.305 of this chapter.”).</w:t>
      </w:r>
      <w:bookmarkEnd w:id="2"/>
      <w:r w:rsidRPr="002B6D62" w:rsidR="00E00076">
        <w:rPr>
          <w:color w:val="201F1E"/>
          <w:bdr w:val="none" w:sz="0" w:space="0" w:color="auto" w:frame="1"/>
          <w:shd w:val="clear" w:color="auto" w:fill="FFFFFF"/>
        </w:rPr>
        <w:t xml:space="preserve">  </w:t>
      </w:r>
    </w:p>
  </w:footnote>
  <w:footnote w:id="34">
    <w:p w:rsidR="00114050" w:rsidP="00114050" w14:paraId="5C697F2D" w14:textId="77777777">
      <w:pPr>
        <w:pStyle w:val="FootnoteText"/>
      </w:pPr>
      <w:r>
        <w:rPr>
          <w:rStyle w:val="FootnoteReference"/>
        </w:rPr>
        <w:footnoteRef/>
      </w:r>
      <w:r>
        <w:t xml:space="preserve"> </w:t>
      </w:r>
      <w:r w:rsidRPr="002340C1">
        <w:rPr>
          <w:i/>
          <w:iCs/>
        </w:rPr>
        <w:t>See Aspen FM, Inc.,</w:t>
      </w:r>
      <w:r w:rsidRPr="002340C1">
        <w:t xml:space="preserve"> Memorandum Opinion and Order, 12 FCC Rcd 17852, 17855</w:t>
      </w:r>
      <w:r>
        <w:t>, para. 10</w:t>
      </w:r>
      <w:r w:rsidRPr="002340C1">
        <w:t xml:space="preserve"> (1997) (citing </w:t>
      </w:r>
      <w:r w:rsidRPr="002340C1">
        <w:rPr>
          <w:i/>
          <w:iCs/>
        </w:rPr>
        <w:t>North American Broadcasting Co., Inc</w:t>
      </w:r>
      <w:r w:rsidRPr="002340C1">
        <w:t>., 15 FCC 2d 979 (1969)).</w:t>
      </w:r>
    </w:p>
  </w:footnote>
  <w:footnote w:id="35">
    <w:p w:rsidR="00F67AE9" w:rsidRPr="002B6D62" w:rsidP="00F67AE9" w14:paraId="136C1377" w14:textId="77777777">
      <w:pPr>
        <w:spacing w:after="120"/>
      </w:pPr>
      <w:r w:rsidRPr="002B6D62">
        <w:rPr>
          <w:rStyle w:val="FootnoteReference"/>
          <w:rFonts w:ascii="Times New Roman" w:hAnsi="Times New Roman"/>
        </w:rPr>
        <w:footnoteRef/>
      </w:r>
      <w:r w:rsidRPr="002B6D62">
        <w:t xml:space="preserve"> </w:t>
      </w:r>
      <w:r w:rsidRPr="002B6D62">
        <w:rPr>
          <w:i/>
          <w:iCs/>
        </w:rPr>
        <w:t xml:space="preserve">See </w:t>
      </w:r>
      <w:r w:rsidRPr="002B6D62">
        <w:t>47 CFR § 73.3555, Note 2.</w:t>
      </w:r>
    </w:p>
  </w:footnote>
  <w:footnote w:id="36">
    <w:p w:rsidR="00A4063F" w14:paraId="3C294DF5" w14:textId="6B8DB368">
      <w:pPr>
        <w:pStyle w:val="FootnoteText"/>
      </w:pPr>
      <w:r>
        <w:rPr>
          <w:rStyle w:val="FootnoteReference"/>
        </w:rPr>
        <w:footnoteRef/>
      </w:r>
      <w:r>
        <w:t xml:space="preserve"> </w:t>
      </w:r>
      <w:r w:rsidR="00211FED">
        <w:t xml:space="preserve">RTN may submit a request for refund of the paid regulatory fees, with a copy of this order and its FRN, to </w:t>
      </w:r>
      <w:hyperlink r:id="rId4" w:history="1">
        <w:r w:rsidRPr="00A22557" w:rsidR="00211FED">
          <w:rPr>
            <w:rStyle w:val="Hyperlink"/>
          </w:rPr>
          <w:t>ARINQUIRIES@fcc.gov</w:t>
        </w:r>
      </w:hyperlink>
      <w:r w:rsidR="00211FE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CA06AB" w14:textId="308C0208">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218478"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5C6E91E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8E14010" w14:textId="77777777">
    <w:pPr>
      <w:pStyle w:val="Header"/>
      <w:tabs>
        <w:tab w:val="clear" w:pos="4320"/>
      </w:tabs>
      <w:jc w:val="center"/>
      <w:rPr>
        <w:sz w:val="22"/>
      </w:rPr>
    </w:pPr>
  </w:p>
  <w:p w:rsidR="002B54DB" w14:paraId="14636F2C" w14:textId="77777777">
    <w:pPr>
      <w:pStyle w:val="Header"/>
      <w:tabs>
        <w:tab w:val="clear" w:pos="4320"/>
      </w:tabs>
      <w:jc w:val="center"/>
      <w:rPr>
        <w:sz w:val="22"/>
      </w:rPr>
    </w:pPr>
  </w:p>
  <w:p w:rsidR="002B54DB" w14:paraId="45AC97CB" w14:textId="790FE98F">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E04E3E">
      <w:rPr>
        <w:noProof/>
        <w:sz w:val="24"/>
      </w:rPr>
      <w:t>March 29, 2021</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B8E"/>
    <w:rsid w:val="00006B52"/>
    <w:rsid w:val="000124FD"/>
    <w:rsid w:val="00015D0A"/>
    <w:rsid w:val="00027900"/>
    <w:rsid w:val="000302EB"/>
    <w:rsid w:val="00035EA3"/>
    <w:rsid w:val="00052BF1"/>
    <w:rsid w:val="00077AFB"/>
    <w:rsid w:val="0008070B"/>
    <w:rsid w:val="00083915"/>
    <w:rsid w:val="00094DAA"/>
    <w:rsid w:val="000A0858"/>
    <w:rsid w:val="000B0550"/>
    <w:rsid w:val="000C3D61"/>
    <w:rsid w:val="000C4A66"/>
    <w:rsid w:val="000C650C"/>
    <w:rsid w:val="00114050"/>
    <w:rsid w:val="00114752"/>
    <w:rsid w:val="001172AD"/>
    <w:rsid w:val="001333F1"/>
    <w:rsid w:val="00160766"/>
    <w:rsid w:val="00175680"/>
    <w:rsid w:val="0018238C"/>
    <w:rsid w:val="00190ADB"/>
    <w:rsid w:val="001A0695"/>
    <w:rsid w:val="001F7DA8"/>
    <w:rsid w:val="00204CE3"/>
    <w:rsid w:val="00211FED"/>
    <w:rsid w:val="00231BFB"/>
    <w:rsid w:val="002340C1"/>
    <w:rsid w:val="0024071E"/>
    <w:rsid w:val="00260454"/>
    <w:rsid w:val="00270484"/>
    <w:rsid w:val="00282EDD"/>
    <w:rsid w:val="00290A4C"/>
    <w:rsid w:val="002B54DB"/>
    <w:rsid w:val="002B6D62"/>
    <w:rsid w:val="002D0814"/>
    <w:rsid w:val="002D3DB5"/>
    <w:rsid w:val="00314A53"/>
    <w:rsid w:val="00322745"/>
    <w:rsid w:val="00323D81"/>
    <w:rsid w:val="00324CFA"/>
    <w:rsid w:val="003407F7"/>
    <w:rsid w:val="003438AD"/>
    <w:rsid w:val="00373574"/>
    <w:rsid w:val="0037387C"/>
    <w:rsid w:val="0038179C"/>
    <w:rsid w:val="00390786"/>
    <w:rsid w:val="003941D9"/>
    <w:rsid w:val="003C19F2"/>
    <w:rsid w:val="003D6DA8"/>
    <w:rsid w:val="0040127D"/>
    <w:rsid w:val="0045111F"/>
    <w:rsid w:val="00462D5C"/>
    <w:rsid w:val="00474A19"/>
    <w:rsid w:val="0047690E"/>
    <w:rsid w:val="0048741E"/>
    <w:rsid w:val="004A4082"/>
    <w:rsid w:val="004A520E"/>
    <w:rsid w:val="004B4C53"/>
    <w:rsid w:val="004B5F87"/>
    <w:rsid w:val="004D3B53"/>
    <w:rsid w:val="0050344E"/>
    <w:rsid w:val="005118AD"/>
    <w:rsid w:val="005259FF"/>
    <w:rsid w:val="005454FC"/>
    <w:rsid w:val="00587298"/>
    <w:rsid w:val="005A6AF1"/>
    <w:rsid w:val="005B1207"/>
    <w:rsid w:val="005C2A63"/>
    <w:rsid w:val="005D30D7"/>
    <w:rsid w:val="005E7F75"/>
    <w:rsid w:val="005F0E79"/>
    <w:rsid w:val="00605439"/>
    <w:rsid w:val="00667EAB"/>
    <w:rsid w:val="006A6665"/>
    <w:rsid w:val="006D69E7"/>
    <w:rsid w:val="006D7C18"/>
    <w:rsid w:val="006F0196"/>
    <w:rsid w:val="006F2AC5"/>
    <w:rsid w:val="007069B9"/>
    <w:rsid w:val="00717E2F"/>
    <w:rsid w:val="0073753D"/>
    <w:rsid w:val="007557D0"/>
    <w:rsid w:val="007675E5"/>
    <w:rsid w:val="00767AAA"/>
    <w:rsid w:val="00770212"/>
    <w:rsid w:val="007B3033"/>
    <w:rsid w:val="007D471D"/>
    <w:rsid w:val="007D7564"/>
    <w:rsid w:val="00816A06"/>
    <w:rsid w:val="00826C7D"/>
    <w:rsid w:val="00827B13"/>
    <w:rsid w:val="008340C4"/>
    <w:rsid w:val="00866BCD"/>
    <w:rsid w:val="00880F22"/>
    <w:rsid w:val="008C28DA"/>
    <w:rsid w:val="008E3CAF"/>
    <w:rsid w:val="008E42AD"/>
    <w:rsid w:val="009003FE"/>
    <w:rsid w:val="00911629"/>
    <w:rsid w:val="00921A05"/>
    <w:rsid w:val="009350A1"/>
    <w:rsid w:val="00956EA8"/>
    <w:rsid w:val="00960147"/>
    <w:rsid w:val="0097369E"/>
    <w:rsid w:val="00994371"/>
    <w:rsid w:val="009A07EF"/>
    <w:rsid w:val="009B0AFE"/>
    <w:rsid w:val="009C6B35"/>
    <w:rsid w:val="009D02C8"/>
    <w:rsid w:val="009D75A5"/>
    <w:rsid w:val="009F3015"/>
    <w:rsid w:val="00A13CF7"/>
    <w:rsid w:val="00A22557"/>
    <w:rsid w:val="00A23CC0"/>
    <w:rsid w:val="00A4063F"/>
    <w:rsid w:val="00A61C4D"/>
    <w:rsid w:val="00A768B6"/>
    <w:rsid w:val="00A805A3"/>
    <w:rsid w:val="00AC2651"/>
    <w:rsid w:val="00AC6B29"/>
    <w:rsid w:val="00AD0261"/>
    <w:rsid w:val="00AD399B"/>
    <w:rsid w:val="00B00A3D"/>
    <w:rsid w:val="00B04621"/>
    <w:rsid w:val="00B113EC"/>
    <w:rsid w:val="00B14188"/>
    <w:rsid w:val="00B64489"/>
    <w:rsid w:val="00B679E9"/>
    <w:rsid w:val="00B742F8"/>
    <w:rsid w:val="00B814B2"/>
    <w:rsid w:val="00B85526"/>
    <w:rsid w:val="00B868D2"/>
    <w:rsid w:val="00B90341"/>
    <w:rsid w:val="00BA4920"/>
    <w:rsid w:val="00BB5F4A"/>
    <w:rsid w:val="00BC1CC6"/>
    <w:rsid w:val="00BC1E92"/>
    <w:rsid w:val="00BE1FE7"/>
    <w:rsid w:val="00BF453C"/>
    <w:rsid w:val="00C16CFD"/>
    <w:rsid w:val="00C9590A"/>
    <w:rsid w:val="00C95ADC"/>
    <w:rsid w:val="00CA1897"/>
    <w:rsid w:val="00CD3BD3"/>
    <w:rsid w:val="00CE61F6"/>
    <w:rsid w:val="00D0105E"/>
    <w:rsid w:val="00D34F0B"/>
    <w:rsid w:val="00D426DF"/>
    <w:rsid w:val="00D71AC5"/>
    <w:rsid w:val="00DB76A9"/>
    <w:rsid w:val="00DC1360"/>
    <w:rsid w:val="00DD24B5"/>
    <w:rsid w:val="00DE3673"/>
    <w:rsid w:val="00DE36AF"/>
    <w:rsid w:val="00DF413B"/>
    <w:rsid w:val="00E00076"/>
    <w:rsid w:val="00E04E3E"/>
    <w:rsid w:val="00E07B68"/>
    <w:rsid w:val="00E45173"/>
    <w:rsid w:val="00E6408F"/>
    <w:rsid w:val="00E67CC2"/>
    <w:rsid w:val="00E90A15"/>
    <w:rsid w:val="00EA3395"/>
    <w:rsid w:val="00EA7247"/>
    <w:rsid w:val="00EB649D"/>
    <w:rsid w:val="00EC5ACC"/>
    <w:rsid w:val="00EF426B"/>
    <w:rsid w:val="00F0795B"/>
    <w:rsid w:val="00F15594"/>
    <w:rsid w:val="00F45955"/>
    <w:rsid w:val="00F64B9B"/>
    <w:rsid w:val="00F67AE9"/>
    <w:rsid w:val="00F8390F"/>
    <w:rsid w:val="00FA05F2"/>
    <w:rsid w:val="00FC5743"/>
    <w:rsid w:val="00FD03C2"/>
    <w:rsid w:val="68C9F2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0E3CDA-F816-46BA-8F2C-CD10B667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04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21"/>
    <w:rPr>
      <w:rFonts w:ascii="Segoe UI" w:hAnsi="Segoe UI" w:cs="Segoe UI"/>
      <w:sz w:val="18"/>
      <w:szCs w:val="18"/>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qFormat/>
    <w:rsid w:val="00B04621"/>
    <w:pPr>
      <w:spacing w:after="120"/>
    </w:pPr>
    <w:rPr>
      <w:snapToGrid w:val="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B04621"/>
    <w:rPr>
      <w:snapToGrid w:val="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B04621"/>
    <w:rPr>
      <w:rFonts w:ascii="CG Times" w:hAnsi="CG Times"/>
      <w:sz w:val="20"/>
      <w:vertAlign w:val="superscript"/>
    </w:rPr>
  </w:style>
  <w:style w:type="paragraph" w:styleId="BodyText">
    <w:name w:val="Body Text"/>
    <w:basedOn w:val="Normal"/>
    <w:link w:val="BodyTextChar"/>
    <w:rsid w:val="00B04621"/>
    <w:pPr>
      <w:jc w:val="both"/>
    </w:pPr>
    <w:rPr>
      <w:sz w:val="24"/>
    </w:rPr>
  </w:style>
  <w:style w:type="character" w:customStyle="1" w:styleId="BodyTextChar">
    <w:name w:val="Body Text Char"/>
    <w:basedOn w:val="DefaultParagraphFont"/>
    <w:link w:val="BodyText"/>
    <w:rsid w:val="00B04621"/>
    <w:rPr>
      <w:sz w:val="24"/>
    </w:rPr>
  </w:style>
  <w:style w:type="character" w:customStyle="1" w:styleId="cosearchterm">
    <w:name w:val="co_searchterm"/>
    <w:rsid w:val="00B04621"/>
  </w:style>
  <w:style w:type="paragraph" w:styleId="EndnoteText">
    <w:name w:val="endnote text"/>
    <w:basedOn w:val="Normal"/>
    <w:link w:val="EndnoteTextChar"/>
    <w:rsid w:val="00B04621"/>
    <w:pPr>
      <w:widowControl w:val="0"/>
    </w:pPr>
    <w:rPr>
      <w:snapToGrid w:val="0"/>
      <w:sz w:val="24"/>
    </w:rPr>
  </w:style>
  <w:style w:type="character" w:customStyle="1" w:styleId="EndnoteTextChar">
    <w:name w:val="Endnote Text Char"/>
    <w:basedOn w:val="DefaultParagraphFont"/>
    <w:link w:val="EndnoteText"/>
    <w:rsid w:val="00B04621"/>
    <w:rPr>
      <w:snapToGrid w:val="0"/>
      <w:sz w:val="24"/>
    </w:rPr>
  </w:style>
  <w:style w:type="character" w:styleId="CommentReference">
    <w:name w:val="annotation reference"/>
    <w:basedOn w:val="DefaultParagraphFont"/>
    <w:uiPriority w:val="99"/>
    <w:semiHidden/>
    <w:unhideWhenUsed/>
    <w:rsid w:val="00B04621"/>
    <w:rPr>
      <w:sz w:val="16"/>
      <w:szCs w:val="16"/>
    </w:rPr>
  </w:style>
  <w:style w:type="paragraph" w:styleId="CommentText">
    <w:name w:val="annotation text"/>
    <w:basedOn w:val="Normal"/>
    <w:link w:val="CommentTextChar"/>
    <w:uiPriority w:val="99"/>
    <w:semiHidden/>
    <w:unhideWhenUsed/>
    <w:rsid w:val="00B04621"/>
  </w:style>
  <w:style w:type="character" w:customStyle="1" w:styleId="CommentTextChar">
    <w:name w:val="Comment Text Char"/>
    <w:basedOn w:val="DefaultParagraphFont"/>
    <w:link w:val="CommentText"/>
    <w:uiPriority w:val="99"/>
    <w:semiHidden/>
    <w:rsid w:val="00B04621"/>
  </w:style>
  <w:style w:type="paragraph" w:styleId="CommentSubject">
    <w:name w:val="annotation subject"/>
    <w:basedOn w:val="CommentText"/>
    <w:next w:val="CommentText"/>
    <w:link w:val="CommentSubjectChar"/>
    <w:uiPriority w:val="99"/>
    <w:semiHidden/>
    <w:unhideWhenUsed/>
    <w:rsid w:val="00B04621"/>
    <w:rPr>
      <w:b/>
      <w:bCs/>
    </w:rPr>
  </w:style>
  <w:style w:type="character" w:customStyle="1" w:styleId="CommentSubjectChar">
    <w:name w:val="Comment Subject Char"/>
    <w:basedOn w:val="CommentTextChar"/>
    <w:link w:val="CommentSubject"/>
    <w:uiPriority w:val="99"/>
    <w:semiHidden/>
    <w:rsid w:val="00B04621"/>
    <w:rPr>
      <w:b/>
      <w:bCs/>
    </w:rPr>
  </w:style>
  <w:style w:type="character" w:customStyle="1" w:styleId="FooterChar">
    <w:name w:val="Footer Char"/>
    <w:basedOn w:val="DefaultParagraphFont"/>
    <w:link w:val="Footer"/>
    <w:uiPriority w:val="99"/>
    <w:rsid w:val="00006B52"/>
  </w:style>
  <w:style w:type="character" w:styleId="Hyperlink">
    <w:name w:val="Hyperlink"/>
    <w:basedOn w:val="DefaultParagraphFont"/>
    <w:uiPriority w:val="99"/>
    <w:unhideWhenUsed/>
    <w:rsid w:val="000C650C"/>
    <w:rPr>
      <w:color w:val="0563C1" w:themeColor="hyperlink"/>
      <w:u w:val="single"/>
    </w:rPr>
  </w:style>
  <w:style w:type="character" w:customStyle="1" w:styleId="UnresolvedMention">
    <w:name w:val="Unresolved Mention"/>
    <w:basedOn w:val="DefaultParagraphFont"/>
    <w:uiPriority w:val="99"/>
    <w:semiHidden/>
    <w:unhideWhenUsed/>
    <w:rsid w:val="00211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enterpriseefiling.fcc.gov/dataentry/public/tv/pleadingDetails.html?pleadingFileNumber=0000086943" TargetMode="External" /><Relationship Id="rId2" Type="http://schemas.openxmlformats.org/officeDocument/2006/relationships/hyperlink" Target="https://enterpriseefiling.fcc.gov/dataentry/public/tv/pleadingDetails.html?pleadingFileNumber=0000087338" TargetMode="External" /><Relationship Id="rId3" Type="http://schemas.openxmlformats.org/officeDocument/2006/relationships/hyperlink" Target="https://www.irs.gov/charities-non-profits/tax-exempt-organization-search" TargetMode="External" /><Relationship Id="rId4" Type="http://schemas.openxmlformats.org/officeDocument/2006/relationships/hyperlink" Target="mailto:ARINQUIRIES@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