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A3200" w:rsidRPr="003F085D" w:rsidP="008A3200" w14:paraId="69E27483" w14:textId="1C00FF63">
      <w:pPr>
        <w:jc w:val="right"/>
        <w:rPr>
          <w:b/>
          <w:sz w:val="24"/>
        </w:rPr>
      </w:pPr>
      <w:r w:rsidRPr="003F085D">
        <w:rPr>
          <w:b/>
          <w:sz w:val="24"/>
        </w:rPr>
        <w:t>DA 21-</w:t>
      </w:r>
      <w:r w:rsidRPr="003F085D" w:rsidR="003F085D">
        <w:rPr>
          <w:b/>
          <w:sz w:val="24"/>
        </w:rPr>
        <w:t>376</w:t>
      </w:r>
    </w:p>
    <w:p w:rsidR="008A3200" w:rsidRPr="003F085D" w:rsidP="008A3200" w14:paraId="2F9CC4AB" w14:textId="52541D12">
      <w:pPr>
        <w:spacing w:before="60"/>
        <w:jc w:val="right"/>
        <w:rPr>
          <w:b/>
          <w:sz w:val="24"/>
        </w:rPr>
      </w:pPr>
      <w:r w:rsidRPr="003F085D">
        <w:rPr>
          <w:b/>
          <w:sz w:val="24"/>
        </w:rPr>
        <w:t xml:space="preserve">Released:  March </w:t>
      </w:r>
      <w:r w:rsidRPr="003F085D" w:rsidR="003F085D">
        <w:rPr>
          <w:b/>
          <w:sz w:val="24"/>
        </w:rPr>
        <w:t>30</w:t>
      </w:r>
      <w:r w:rsidRPr="003F085D">
        <w:rPr>
          <w:b/>
          <w:sz w:val="24"/>
        </w:rPr>
        <w:t>, 2021</w:t>
      </w:r>
    </w:p>
    <w:p w:rsidR="008A3200" w:rsidRPr="003F085D" w:rsidP="008A3200" w14:paraId="2C31B05C" w14:textId="77777777">
      <w:pPr>
        <w:jc w:val="right"/>
        <w:rPr>
          <w:sz w:val="24"/>
        </w:rPr>
      </w:pPr>
    </w:p>
    <w:p w:rsidR="008A3200" w:rsidRPr="003F085D" w:rsidP="008A3200" w14:paraId="094783E7" w14:textId="77777777">
      <w:pPr>
        <w:spacing w:after="240"/>
        <w:jc w:val="center"/>
        <w:rPr>
          <w:rFonts w:ascii="Times New Roman Bold" w:hAnsi="Times New Roman Bold"/>
          <w:b/>
          <w:caps/>
          <w:sz w:val="24"/>
        </w:rPr>
      </w:pPr>
      <w:r w:rsidRPr="003F085D">
        <w:rPr>
          <w:rFonts w:ascii="Times New Roman Bold" w:hAnsi="Times New Roman Bold"/>
          <w:b/>
          <w:caps/>
          <w:sz w:val="24"/>
        </w:rPr>
        <w:fldChar w:fldCharType="begin">
          <w:ffData>
            <w:name w:val="Text3"/>
            <w:enabled/>
            <w:calcOnExit w:val="0"/>
            <w:textInput>
              <w:default w:val="FEDERAL COMMUNICATIONS COMMISSION ESTABLISHES DOCKET FOR PROPOSED TRANSFER OF CONTROL OF TRACFONE WIRELESS, INC. TO VERIZON COMMUNICATIONS INC."/>
            </w:textInput>
          </w:ffData>
        </w:fldChar>
      </w:r>
      <w:bookmarkStart w:id="0" w:name="Text3"/>
      <w:r w:rsidRPr="003F085D">
        <w:rPr>
          <w:rFonts w:ascii="Times New Roman Bold" w:hAnsi="Times New Roman Bold"/>
          <w:b/>
          <w:caps/>
          <w:sz w:val="24"/>
        </w:rPr>
        <w:instrText xml:space="preserve"> FORMTEXT </w:instrText>
      </w:r>
      <w:r w:rsidRPr="003F085D">
        <w:rPr>
          <w:rFonts w:ascii="Times New Roman Bold" w:hAnsi="Times New Roman Bold"/>
          <w:b/>
          <w:caps/>
          <w:sz w:val="24"/>
        </w:rPr>
        <w:fldChar w:fldCharType="separate"/>
      </w:r>
      <w:r w:rsidRPr="003F085D">
        <w:rPr>
          <w:rFonts w:ascii="Times New Roman Bold" w:hAnsi="Times New Roman Bold"/>
          <w:b/>
          <w:caps/>
          <w:noProof/>
          <w:sz w:val="24"/>
        </w:rPr>
        <w:t>FEDERAL COMMUNICATIONS COMMISSION ESTABLISHES DOCKET FOR PROPOSED TRANSFER OF CONTROL OF TRACFONE WIRELESS, INC. TO VERIZON COMMUNICATIONS INC.</w:t>
      </w:r>
      <w:r w:rsidRPr="003F085D">
        <w:rPr>
          <w:rFonts w:ascii="Times New Roman Bold" w:hAnsi="Times New Roman Bold"/>
          <w:b/>
          <w:caps/>
          <w:sz w:val="24"/>
        </w:rPr>
        <w:fldChar w:fldCharType="end"/>
      </w:r>
      <w:bookmarkEnd w:id="0"/>
    </w:p>
    <w:p w:rsidR="008A3200" w:rsidRPr="003F085D" w:rsidP="008A3200" w14:paraId="179BFD87" w14:textId="77777777">
      <w:pPr>
        <w:jc w:val="center"/>
        <w:rPr>
          <w:b/>
          <w:sz w:val="24"/>
        </w:rPr>
      </w:pPr>
      <w:r w:rsidRPr="003F085D">
        <w:rPr>
          <w:b/>
          <w:sz w:val="24"/>
        </w:rPr>
        <w:fldChar w:fldCharType="begin">
          <w:ffData>
            <w:name w:val="Text5"/>
            <w:enabled/>
            <w:calcOnExit w:val="0"/>
            <w:textInput>
              <w:default w:val="GN Docket No. 21-112"/>
            </w:textInput>
          </w:ffData>
        </w:fldChar>
      </w:r>
      <w:bookmarkStart w:id="1" w:name="Text5"/>
      <w:r w:rsidRPr="003F085D">
        <w:rPr>
          <w:b/>
          <w:sz w:val="24"/>
        </w:rPr>
        <w:instrText xml:space="preserve"> FORMTEXT </w:instrText>
      </w:r>
      <w:r w:rsidRPr="003F085D">
        <w:rPr>
          <w:b/>
          <w:sz w:val="24"/>
        </w:rPr>
        <w:fldChar w:fldCharType="separate"/>
      </w:r>
      <w:r w:rsidRPr="003F085D">
        <w:rPr>
          <w:b/>
          <w:noProof/>
          <w:sz w:val="24"/>
        </w:rPr>
        <w:t>GN Docket No. 21-112</w:t>
      </w:r>
      <w:r w:rsidRPr="003F085D">
        <w:rPr>
          <w:b/>
          <w:sz w:val="24"/>
        </w:rPr>
        <w:fldChar w:fldCharType="end"/>
      </w:r>
      <w:bookmarkEnd w:id="1"/>
    </w:p>
    <w:p w:rsidR="008A3200" w:rsidRPr="003F085D" w:rsidP="008A3200" w14:paraId="5659D7E4" w14:textId="77777777">
      <w:pPr>
        <w:rPr>
          <w:b/>
          <w:sz w:val="24"/>
        </w:rPr>
      </w:pPr>
    </w:p>
    <w:p w:rsidR="008A3200" w:rsidRPr="003F085D" w:rsidP="008A3200" w14:paraId="4FBC3A57" w14:textId="77777777">
      <w:pPr>
        <w:rPr>
          <w:rFonts w:eastAsia="Calibri"/>
        </w:rPr>
      </w:pPr>
      <w:r w:rsidRPr="003F085D">
        <w:rPr>
          <w:b/>
          <w:bCs/>
        </w:rPr>
        <w:tab/>
      </w:r>
      <w:r w:rsidRPr="003F085D">
        <w:t xml:space="preserve">On September 30, 2020, </w:t>
      </w:r>
      <w:r w:rsidRPr="003F085D">
        <w:rPr>
          <w:rFonts w:eastAsia="Calibri"/>
        </w:rPr>
        <w:t>Verizon Communications Inc. (Verizon) filed an application for consent to transfer control of TracFone Wireless, Inc. (TracFone),</w:t>
      </w:r>
      <w:r>
        <w:rPr>
          <w:rStyle w:val="FootnoteReference"/>
          <w:rFonts w:eastAsia="Calibri"/>
        </w:rPr>
        <w:footnoteReference w:id="3"/>
      </w:r>
      <w:r w:rsidRPr="003F085D">
        <w:rPr>
          <w:rFonts w:eastAsia="Calibri"/>
        </w:rPr>
        <w:t xml:space="preserve"> which holds a single international section 214 authorization,</w:t>
      </w:r>
      <w:r>
        <w:rPr>
          <w:rStyle w:val="FootnoteReference"/>
          <w:rFonts w:eastAsia="Calibri"/>
        </w:rPr>
        <w:footnoteReference w:id="4"/>
      </w:r>
      <w:r w:rsidRPr="003F085D">
        <w:rPr>
          <w:rFonts w:eastAsia="Calibri"/>
        </w:rPr>
        <w:t xml:space="preserve"> from TracFone’s 100% indirect parent, América </w:t>
      </w:r>
      <w:r w:rsidRPr="003F085D">
        <w:rPr>
          <w:rFonts w:eastAsia="Calibri"/>
        </w:rPr>
        <w:t>Móvil</w:t>
      </w:r>
      <w:r w:rsidRPr="003F085D">
        <w:rPr>
          <w:rFonts w:eastAsia="Calibri"/>
        </w:rPr>
        <w:t xml:space="preserve"> S.A.B. de C.V. to Verizon.  Verizon filed the application as part of its acquisition of TracFone, a mobile virtual network operator that offers prepaid services aimed at value-conscious consumers, and serves almost 21 million customers, including 1.7 million Lifeline customers.  The purpose of this public notice is to announce the opening of a docket, GN Docket No. 21-112, which is captioned “Proposed Transfer of Control of Tracfone Wireless, Inc. to Verizon Communications Inc.” and articulate the </w:t>
      </w:r>
      <w:r w:rsidRPr="003F085D">
        <w:rPr>
          <w:rFonts w:eastAsia="Calibri"/>
          <w:i/>
          <w:iCs/>
        </w:rPr>
        <w:t xml:space="preserve">ex </w:t>
      </w:r>
      <w:r w:rsidRPr="003F085D">
        <w:rPr>
          <w:rFonts w:eastAsia="Calibri"/>
          <w:i/>
          <w:iCs/>
        </w:rPr>
        <w:t>parte</w:t>
      </w:r>
      <w:r w:rsidRPr="003F085D">
        <w:rPr>
          <w:rFonts w:eastAsia="Calibri"/>
        </w:rPr>
        <w:t xml:space="preserve"> status of discussions related to the proposed transaction.</w:t>
      </w:r>
    </w:p>
    <w:p w:rsidR="008A3200" w:rsidRPr="003F085D" w:rsidP="008A3200" w14:paraId="031706C2" w14:textId="77777777">
      <w:pPr>
        <w:rPr>
          <w:rFonts w:eastAsia="Calibri"/>
        </w:rPr>
      </w:pPr>
    </w:p>
    <w:p w:rsidR="008A3200" w:rsidRPr="003F085D" w:rsidP="008A3200" w14:paraId="256AEA37" w14:textId="77777777">
      <w:pPr>
        <w:widowControl/>
        <w:tabs>
          <w:tab w:val="left" w:pos="-720"/>
        </w:tabs>
        <w:suppressAutoHyphens/>
        <w:spacing w:after="120"/>
        <w:ind w:firstLine="720"/>
        <w:rPr>
          <w:spacing w:val="-2"/>
          <w:kern w:val="0"/>
          <w:szCs w:val="22"/>
        </w:rPr>
      </w:pPr>
      <w:r w:rsidRPr="003F085D">
        <w:rPr>
          <w:kern w:val="0"/>
          <w:szCs w:val="22"/>
        </w:rPr>
        <w:t>Pursuant to Section 1.1200(a) of the Commission’s rules,</w:t>
      </w:r>
      <w:r>
        <w:rPr>
          <w:kern w:val="0"/>
          <w:sz w:val="20"/>
          <w:vertAlign w:val="superscript"/>
        </w:rPr>
        <w:footnoteReference w:id="5"/>
      </w:r>
      <w:r w:rsidRPr="003F085D">
        <w:rPr>
          <w:kern w:val="0"/>
          <w:szCs w:val="22"/>
        </w:rPr>
        <w:t xml:space="preserve"> the Commission may adopt modified or more stringent </w:t>
      </w:r>
      <w:r w:rsidRPr="003F085D">
        <w:rPr>
          <w:i/>
          <w:kern w:val="0"/>
          <w:szCs w:val="22"/>
        </w:rPr>
        <w:t xml:space="preserve">ex </w:t>
      </w:r>
      <w:r w:rsidRPr="003F085D">
        <w:rPr>
          <w:i/>
          <w:kern w:val="0"/>
          <w:szCs w:val="22"/>
        </w:rPr>
        <w:t>parte</w:t>
      </w:r>
      <w:r w:rsidRPr="003F085D">
        <w:rPr>
          <w:kern w:val="0"/>
          <w:szCs w:val="22"/>
        </w:rPr>
        <w:t xml:space="preserve"> procedures in particular proceedings if the public interest so requires.  We announce that this proceeding will be governed by permit-but-disclose </w:t>
      </w:r>
      <w:r w:rsidRPr="003F085D">
        <w:rPr>
          <w:i/>
          <w:kern w:val="0"/>
          <w:szCs w:val="22"/>
        </w:rPr>
        <w:t xml:space="preserve">ex </w:t>
      </w:r>
      <w:r w:rsidRPr="003F085D">
        <w:rPr>
          <w:i/>
          <w:kern w:val="0"/>
          <w:szCs w:val="22"/>
        </w:rPr>
        <w:t>parte</w:t>
      </w:r>
      <w:r w:rsidRPr="003F085D">
        <w:rPr>
          <w:kern w:val="0"/>
          <w:szCs w:val="22"/>
        </w:rPr>
        <w:t xml:space="preserve"> procedures that are applicable to non-restricted proceedings under Section 1.1206 of the Commission’s rules.</w:t>
      </w:r>
      <w:r>
        <w:rPr>
          <w:kern w:val="0"/>
          <w:sz w:val="20"/>
          <w:vertAlign w:val="superscript"/>
        </w:rPr>
        <w:footnoteReference w:id="6"/>
      </w:r>
      <w:r w:rsidRPr="003F085D">
        <w:rPr>
          <w:kern w:val="0"/>
          <w:szCs w:val="22"/>
        </w:rPr>
        <w:t xml:space="preserve">  </w:t>
      </w:r>
      <w:r w:rsidRPr="003F085D">
        <w:rPr>
          <w:spacing w:val="-2"/>
          <w:kern w:val="0"/>
          <w:szCs w:val="22"/>
        </w:rPr>
        <w:t xml:space="preserve">Parties making oral </w:t>
      </w:r>
      <w:r w:rsidRPr="003F085D">
        <w:rPr>
          <w:i/>
          <w:spacing w:val="-2"/>
          <w:kern w:val="0"/>
          <w:szCs w:val="22"/>
        </w:rPr>
        <w:t xml:space="preserve">ex </w:t>
      </w:r>
      <w:r w:rsidRPr="003F085D">
        <w:rPr>
          <w:i/>
          <w:spacing w:val="-2"/>
          <w:kern w:val="0"/>
          <w:szCs w:val="22"/>
        </w:rPr>
        <w:t>parte</w:t>
      </w:r>
      <w:r w:rsidRPr="003F085D">
        <w:rPr>
          <w:spacing w:val="-2"/>
          <w:kern w:val="0"/>
          <w:szCs w:val="22"/>
        </w:rPr>
        <w:t xml:space="preserve"> presentations are directed to the Commission’s </w:t>
      </w:r>
      <w:r w:rsidRPr="003F085D">
        <w:rPr>
          <w:i/>
          <w:spacing w:val="-2"/>
          <w:kern w:val="0"/>
          <w:szCs w:val="22"/>
        </w:rPr>
        <w:t xml:space="preserve">ex </w:t>
      </w:r>
      <w:r w:rsidRPr="003F085D">
        <w:rPr>
          <w:i/>
          <w:spacing w:val="-2"/>
          <w:kern w:val="0"/>
          <w:szCs w:val="22"/>
        </w:rPr>
        <w:t>parte</w:t>
      </w:r>
      <w:r w:rsidRPr="003F085D">
        <w:rPr>
          <w:spacing w:val="-2"/>
          <w:kern w:val="0"/>
          <w:szCs w:val="22"/>
        </w:rPr>
        <w:t xml:space="preserve"> rules.  Parties are reminded that memoranda summarizing the presentation must contain the presentation’s substance and not merely list the subjects discussed.</w:t>
      </w:r>
      <w:r>
        <w:rPr>
          <w:spacing w:val="-2"/>
          <w:kern w:val="0"/>
          <w:sz w:val="20"/>
          <w:vertAlign w:val="superscript"/>
        </w:rPr>
        <w:footnoteReference w:id="7"/>
      </w:r>
      <w:r w:rsidRPr="003F085D">
        <w:rPr>
          <w:spacing w:val="-2"/>
          <w:kern w:val="0"/>
          <w:szCs w:val="22"/>
        </w:rPr>
        <w:t xml:space="preserve">  More than a one- or two-sentence description of the views and arguments presented is generally required.</w:t>
      </w:r>
      <w:r>
        <w:rPr>
          <w:spacing w:val="-2"/>
          <w:kern w:val="0"/>
          <w:sz w:val="20"/>
          <w:vertAlign w:val="superscript"/>
        </w:rPr>
        <w:footnoteReference w:id="8"/>
      </w:r>
      <w:r w:rsidRPr="003F085D">
        <w:rPr>
          <w:spacing w:val="-2"/>
          <w:kern w:val="0"/>
          <w:szCs w:val="22"/>
        </w:rPr>
        <w:t xml:space="preserve">  The rules pertaining to oral and written presentations are set forth in section 1.1206(b).</w:t>
      </w:r>
      <w:r>
        <w:rPr>
          <w:spacing w:val="-2"/>
          <w:kern w:val="0"/>
          <w:sz w:val="20"/>
          <w:vertAlign w:val="superscript"/>
        </w:rPr>
        <w:footnoteReference w:id="9"/>
      </w:r>
    </w:p>
    <w:p w:rsidR="008A3200" w:rsidRPr="003F085D" w:rsidP="008A3200" w14:paraId="11A7FA21" w14:textId="77777777">
      <w:pPr>
        <w:tabs>
          <w:tab w:val="left" w:pos="-720"/>
        </w:tabs>
        <w:suppressAutoHyphens/>
        <w:spacing w:after="120"/>
        <w:ind w:firstLine="720"/>
        <w:rPr>
          <w:szCs w:val="22"/>
        </w:rPr>
      </w:pPr>
      <w:r w:rsidRPr="003F085D">
        <w:rPr>
          <w:spacing w:val="-2"/>
          <w:szCs w:val="22"/>
        </w:rPr>
        <w:t>Under the Commission’s current procedures,</w:t>
      </w:r>
      <w:r>
        <w:rPr>
          <w:rStyle w:val="FootnoteReference"/>
          <w:spacing w:val="-2"/>
          <w:sz w:val="20"/>
        </w:rPr>
        <w:footnoteReference w:id="10"/>
      </w:r>
      <w:r w:rsidRPr="003F085D">
        <w:rPr>
          <w:spacing w:val="-2"/>
          <w:szCs w:val="22"/>
        </w:rPr>
        <w:t xml:space="preserve"> n</w:t>
      </w:r>
      <w:r w:rsidRPr="003F085D">
        <w:rPr>
          <w:szCs w:val="22"/>
        </w:rPr>
        <w:t xml:space="preserve">otices of the </w:t>
      </w:r>
      <w:r w:rsidRPr="003F085D">
        <w:rPr>
          <w:i/>
          <w:szCs w:val="22"/>
        </w:rPr>
        <w:t xml:space="preserve">ex </w:t>
      </w:r>
      <w:r w:rsidRPr="003F085D">
        <w:rPr>
          <w:i/>
          <w:szCs w:val="22"/>
        </w:rPr>
        <w:t>parte</w:t>
      </w:r>
      <w:r w:rsidRPr="003F085D">
        <w:rPr>
          <w:i/>
          <w:szCs w:val="22"/>
        </w:rPr>
        <w:t xml:space="preserve"> </w:t>
      </w:r>
      <w:r w:rsidRPr="003F085D">
        <w:rPr>
          <w:szCs w:val="22"/>
        </w:rPr>
        <w:t>presentations,</w:t>
      </w:r>
      <w:r w:rsidRPr="003F085D">
        <w:rPr>
          <w:i/>
          <w:szCs w:val="22"/>
        </w:rPr>
        <w:t xml:space="preserve"> </w:t>
      </w:r>
      <w:r w:rsidRPr="003F085D">
        <w:rPr>
          <w:szCs w:val="22"/>
        </w:rPr>
        <w:t>which must include a reference to GN Docket No. 21-112, shall be filed electronically through the Commission’s Electronic Comment Filing System (ECFS) when feasible.</w:t>
      </w:r>
    </w:p>
    <w:p w:rsidR="008A3200" w:rsidRPr="003F085D" w:rsidP="008A3200" w14:paraId="74338CAA" w14:textId="77777777">
      <w:pPr>
        <w:autoSpaceDE w:val="0"/>
        <w:autoSpaceDN w:val="0"/>
        <w:adjustRightInd w:val="0"/>
        <w:spacing w:after="120"/>
        <w:ind w:firstLine="720"/>
        <w:rPr>
          <w:szCs w:val="22"/>
        </w:rPr>
      </w:pPr>
      <w:r w:rsidRPr="003F085D">
        <w:rPr>
          <w:i/>
          <w:iCs/>
          <w:szCs w:val="22"/>
        </w:rPr>
        <w:t>Filing Requirements</w:t>
      </w:r>
      <w:r w:rsidRPr="003F085D">
        <w:rPr>
          <w:szCs w:val="22"/>
        </w:rPr>
        <w:t>.  Parties may file comments, identified by GN Docket No. 21-112, by any of the following methods:</w:t>
      </w:r>
    </w:p>
    <w:p w:rsidR="008A3200" w:rsidRPr="003F085D" w:rsidP="008A3200" w14:paraId="78A85D4D" w14:textId="77777777">
      <w:pPr>
        <w:pStyle w:val="ListParagraph"/>
        <w:numPr>
          <w:ilvl w:val="0"/>
          <w:numId w:val="7"/>
        </w:numPr>
        <w:autoSpaceDE w:val="0"/>
        <w:autoSpaceDN w:val="0"/>
        <w:adjustRightInd w:val="0"/>
        <w:spacing w:after="120"/>
        <w:rPr>
          <w:szCs w:val="22"/>
        </w:rPr>
      </w:pPr>
      <w:r w:rsidRPr="003F085D">
        <w:rPr>
          <w:szCs w:val="22"/>
        </w:rPr>
        <w:t xml:space="preserve">Electronic Filers: Comments may be filed electronically using the internet by accessing the ECFS: </w:t>
      </w:r>
      <w:hyperlink r:id="rId5" w:history="1">
        <w:r w:rsidRPr="003F085D">
          <w:rPr>
            <w:rStyle w:val="Hyperlink"/>
            <w:szCs w:val="22"/>
          </w:rPr>
          <w:t>https://www.fcc.gov/ecfs/</w:t>
        </w:r>
      </w:hyperlink>
      <w:r w:rsidRPr="003F085D">
        <w:rPr>
          <w:szCs w:val="22"/>
        </w:rPr>
        <w:t>.</w:t>
      </w:r>
    </w:p>
    <w:p w:rsidR="008A3200" w:rsidRPr="003F085D" w:rsidP="008A3200" w14:paraId="6E104370" w14:textId="77777777">
      <w:pPr>
        <w:pStyle w:val="ListParagraph"/>
        <w:numPr>
          <w:ilvl w:val="0"/>
          <w:numId w:val="7"/>
        </w:numPr>
        <w:autoSpaceDE w:val="0"/>
        <w:autoSpaceDN w:val="0"/>
        <w:adjustRightInd w:val="0"/>
        <w:spacing w:after="120"/>
        <w:rPr>
          <w:szCs w:val="22"/>
        </w:rPr>
      </w:pPr>
      <w:r w:rsidRPr="003F085D">
        <w:rPr>
          <w:szCs w:val="22"/>
        </w:rPr>
        <w:t>Paper Filers:  Parties who choose to file by paper must file an original and one copy of each filing.</w:t>
      </w:r>
    </w:p>
    <w:p w:rsidR="008A3200" w:rsidRPr="003F085D" w:rsidP="008A3200" w14:paraId="00F81242" w14:textId="77777777">
      <w:pPr>
        <w:autoSpaceDE w:val="0"/>
        <w:autoSpaceDN w:val="0"/>
        <w:adjustRightInd w:val="0"/>
        <w:spacing w:after="120"/>
        <w:ind w:firstLine="720"/>
        <w:rPr>
          <w:szCs w:val="22"/>
        </w:rPr>
      </w:pPr>
      <w:r w:rsidRPr="003F085D">
        <w:rPr>
          <w:szCs w:val="22"/>
        </w:rPr>
        <w:t>Filings can be sent by commercial courier or by the U.S. Postal Service.  All filings must be addressed to the Commission’s Secretary, Office of the Secretary, Federal Communications Commission.</w:t>
      </w:r>
    </w:p>
    <w:p w:rsidR="008A3200" w:rsidRPr="003F085D" w:rsidP="008A3200" w14:paraId="47E1171D" w14:textId="77777777">
      <w:pPr>
        <w:pStyle w:val="ListParagraph"/>
        <w:numPr>
          <w:ilvl w:val="0"/>
          <w:numId w:val="8"/>
        </w:numPr>
        <w:autoSpaceDE w:val="0"/>
        <w:autoSpaceDN w:val="0"/>
        <w:adjustRightInd w:val="0"/>
        <w:spacing w:after="120"/>
        <w:rPr>
          <w:szCs w:val="22"/>
        </w:rPr>
      </w:pPr>
      <w:r w:rsidRPr="003F085D">
        <w:rPr>
          <w:szCs w:val="22"/>
        </w:rPr>
        <w:t>Commercial deliveries (other than U.S. Postal Service Express Mail and Priority Mail) must be sent to 9050 Junction Drive, Annapolis Junction, MD 20701.</w:t>
      </w:r>
    </w:p>
    <w:p w:rsidR="008A3200" w:rsidRPr="003F085D" w:rsidP="008A3200" w14:paraId="214082AA" w14:textId="77777777">
      <w:pPr>
        <w:pStyle w:val="ListParagraph"/>
        <w:numPr>
          <w:ilvl w:val="0"/>
          <w:numId w:val="8"/>
        </w:numPr>
        <w:autoSpaceDE w:val="0"/>
        <w:autoSpaceDN w:val="0"/>
        <w:adjustRightInd w:val="0"/>
        <w:spacing w:after="120"/>
        <w:rPr>
          <w:szCs w:val="22"/>
        </w:rPr>
      </w:pPr>
      <w:r w:rsidRPr="003F085D">
        <w:rPr>
          <w:szCs w:val="22"/>
        </w:rPr>
        <w:t>U.S. Postal Service First-Class, Express, and Priority mail must be addressed to 45 L Street, NE, Washington, DC 20554.</w:t>
      </w:r>
    </w:p>
    <w:p w:rsidR="008A3200" w:rsidRPr="003F085D" w:rsidP="008A3200" w14:paraId="42E16B81" w14:textId="77777777">
      <w:pPr>
        <w:pStyle w:val="ListParagraph"/>
        <w:numPr>
          <w:ilvl w:val="0"/>
          <w:numId w:val="8"/>
        </w:numPr>
        <w:autoSpaceDE w:val="0"/>
        <w:autoSpaceDN w:val="0"/>
        <w:adjustRightInd w:val="0"/>
        <w:spacing w:after="120"/>
        <w:rPr>
          <w:szCs w:val="22"/>
        </w:rPr>
      </w:pPr>
      <w:r w:rsidRPr="003F085D">
        <w:rPr>
          <w:b/>
          <w:bCs/>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w:t>
      </w:r>
      <w:hyperlink r:id="rId6" w:history="1">
        <w:r w:rsidRPr="003F085D">
          <w:rPr>
            <w:rStyle w:val="Hyperlink"/>
          </w:rPr>
          <w:t>https://www.fcc.gov/document/fcc-closes-headquarters-open-window-and-changeshand-delivery-policy</w:t>
        </w:r>
      </w:hyperlink>
      <w:r w:rsidRPr="003F085D">
        <w:rPr>
          <w:rStyle w:val="Hyperlink"/>
        </w:rPr>
        <w:t>.</w:t>
      </w:r>
    </w:p>
    <w:p w:rsidR="008A3200" w:rsidRPr="003F085D" w:rsidP="008A3200" w14:paraId="5CE61318" w14:textId="77777777">
      <w:pPr>
        <w:pStyle w:val="ListParagraph"/>
        <w:numPr>
          <w:ilvl w:val="0"/>
          <w:numId w:val="8"/>
        </w:numPr>
        <w:autoSpaceDE w:val="0"/>
        <w:autoSpaceDN w:val="0"/>
        <w:adjustRightInd w:val="0"/>
        <w:spacing w:after="120"/>
        <w:rPr>
          <w:b/>
          <w:bCs/>
          <w:szCs w:val="22"/>
        </w:rPr>
      </w:pPr>
      <w:r w:rsidRPr="003F085D">
        <w:rPr>
          <w:b/>
          <w:bCs/>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8A3200" w:rsidRPr="003F085D" w:rsidP="008A3200" w14:paraId="01777AC1" w14:textId="77777777">
      <w:pPr>
        <w:spacing w:after="120"/>
        <w:ind w:firstLine="720"/>
        <w:rPr>
          <w:snapToGrid/>
          <w:kern w:val="0"/>
          <w:szCs w:val="22"/>
        </w:rPr>
      </w:pPr>
      <w:r w:rsidRPr="003F085D">
        <w:rPr>
          <w:color w:val="000000"/>
          <w:szCs w:val="22"/>
        </w:rPr>
        <w:t xml:space="preserve">One copy of each </w:t>
      </w:r>
      <w:r w:rsidRPr="003F085D">
        <w:rPr>
          <w:i/>
          <w:color w:val="000000"/>
          <w:szCs w:val="22"/>
        </w:rPr>
        <w:t xml:space="preserve">ex </w:t>
      </w:r>
      <w:r w:rsidRPr="003F085D">
        <w:rPr>
          <w:i/>
          <w:color w:val="000000"/>
          <w:szCs w:val="22"/>
        </w:rPr>
        <w:t>parte</w:t>
      </w:r>
      <w:r w:rsidRPr="003F085D">
        <w:rPr>
          <w:color w:val="000000"/>
          <w:szCs w:val="22"/>
        </w:rPr>
        <w:t xml:space="preserve"> submission also must be delivered electronically, by email, or if delivered as paper copy, by commercial overnight courier, or by first-class or overnight U.S. Postal Service mail (according to the procedures set forth above for paper filings), to:  (1) </w:t>
      </w:r>
      <w:r w:rsidRPr="003F085D">
        <w:rPr>
          <w:rFonts w:cs="TmsRmn"/>
          <w:szCs w:val="22"/>
        </w:rPr>
        <w:t>Stacy Ferraro, Competition &amp; Infrastructure Policy Division</w:t>
      </w:r>
      <w:r w:rsidRPr="003F085D">
        <w:rPr>
          <w:szCs w:val="22"/>
        </w:rPr>
        <w:t xml:space="preserve">, </w:t>
      </w:r>
      <w:r w:rsidRPr="003F085D">
        <w:rPr>
          <w:rFonts w:cs="TmsRmn"/>
          <w:szCs w:val="22"/>
        </w:rPr>
        <w:t>Wireless Telecommunications Bureau, at stacy.ferraro@fcc.gov;</w:t>
      </w:r>
      <w:r w:rsidRPr="003F085D">
        <w:rPr>
          <w:szCs w:val="22"/>
        </w:rPr>
        <w:t xml:space="preserve"> </w:t>
      </w:r>
      <w:r w:rsidRPr="003F085D">
        <w:rPr>
          <w:rFonts w:cs="TmsRmn"/>
          <w:szCs w:val="22"/>
        </w:rPr>
        <w:t xml:space="preserve">(2) </w:t>
      </w:r>
      <w:r w:rsidRPr="003F085D">
        <w:rPr>
          <w:color w:val="000000"/>
          <w:szCs w:val="22"/>
        </w:rPr>
        <w:t xml:space="preserve">Kate Matraves, </w:t>
      </w:r>
      <w:r w:rsidRPr="003F085D">
        <w:rPr>
          <w:szCs w:val="22"/>
        </w:rPr>
        <w:t>Economic Analysis Division, Office of Economics and Analytics</w:t>
      </w:r>
      <w:r w:rsidRPr="003F085D">
        <w:rPr>
          <w:color w:val="000000"/>
          <w:szCs w:val="22"/>
        </w:rPr>
        <w:t>, at catherine.matraves@fcc.gov</w:t>
      </w:r>
      <w:r w:rsidRPr="003F085D">
        <w:rPr>
          <w:szCs w:val="22"/>
        </w:rPr>
        <w:t xml:space="preserve">; (3) David Krech, Telecommunications and Analysis Division, International Bureau, at david.krech@fcc.gov; and </w:t>
      </w:r>
      <w:r w:rsidRPr="003F085D">
        <w:rPr>
          <w:color w:val="000000"/>
          <w:szCs w:val="22"/>
        </w:rPr>
        <w:t>(4) Joel Rabinovitz, Office of General Counsel, at joel.rabinovitz@fcc.gov</w:t>
      </w:r>
      <w:r w:rsidRPr="003F085D">
        <w:rPr>
          <w:szCs w:val="22"/>
        </w:rPr>
        <w:t>.</w:t>
      </w:r>
    </w:p>
    <w:p w:rsidR="008A3200" w:rsidRPr="003F085D" w:rsidP="008A3200" w14:paraId="5FACFB54" w14:textId="77777777">
      <w:pPr>
        <w:autoSpaceDE w:val="0"/>
        <w:autoSpaceDN w:val="0"/>
        <w:adjustRightInd w:val="0"/>
        <w:spacing w:after="120"/>
        <w:ind w:firstLine="720"/>
        <w:rPr>
          <w:szCs w:val="22"/>
        </w:rPr>
      </w:pPr>
      <w:r w:rsidRPr="003F085D">
        <w:rPr>
          <w:i/>
          <w:iCs/>
          <w:szCs w:val="22"/>
        </w:rPr>
        <w:t>People with Disabilities</w:t>
      </w:r>
      <w:r w:rsidRPr="003F085D">
        <w:rPr>
          <w:szCs w:val="22"/>
        </w:rPr>
        <w:t xml:space="preserve">:  To request materials in accessible formats for people with disabilities (braille, large print, electronic files, audio format), send an e-mail to </w:t>
      </w:r>
      <w:hyperlink r:id="rId7" w:history="1">
        <w:r w:rsidRPr="003F085D">
          <w:rPr>
            <w:rStyle w:val="Hyperlink"/>
            <w:szCs w:val="22"/>
          </w:rPr>
          <w:t>fcc504@fcc.gov</w:t>
        </w:r>
      </w:hyperlink>
      <w:r w:rsidRPr="003F085D">
        <w:rPr>
          <w:szCs w:val="22"/>
        </w:rPr>
        <w:t xml:space="preserve"> or call the Consumer &amp; Government Affairs Bureau at 202-418-0530 (voice), 202-418-0432 (</w:t>
      </w:r>
      <w:r w:rsidRPr="003F085D">
        <w:rPr>
          <w:szCs w:val="22"/>
        </w:rPr>
        <w:t>tty</w:t>
      </w:r>
      <w:r w:rsidRPr="003F085D">
        <w:rPr>
          <w:szCs w:val="22"/>
        </w:rPr>
        <w:t>).</w:t>
      </w:r>
    </w:p>
    <w:p w:rsidR="008A3200" w:rsidRPr="003F085D" w:rsidP="008A3200" w14:paraId="0A32AEB8" w14:textId="77777777">
      <w:pPr>
        <w:autoSpaceDE w:val="0"/>
        <w:autoSpaceDN w:val="0"/>
        <w:adjustRightInd w:val="0"/>
        <w:spacing w:after="120"/>
        <w:ind w:firstLine="720"/>
        <w:rPr>
          <w:szCs w:val="22"/>
        </w:rPr>
      </w:pPr>
      <w:r w:rsidRPr="003F085D">
        <w:rPr>
          <w:szCs w:val="22"/>
        </w:rPr>
        <w:t>Action by Acting Chief, Wireless Telecommunications Bureau.</w:t>
      </w:r>
    </w:p>
    <w:p w:rsidR="008A3200" w:rsidRPr="003F085D" w:rsidP="008A3200" w14:paraId="556588AF" w14:textId="77777777">
      <w:pPr>
        <w:autoSpaceDE w:val="0"/>
        <w:autoSpaceDN w:val="0"/>
        <w:adjustRightInd w:val="0"/>
        <w:spacing w:after="120"/>
        <w:rPr>
          <w:szCs w:val="22"/>
        </w:rPr>
      </w:pPr>
    </w:p>
    <w:p w:rsidR="008A3200" w:rsidRPr="00932A31" w:rsidP="008A3200" w14:paraId="33397220" w14:textId="77777777">
      <w:pPr>
        <w:autoSpaceDE w:val="0"/>
        <w:autoSpaceDN w:val="0"/>
        <w:adjustRightInd w:val="0"/>
        <w:spacing w:after="120"/>
        <w:jc w:val="center"/>
        <w:rPr>
          <w:b/>
          <w:bCs/>
          <w:szCs w:val="22"/>
        </w:rPr>
      </w:pPr>
      <w:r w:rsidRPr="003F085D">
        <w:rPr>
          <w:b/>
          <w:bCs/>
          <w:szCs w:val="22"/>
        </w:rPr>
        <w:t>-FCC-</w:t>
      </w:r>
    </w:p>
    <w:p w:rsidR="008A3200" w:rsidRPr="007652E4" w:rsidP="008A3200" w14:paraId="3DDBF337" w14:textId="77777777">
      <w:pPr>
        <w:widowControl/>
        <w:tabs>
          <w:tab w:val="left" w:pos="-720"/>
        </w:tabs>
        <w:suppressAutoHyphens/>
        <w:spacing w:after="120"/>
        <w:ind w:firstLine="720"/>
        <w:rPr>
          <w:spacing w:val="-2"/>
          <w:kern w:val="0"/>
          <w:szCs w:val="22"/>
        </w:rPr>
      </w:pPr>
    </w:p>
    <w:p w:rsidR="008A3200" w:rsidP="008A3200" w14:paraId="3A0E6AA9" w14:textId="77777777">
      <w:pPr>
        <w:rPr>
          <w:bCs/>
          <w:sz w:val="24"/>
        </w:rPr>
      </w:pPr>
    </w:p>
    <w:p w:rsidR="008A3200" w:rsidRPr="00190959" w:rsidP="008A3200" w14:paraId="561E9B87" w14:textId="77777777"/>
    <w:p w:rsidR="008A3200" w:rsidRPr="008A3200" w:rsidP="008A3200" w14:paraId="7E94C97C"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FE9" w14:paraId="5131A4E4" w14:textId="77777777">
    <w:pPr>
      <w:pStyle w:val="Footer"/>
      <w:framePr w:wrap="around" w:vAnchor="text" w:hAnchor="margin" w:xAlign="center" w:y="1"/>
    </w:pPr>
    <w:r>
      <w:fldChar w:fldCharType="begin"/>
    </w:r>
    <w:r>
      <w:instrText xml:space="preserve">PAGE  </w:instrText>
    </w:r>
    <w:r>
      <w:fldChar w:fldCharType="separate"/>
    </w:r>
    <w:r>
      <w:fldChar w:fldCharType="end"/>
    </w:r>
  </w:p>
  <w:p w:rsidR="00B45FE9" w14:paraId="788FA3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FE9" w14:paraId="7DA6FCC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FE9" w14:paraId="6CF599E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3200" w14:paraId="2D029D2C" w14:textId="77777777">
      <w:r>
        <w:separator/>
      </w:r>
    </w:p>
  </w:footnote>
  <w:footnote w:type="continuationSeparator" w:id="1">
    <w:p w:rsidR="008A3200" w14:paraId="3B40CA9A" w14:textId="77777777">
      <w:pPr>
        <w:rPr>
          <w:sz w:val="20"/>
        </w:rPr>
      </w:pPr>
      <w:r>
        <w:rPr>
          <w:sz w:val="20"/>
        </w:rPr>
        <w:t xml:space="preserve">(Continued from previous page)  </w:t>
      </w:r>
      <w:r>
        <w:rPr>
          <w:sz w:val="20"/>
        </w:rPr>
        <w:separator/>
      </w:r>
    </w:p>
  </w:footnote>
  <w:footnote w:type="continuationNotice" w:id="2">
    <w:p w:rsidR="008A3200" w14:paraId="5C9D6CBE" w14:textId="77777777">
      <w:pPr>
        <w:jc w:val="right"/>
        <w:rPr>
          <w:sz w:val="20"/>
        </w:rPr>
      </w:pPr>
      <w:r>
        <w:rPr>
          <w:sz w:val="20"/>
        </w:rPr>
        <w:t>(continued….)</w:t>
      </w:r>
    </w:p>
  </w:footnote>
  <w:footnote w:id="3">
    <w:p w:rsidR="008A3200" w:rsidP="008A3200" w14:paraId="6F41647B" w14:textId="77777777">
      <w:pPr>
        <w:pStyle w:val="FootnoteText"/>
      </w:pPr>
      <w:r>
        <w:rPr>
          <w:rStyle w:val="FootnoteReference"/>
        </w:rPr>
        <w:footnoteRef/>
      </w:r>
      <w:r>
        <w:t xml:space="preserve"> </w:t>
      </w:r>
      <w:r>
        <w:rPr>
          <w:i/>
          <w:iCs/>
        </w:rPr>
        <w:t xml:space="preserve">See </w:t>
      </w:r>
      <w:r>
        <w:t xml:space="preserve">File No. </w:t>
      </w:r>
      <w:r w:rsidRPr="00AD4A48">
        <w:rPr>
          <w:rFonts w:eastAsia="Calibri"/>
        </w:rPr>
        <w:t>ITC-T/C-20200930-00173</w:t>
      </w:r>
      <w:r>
        <w:rPr>
          <w:rFonts w:eastAsia="Calibri"/>
        </w:rPr>
        <w:t>.</w:t>
      </w:r>
    </w:p>
  </w:footnote>
  <w:footnote w:id="4">
    <w:p w:rsidR="008A3200" w:rsidP="008A3200" w14:paraId="3AB8A5BD" w14:textId="77777777">
      <w:pPr>
        <w:pStyle w:val="FootnoteText"/>
      </w:pPr>
      <w:r>
        <w:rPr>
          <w:rStyle w:val="FootnoteReference"/>
        </w:rPr>
        <w:footnoteRef/>
      </w:r>
      <w:r>
        <w:t xml:space="preserve"> File No. </w:t>
      </w:r>
      <w:r w:rsidRPr="00AD4A48">
        <w:rPr>
          <w:rFonts w:eastAsia="Calibri"/>
        </w:rPr>
        <w:t>ITC-214-20030401-00162</w:t>
      </w:r>
      <w:r>
        <w:rPr>
          <w:rFonts w:eastAsia="Calibri"/>
        </w:rPr>
        <w:t>.</w:t>
      </w:r>
    </w:p>
  </w:footnote>
  <w:footnote w:id="5">
    <w:p w:rsidR="008A3200" w:rsidRPr="007067A6" w:rsidP="008A3200" w14:paraId="58BB2298" w14:textId="77777777">
      <w:pPr>
        <w:pStyle w:val="FootnoteText"/>
      </w:pPr>
      <w:r>
        <w:rPr>
          <w:rStyle w:val="FootnoteReference"/>
        </w:rPr>
        <w:footnoteRef/>
      </w:r>
      <w:r>
        <w:t xml:space="preserve"> </w:t>
      </w:r>
      <w:r w:rsidRPr="005607BD">
        <w:rPr>
          <w:snapToGrid w:val="0"/>
        </w:rPr>
        <w:t>47 CFR § 1.1200(a).</w:t>
      </w:r>
    </w:p>
  </w:footnote>
  <w:footnote w:id="6">
    <w:p w:rsidR="008A3200" w:rsidRPr="007067A6" w:rsidP="008A3200" w14:paraId="1E2B0061" w14:textId="77777777">
      <w:pPr>
        <w:pStyle w:val="FootnoteText"/>
      </w:pPr>
      <w:r>
        <w:rPr>
          <w:rStyle w:val="FootnoteReference"/>
        </w:rPr>
        <w:footnoteRef/>
      </w:r>
      <w:r>
        <w:t xml:space="preserve"> </w:t>
      </w:r>
      <w:r w:rsidRPr="005607BD">
        <w:rPr>
          <w:i/>
          <w:snapToGrid w:val="0"/>
        </w:rPr>
        <w:t>Id</w:t>
      </w:r>
      <w:r w:rsidRPr="005607BD">
        <w:rPr>
          <w:snapToGrid w:val="0"/>
        </w:rPr>
        <w:t>. § 1.1206.</w:t>
      </w:r>
    </w:p>
  </w:footnote>
  <w:footnote w:id="7">
    <w:p w:rsidR="008A3200" w:rsidRPr="007067A6" w:rsidP="008A3200" w14:paraId="72BA56F0" w14:textId="77777777">
      <w:pPr>
        <w:pStyle w:val="FootnoteText"/>
      </w:pPr>
      <w:r>
        <w:rPr>
          <w:rStyle w:val="FootnoteReference"/>
        </w:rPr>
        <w:footnoteRef/>
      </w:r>
      <w:r>
        <w:t xml:space="preserve"> </w:t>
      </w:r>
      <w:r w:rsidRPr="005607BD">
        <w:rPr>
          <w:i/>
          <w:snapToGrid w:val="0"/>
        </w:rPr>
        <w:t>Id</w:t>
      </w:r>
      <w:r w:rsidRPr="005607BD">
        <w:rPr>
          <w:snapToGrid w:val="0"/>
        </w:rPr>
        <w:t>. § 1.1206</w:t>
      </w:r>
      <w:r>
        <w:rPr>
          <w:snapToGrid w:val="0"/>
        </w:rPr>
        <w:t>(b)(1)</w:t>
      </w:r>
      <w:r w:rsidRPr="005607BD">
        <w:rPr>
          <w:snapToGrid w:val="0"/>
        </w:rPr>
        <w:t>.</w:t>
      </w:r>
    </w:p>
  </w:footnote>
  <w:footnote w:id="8">
    <w:p w:rsidR="008A3200" w:rsidRPr="007067A6" w:rsidP="008A3200" w14:paraId="71A61CE3" w14:textId="77777777">
      <w:pPr>
        <w:pStyle w:val="FootnoteText"/>
      </w:pPr>
      <w:r>
        <w:rPr>
          <w:rStyle w:val="FootnoteReference"/>
        </w:rPr>
        <w:footnoteRef/>
      </w:r>
      <w:r>
        <w:t xml:space="preserve"> </w:t>
      </w:r>
      <w:r>
        <w:rPr>
          <w:i/>
          <w:snapToGrid w:val="0"/>
        </w:rPr>
        <w:t>Id</w:t>
      </w:r>
      <w:r w:rsidRPr="005607BD">
        <w:rPr>
          <w:snapToGrid w:val="0"/>
        </w:rPr>
        <w:t>. § 1.1206(b)(2).</w:t>
      </w:r>
    </w:p>
  </w:footnote>
  <w:footnote w:id="9">
    <w:p w:rsidR="008A3200" w:rsidRPr="00204425" w:rsidP="008A3200" w14:paraId="0CAF194B" w14:textId="77777777">
      <w:pPr>
        <w:pStyle w:val="FootnoteText"/>
      </w:pPr>
      <w:r>
        <w:rPr>
          <w:rStyle w:val="FootnoteReference"/>
        </w:rPr>
        <w:footnoteRef/>
      </w:r>
      <w:r>
        <w:t xml:space="preserve"> </w:t>
      </w:r>
      <w:r w:rsidRPr="00204425">
        <w:rPr>
          <w:i/>
        </w:rPr>
        <w:t>Id.</w:t>
      </w:r>
      <w:r w:rsidRPr="00204425">
        <w:rPr>
          <w:spacing w:val="-2"/>
        </w:rPr>
        <w:t xml:space="preserve"> § 1.1206(b).</w:t>
      </w:r>
    </w:p>
  </w:footnote>
  <w:footnote w:id="10">
    <w:p w:rsidR="008A3200" w:rsidRPr="00204425" w:rsidP="008A3200" w14:paraId="346A0A38" w14:textId="77777777">
      <w:pPr>
        <w:pStyle w:val="FootnoteText"/>
      </w:pPr>
      <w:r w:rsidRPr="00204425">
        <w:rPr>
          <w:rStyle w:val="FootnoteReference"/>
        </w:rPr>
        <w:footnoteRef/>
      </w:r>
      <w:r w:rsidRPr="00204425">
        <w:t xml:space="preserve"> </w:t>
      </w:r>
      <w:bookmarkStart w:id="2" w:name="SearchTerm"/>
      <w:r>
        <w:rPr>
          <w:i/>
        </w:rPr>
        <w:t xml:space="preserve">See </w:t>
      </w:r>
      <w:r w:rsidRPr="007612E0">
        <w:t>47 CFR § 1.1206(b)</w:t>
      </w:r>
      <w:r>
        <w:t xml:space="preserve">(2).  </w:t>
      </w:r>
      <w:r>
        <w:rPr>
          <w:i/>
        </w:rPr>
        <w:t xml:space="preserve">See also </w:t>
      </w:r>
      <w:r w:rsidRPr="00330618">
        <w:rPr>
          <w:bCs/>
          <w:i/>
        </w:rPr>
        <w:t>FCC</w:t>
      </w:r>
      <w:r w:rsidRPr="00330618">
        <w:rPr>
          <w:i/>
        </w:rPr>
        <w:t xml:space="preserve"> </w:t>
      </w:r>
      <w:bookmarkStart w:id="3" w:name="SR;2767"/>
      <w:bookmarkEnd w:id="3"/>
      <w:r w:rsidRPr="00330618">
        <w:rPr>
          <w:bCs/>
          <w:i/>
        </w:rPr>
        <w:t>Announces</w:t>
      </w:r>
      <w:r w:rsidRPr="00330618">
        <w:rPr>
          <w:i/>
        </w:rPr>
        <w:t xml:space="preserve"> </w:t>
      </w:r>
      <w:bookmarkStart w:id="4" w:name="SR;2768"/>
      <w:bookmarkEnd w:id="4"/>
      <w:r w:rsidRPr="00330618">
        <w:rPr>
          <w:bCs/>
          <w:i/>
        </w:rPr>
        <w:t>Change</w:t>
      </w:r>
      <w:r w:rsidRPr="00330618">
        <w:rPr>
          <w:i/>
        </w:rPr>
        <w:t xml:space="preserve"> in </w:t>
      </w:r>
      <w:bookmarkStart w:id="5" w:name="SR;2770"/>
      <w:bookmarkEnd w:id="5"/>
      <w:r w:rsidRPr="00330618">
        <w:rPr>
          <w:bCs/>
          <w:i/>
        </w:rPr>
        <w:t>Filing</w:t>
      </w:r>
      <w:r w:rsidRPr="00330618">
        <w:rPr>
          <w:i/>
        </w:rPr>
        <w:t xml:space="preserve"> </w:t>
      </w:r>
      <w:bookmarkStart w:id="6" w:name="SR;2771"/>
      <w:bookmarkEnd w:id="6"/>
      <w:r w:rsidRPr="00330618">
        <w:rPr>
          <w:bCs/>
          <w:i/>
        </w:rPr>
        <w:t>Location</w:t>
      </w:r>
      <w:r w:rsidRPr="00330618">
        <w:rPr>
          <w:i/>
        </w:rPr>
        <w:t xml:space="preserve"> for </w:t>
      </w:r>
      <w:bookmarkStart w:id="7" w:name="SR;2773"/>
      <w:bookmarkEnd w:id="7"/>
      <w:r w:rsidRPr="00330618">
        <w:rPr>
          <w:bCs/>
          <w:i/>
        </w:rPr>
        <w:t>Paper</w:t>
      </w:r>
      <w:r w:rsidRPr="00330618">
        <w:rPr>
          <w:i/>
        </w:rPr>
        <w:t xml:space="preserve"> </w:t>
      </w:r>
      <w:bookmarkStart w:id="8" w:name="SR;2774"/>
      <w:bookmarkEnd w:id="2"/>
      <w:bookmarkEnd w:id="8"/>
      <w:r w:rsidRPr="00330618">
        <w:rPr>
          <w:bCs/>
          <w:i/>
        </w:rPr>
        <w:t>Documents</w:t>
      </w:r>
      <w:r w:rsidRPr="00330618">
        <w:t xml:space="preserve">, </w:t>
      </w:r>
      <w:r w:rsidRPr="00330618">
        <w:rPr>
          <w:iCs/>
        </w:rPr>
        <w:t>Public Notice</w:t>
      </w:r>
      <w:r w:rsidRPr="00330618">
        <w:t xml:space="preserve">, 24 FCC </w:t>
      </w:r>
      <w:r w:rsidRPr="00330618">
        <w:t>Rcd</w:t>
      </w:r>
      <w:r w:rsidRPr="00330618">
        <w:t xml:space="preserve"> 14312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FE9" w14:paraId="02787849" w14:textId="2689F36C">
    <w:pPr>
      <w:tabs>
        <w:tab w:val="center" w:pos="4680"/>
        <w:tab w:val="right" w:pos="9360"/>
      </w:tabs>
    </w:pPr>
    <w:r>
      <w:rPr>
        <w:b/>
      </w:rPr>
      <w:tab/>
      <w:t>Federal Communications Commission</w:t>
    </w:r>
    <w:r>
      <w:rPr>
        <w:b/>
      </w:rPr>
      <w:tab/>
    </w:r>
    <w:r w:rsidR="00D479FD">
      <w:rPr>
        <w:b/>
      </w:rPr>
      <w:t>DA 21-376</w:t>
    </w:r>
  </w:p>
  <w:p w:rsidR="00B45FE9" w14:paraId="62AB4CA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B45FE9" w14:paraId="60A79A9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FE9" w14:paraId="5BB9C85F" w14:textId="77777777">
    <w:pPr>
      <w:pStyle w:val="Header"/>
      <w:rPr>
        <w:noProof/>
        <w:snapToGrid/>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8pt;height:111pt;visibility:visible">
          <v:imagedata r:id="rId1" o:title=""/>
        </v:shape>
      </w:pict>
    </w:r>
  </w:p>
  <w:p w:rsidR="00B45FE9" w14:paraId="0148C912"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1A008B"/>
    <w:multiLevelType w:val="hybridMultilevel"/>
    <w:tmpl w:val="1E805D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F8B27A2"/>
    <w:multiLevelType w:val="hybridMultilevel"/>
    <w:tmpl w:val="75FCAB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00"/>
    <w:rsid w:val="00190959"/>
    <w:rsid w:val="00204425"/>
    <w:rsid w:val="00330618"/>
    <w:rsid w:val="003F085D"/>
    <w:rsid w:val="005607BD"/>
    <w:rsid w:val="007067A6"/>
    <w:rsid w:val="007612E0"/>
    <w:rsid w:val="007652E4"/>
    <w:rsid w:val="008A3200"/>
    <w:rsid w:val="00932A31"/>
    <w:rsid w:val="00AD4A48"/>
    <w:rsid w:val="00B45FE9"/>
    <w:rsid w:val="00D479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291DB76-329A-4A6D-BADC-4934F889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200"/>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Appel note de bas de p,FR,Footnote Reference/,Footnote Reference1,Style 12,Style 124,Style 13,Style 17,Style 3,Style 4,Style 6,Style 7,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8A3200"/>
  </w:style>
  <w:style w:type="paragraph" w:styleId="ListParagraph">
    <w:name w:val="List Paragraph"/>
    <w:basedOn w:val="Normal"/>
    <w:uiPriority w:val="34"/>
    <w:qFormat/>
    <w:rsid w:val="008A3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