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F4BB3" w14:paraId="5096BB1F" w14:textId="32D2513B">
      <w:pPr>
        <w:jc w:val="right"/>
        <w:rPr>
          <w:b/>
        </w:rPr>
      </w:pPr>
      <w:bookmarkStart w:id="0" w:name="_gjdgxs" w:colFirst="0" w:colLast="0"/>
      <w:bookmarkStart w:id="1" w:name="_GoBack"/>
      <w:bookmarkEnd w:id="0"/>
      <w:bookmarkEnd w:id="1"/>
      <w:r>
        <w:rPr>
          <w:b/>
        </w:rPr>
        <w:t xml:space="preserve">DA </w:t>
      </w:r>
      <w:r w:rsidR="00615470">
        <w:rPr>
          <w:b/>
        </w:rPr>
        <w:t>21-378</w:t>
      </w:r>
    </w:p>
    <w:p w:rsidR="00DF4BB3" w14:paraId="41958661" w14:textId="77777777">
      <w:pPr>
        <w:spacing w:before="60"/>
        <w:jc w:val="right"/>
        <w:rPr>
          <w:b/>
        </w:rPr>
      </w:pPr>
      <w:r>
        <w:rPr>
          <w:b/>
        </w:rPr>
        <w:t>Released:  March 31, 2021</w:t>
      </w:r>
    </w:p>
    <w:p w:rsidR="00DF4BB3" w14:paraId="20510338" w14:textId="77777777">
      <w:pPr>
        <w:jc w:val="right"/>
      </w:pPr>
    </w:p>
    <w:p w:rsidR="00DF4BB3" w14:paraId="5EF535DC" w14:textId="77777777">
      <w:pPr>
        <w:jc w:val="center"/>
        <w:rPr>
          <w:rFonts w:ascii="Times" w:eastAsia="Times" w:hAnsi="Times" w:cs="Times"/>
          <w:b/>
          <w:smallCaps/>
        </w:rPr>
      </w:pPr>
      <w:r>
        <w:rPr>
          <w:rFonts w:ascii="Times" w:eastAsia="Times" w:hAnsi="Times" w:cs="Times"/>
          <w:b/>
          <w:smallCaps/>
        </w:rPr>
        <w:t xml:space="preserve">PUBLIC SAFETY AND HOMELAND SECURITY BUREAU ANNOUNCES </w:t>
      </w:r>
    </w:p>
    <w:p w:rsidR="00DF4BB3" w14:paraId="002033CF" w14:textId="77777777">
      <w:pPr>
        <w:jc w:val="center"/>
        <w:rPr>
          <w:rFonts w:ascii="Times" w:eastAsia="Times" w:hAnsi="Times" w:cs="Times"/>
          <w:b/>
          <w:smallCaps/>
        </w:rPr>
      </w:pPr>
      <w:r>
        <w:rPr>
          <w:rFonts w:ascii="Times" w:eastAsia="Times" w:hAnsi="Times" w:cs="Times"/>
          <w:b/>
          <w:smallCaps/>
        </w:rPr>
        <w:t xml:space="preserve">COMMENT AND REPLY COMMENT DATES FOR THE NOTICE OF PROPOSED RULEMAKING AND NOTICE OF INQUIRY ON EAS AND WEA IMPROVEMENT </w:t>
      </w:r>
    </w:p>
    <w:p w:rsidR="00DF4BB3" w14:paraId="6E703B7A" w14:textId="77777777">
      <w:pPr>
        <w:jc w:val="center"/>
        <w:rPr>
          <w:rFonts w:ascii="Times" w:eastAsia="Times" w:hAnsi="Times" w:cs="Times"/>
          <w:b/>
          <w:smallCaps/>
        </w:rPr>
      </w:pPr>
    </w:p>
    <w:p w:rsidR="00DF4BB3" w14:paraId="62A6A8C3" w14:textId="77777777">
      <w:pPr>
        <w:jc w:val="center"/>
        <w:rPr>
          <w:b/>
        </w:rPr>
      </w:pPr>
      <w:r>
        <w:rPr>
          <w:b/>
        </w:rPr>
        <w:t>PS Docket No</w:t>
      </w:r>
      <w:bookmarkStart w:id="2" w:name="30j0zll" w:colFirst="0" w:colLast="0"/>
      <w:bookmarkEnd w:id="2"/>
      <w:r>
        <w:rPr>
          <w:b/>
        </w:rPr>
        <w:t>s. 15-94 and 15-91</w:t>
      </w:r>
    </w:p>
    <w:p w:rsidR="00DF4BB3" w14:paraId="2EA52937" w14:textId="77777777"/>
    <w:p w:rsidR="00DF4BB3" w14:paraId="112AFDCC" w14:textId="77777777">
      <w:pPr>
        <w:rPr>
          <w:b/>
        </w:rPr>
      </w:pPr>
      <w:r>
        <w:rPr>
          <w:b/>
        </w:rPr>
        <w:t>NPRM Comments Due:  April 20, 2021</w:t>
      </w:r>
    </w:p>
    <w:p w:rsidR="00DF4BB3" w14:paraId="39573448" w14:textId="77777777">
      <w:pPr>
        <w:rPr>
          <w:b/>
        </w:rPr>
      </w:pPr>
      <w:r>
        <w:rPr>
          <w:b/>
        </w:rPr>
        <w:t>NPRM Reply Comments Due:  May 4, 2021</w:t>
      </w:r>
    </w:p>
    <w:p w:rsidR="00DF4BB3" w14:paraId="617D7855" w14:textId="77777777">
      <w:pPr>
        <w:rPr>
          <w:b/>
        </w:rPr>
      </w:pPr>
    </w:p>
    <w:p w:rsidR="00DF4BB3" w14:paraId="257E4E57" w14:textId="77777777">
      <w:pPr>
        <w:rPr>
          <w:b/>
        </w:rPr>
      </w:pPr>
      <w:r>
        <w:rPr>
          <w:b/>
        </w:rPr>
        <w:t>NOI Comments Due: May 14, 2021</w:t>
      </w:r>
    </w:p>
    <w:p w:rsidR="00DF4BB3" w14:paraId="799023F0" w14:textId="77777777">
      <w:pPr>
        <w:rPr>
          <w:b/>
        </w:rPr>
      </w:pPr>
      <w:r>
        <w:rPr>
          <w:b/>
        </w:rPr>
        <w:t>NOI Reply Comments Due: June 14, 2021</w:t>
      </w:r>
    </w:p>
    <w:p w:rsidR="00DF4BB3" w14:paraId="29BFA134" w14:textId="77777777"/>
    <w:p w:rsidR="00DF4BB3" w14:paraId="37981AD6" w14:textId="77777777">
      <w:r>
        <w:rPr>
          <w:b/>
        </w:rPr>
        <w:tab/>
      </w:r>
      <w:r>
        <w:t xml:space="preserve">On March 17, 2021, the Federal Communications Commission adopted a </w:t>
      </w:r>
      <w:r>
        <w:rPr>
          <w:i/>
        </w:rPr>
        <w:t>Notice of Proposed Rulemaking and Notice of Inquiry (NPRM and NOI)</w:t>
      </w:r>
      <w:r>
        <w:t xml:space="preserve"> seeking comment on proposed rules and an inquiry to improve the Emergency Alert System (EAS) and Wireless Emergency Alerts System (WEA), as directed by the National Defense Authorization Act for Fiscal Year 2021.</w:t>
      </w:r>
      <w:r>
        <w:rPr>
          <w:color w:val="000000"/>
          <w:vertAlign w:val="superscript"/>
        </w:rPr>
        <w:footnoteReference w:id="2"/>
      </w:r>
      <w:r>
        <w:t xml:space="preserve">  The </w:t>
      </w:r>
      <w:r>
        <w:rPr>
          <w:i/>
        </w:rPr>
        <w:t>NPRM</w:t>
      </w:r>
      <w:r>
        <w:t xml:space="preserve"> proposes rules that would ensure that mobile devices cannot opt-out of receiving WEA alerts from the Administrator of the Federal Emergency Management Agency, adopt additional requirements for State Emergency Communications Committees and State EAS Plans, establish a false alert reporting system for certain government entities, and require the repeating of certain EAS messages.  The </w:t>
      </w:r>
      <w:r>
        <w:rPr>
          <w:i/>
        </w:rPr>
        <w:t>NOI</w:t>
      </w:r>
      <w:r>
        <w:t xml:space="preserve"> seeks comment on the feasibility of updating EAS to enable or improve alerts to consumers provided through the Internet, including from streaming services.  The </w:t>
      </w:r>
      <w:r>
        <w:rPr>
          <w:i/>
        </w:rPr>
        <w:t xml:space="preserve">NPRM and NOI </w:t>
      </w:r>
      <w:r>
        <w:t xml:space="preserve">set deadlines for filing comments and reply comments for the </w:t>
      </w:r>
      <w:r w:rsidRPr="005F6008">
        <w:rPr>
          <w:i/>
          <w:iCs/>
        </w:rPr>
        <w:t>NPRM</w:t>
      </w:r>
      <w:r>
        <w:t xml:space="preserve"> at 21 and 35 days, respectively, and for the </w:t>
      </w:r>
      <w:r>
        <w:rPr>
          <w:i/>
        </w:rPr>
        <w:t>NOI</w:t>
      </w:r>
      <w:r>
        <w:t xml:space="preserve"> at 45 and 75 days, respectively, after publication of a summary of each in the Federal Register.</w:t>
      </w:r>
      <w:r>
        <w:rPr>
          <w:color w:val="000000"/>
          <w:vertAlign w:val="superscript"/>
        </w:rPr>
        <w:footnoteReference w:id="3"/>
      </w:r>
      <w:r>
        <w:t xml:space="preserve"> </w:t>
      </w:r>
    </w:p>
    <w:p w:rsidR="00DF4BB3" w14:paraId="614A6080" w14:textId="77777777"/>
    <w:p w:rsidR="00DF4BB3" w14:paraId="7D6509C1" w14:textId="2F63E48C">
      <w:pPr>
        <w:spacing w:after="120"/>
      </w:pPr>
      <w:r>
        <w:tab/>
        <w:t xml:space="preserve">On March 30, 2021, the Office of the Federal Register published a summary of the </w:t>
      </w:r>
      <w:r>
        <w:rPr>
          <w:i/>
        </w:rPr>
        <w:t>NPRM and NOI</w:t>
      </w:r>
      <w:r>
        <w:t>, including the associated comment and reply comment dates.</w:t>
      </w:r>
      <w:r>
        <w:rPr>
          <w:color w:val="000000"/>
          <w:vertAlign w:val="superscript"/>
        </w:rPr>
        <w:footnoteReference w:id="4"/>
      </w:r>
      <w:r>
        <w:t xml:space="preserve">  Accordingly, </w:t>
      </w:r>
      <w:r>
        <w:rPr>
          <w:i/>
        </w:rPr>
        <w:t>NPRM</w:t>
      </w:r>
      <w:r>
        <w:t xml:space="preserve"> comments and reply comments must be filed on or before April 20, 2021 and May 4, 2021, respectively, and </w:t>
      </w:r>
      <w:r>
        <w:rPr>
          <w:i/>
        </w:rPr>
        <w:t>NOI</w:t>
      </w:r>
      <w:r>
        <w:t xml:space="preserve"> comments and reply comments must be filed on or before May 14, 2021 and June 14, 2021, respectively.  The </w:t>
      </w:r>
      <w:r>
        <w:rPr>
          <w:i/>
        </w:rPr>
        <w:t xml:space="preserve">NPRM and NOI </w:t>
      </w:r>
      <w:r>
        <w:t>contains the comment filing instructions.</w:t>
      </w:r>
      <w:r>
        <w:rPr>
          <w:color w:val="000000"/>
          <w:vertAlign w:val="superscript"/>
        </w:rPr>
        <w:footnoteReference w:id="5"/>
      </w:r>
      <w:r>
        <w:t xml:space="preserve">  </w:t>
      </w:r>
    </w:p>
    <w:p w:rsidR="00DF4BB3" w:rsidP="00615470" w14:paraId="2834299A" w14:textId="77777777">
      <w:pPr>
        <w:widowControl/>
        <w:spacing w:after="120"/>
        <w:ind w:firstLine="720"/>
      </w:pPr>
      <w:r>
        <w:t xml:space="preserve">For further information on the </w:t>
      </w:r>
      <w:r>
        <w:rPr>
          <w:i/>
        </w:rPr>
        <w:t>NPRM and NOI</w:t>
      </w:r>
      <w:r>
        <w:t xml:space="preserve">, contact Chris Fedeli, Attorney Advisor, Policy and Licensing Division, Public Safety and Homeland Security Bureau, (202) 418-1514 or via e-mail at </w:t>
      </w:r>
      <w:hyperlink r:id="rId5" w:history="1">
        <w:r>
          <w:rPr>
            <w:color w:val="0000FF"/>
            <w:u w:val="single"/>
          </w:rPr>
          <w:t>Christopher.Fedeli@fcc.gov</w:t>
        </w:r>
      </w:hyperlink>
      <w:r>
        <w:t xml:space="preserve">. </w:t>
      </w:r>
    </w:p>
    <w:p w:rsidR="00DF4BB3" w:rsidP="00615470" w14:paraId="742CAF6A" w14:textId="77777777">
      <w:pPr>
        <w:widowControl/>
        <w:spacing w:after="120"/>
      </w:pPr>
    </w:p>
    <w:p w:rsidR="00DF4BB3" w:rsidP="00615470" w14:paraId="715277BB" w14:textId="77777777">
      <w:pPr>
        <w:widowControl/>
        <w:jc w:val="center"/>
      </w:pPr>
      <w:r>
        <w:t>--FCC--</w:t>
      </w:r>
    </w:p>
    <w:sectPr>
      <w:headerReference w:type="default" r:id="rId6"/>
      <w:footerReference w:type="even" r:id="rId7"/>
      <w:footerReference w:type="default" r:id="rId8"/>
      <w:headerReference w:type="first" r:id="rId9"/>
      <w:footerReference w:type="first" r:id="rId10"/>
      <w:pgSz w:w="12240" w:h="15840"/>
      <w:pgMar w:top="1440" w:right="1440" w:bottom="720" w:left="1440" w:header="63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4BB3" w14:paraId="264FC73E" w14:textId="7777777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DF4BB3" w14:paraId="5D9B52D0" w14:textId="7777777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4BB3" w14:paraId="5EAE0D8D" w14:textId="7777777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4BB3" w14:paraId="2AD544F1" w14:textId="7777777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0001" w14:paraId="41DA07D4" w14:textId="77777777">
      <w:r>
        <w:separator/>
      </w:r>
    </w:p>
  </w:footnote>
  <w:footnote w:type="continuationSeparator" w:id="1">
    <w:p w:rsidR="001B0001" w14:paraId="7CAAA7AD" w14:textId="77777777">
      <w:r>
        <w:continuationSeparator/>
      </w:r>
    </w:p>
  </w:footnote>
  <w:footnote w:id="2">
    <w:p w:rsidR="00DF4BB3" w14:paraId="60F83BF6" w14:textId="2643A21B">
      <w:pPr>
        <w:widowControl/>
        <w:pBdr>
          <w:top w:val="nil"/>
          <w:left w:val="nil"/>
          <w:bottom w:val="nil"/>
          <w:right w:val="nil"/>
          <w:between w:val="nil"/>
        </w:pBdr>
        <w:spacing w:after="120"/>
        <w:rPr>
          <w:i/>
          <w:color w:val="000000"/>
          <w:sz w:val="20"/>
          <w:szCs w:val="20"/>
        </w:rPr>
      </w:pPr>
      <w:bookmarkStart w:id="3" w:name="_1fob9te" w:colFirst="0" w:colLast="0"/>
      <w:bookmarkEnd w:id="3"/>
      <w:r>
        <w:rPr>
          <w:vertAlign w:val="superscript"/>
        </w:rPr>
        <w:footnoteRef/>
      </w:r>
      <w:r>
        <w:rPr>
          <w:color w:val="000000"/>
          <w:sz w:val="20"/>
          <w:szCs w:val="20"/>
        </w:rPr>
        <w:t xml:space="preserve"> </w:t>
      </w:r>
      <w:r>
        <w:rPr>
          <w:i/>
          <w:color w:val="000000"/>
          <w:sz w:val="20"/>
          <w:szCs w:val="20"/>
        </w:rPr>
        <w:t xml:space="preserve">Amendment of Part 11 of the Commission’s Rules Regarding the Emergency Alert System; Wireless Emergency Alerts, </w:t>
      </w:r>
      <w:r>
        <w:rPr>
          <w:color w:val="000000"/>
          <w:sz w:val="20"/>
          <w:szCs w:val="20"/>
        </w:rPr>
        <w:t>PS Docket Nos. 15-94 and 15-91, Notice of Proposed Rulemaking and Notice of Inquiry, FCC 21-36 (March 17, 2021) (</w:t>
      </w:r>
      <w:r>
        <w:rPr>
          <w:i/>
          <w:color w:val="000000"/>
          <w:sz w:val="20"/>
          <w:szCs w:val="20"/>
        </w:rPr>
        <w:t>NPRM and NOI</w:t>
      </w:r>
      <w:r>
        <w:rPr>
          <w:color w:val="000000"/>
          <w:sz w:val="20"/>
          <w:szCs w:val="20"/>
        </w:rPr>
        <w:t>); National Defense Authorization Act for Fiscal Year 2021, Pub. L. 116-283, 134 Stat. 3388, § 9201 (NDAA21).</w:t>
      </w:r>
    </w:p>
  </w:footnote>
  <w:footnote w:id="3">
    <w:p w:rsidR="00DF4BB3" w14:paraId="2E2134BE" w14:textId="77777777">
      <w:pPr>
        <w:widowControl/>
        <w:pBdr>
          <w:top w:val="nil"/>
          <w:left w:val="nil"/>
          <w:bottom w:val="nil"/>
          <w:right w:val="nil"/>
          <w:between w:val="nil"/>
        </w:pBdr>
        <w:spacing w:after="120"/>
        <w:rPr>
          <w:color w:val="000000"/>
          <w:sz w:val="20"/>
          <w:szCs w:val="20"/>
        </w:rPr>
      </w:pPr>
      <w:r>
        <w:rPr>
          <w:vertAlign w:val="superscript"/>
        </w:rPr>
        <w:footnoteRef/>
      </w:r>
      <w:r>
        <w:rPr>
          <w:color w:val="000000"/>
          <w:sz w:val="20"/>
          <w:szCs w:val="20"/>
        </w:rPr>
        <w:t xml:space="preserve"> </w:t>
      </w:r>
      <w:r>
        <w:rPr>
          <w:i/>
          <w:color w:val="000000"/>
          <w:sz w:val="20"/>
          <w:szCs w:val="20"/>
        </w:rPr>
        <w:t xml:space="preserve">NPRM and NOI </w:t>
      </w:r>
      <w:r>
        <w:rPr>
          <w:color w:val="000000"/>
          <w:sz w:val="20"/>
          <w:szCs w:val="20"/>
        </w:rPr>
        <w:t xml:space="preserve">at 1. </w:t>
      </w:r>
    </w:p>
  </w:footnote>
  <w:footnote w:id="4">
    <w:p w:rsidR="00DF4BB3" w14:paraId="4AF137D6" w14:textId="77777777">
      <w:pPr>
        <w:widowControl/>
        <w:pBdr>
          <w:top w:val="nil"/>
          <w:left w:val="nil"/>
          <w:bottom w:val="nil"/>
          <w:right w:val="nil"/>
          <w:between w:val="nil"/>
        </w:pBdr>
        <w:spacing w:after="120"/>
        <w:rPr>
          <w:color w:val="000000"/>
          <w:sz w:val="20"/>
          <w:szCs w:val="20"/>
        </w:rPr>
      </w:pPr>
      <w:r>
        <w:rPr>
          <w:vertAlign w:val="superscript"/>
        </w:rPr>
        <w:footnoteRef/>
      </w:r>
      <w:r>
        <w:rPr>
          <w:color w:val="000000"/>
          <w:sz w:val="20"/>
          <w:szCs w:val="20"/>
        </w:rPr>
        <w:t xml:space="preserve"> 86 FR 16565 (March 30, 2021). </w:t>
      </w:r>
    </w:p>
  </w:footnote>
  <w:footnote w:id="5">
    <w:p w:rsidR="00DF4BB3" w14:paraId="22F7EC47" w14:textId="77777777">
      <w:pPr>
        <w:widowControl/>
        <w:pBdr>
          <w:top w:val="nil"/>
          <w:left w:val="nil"/>
          <w:bottom w:val="nil"/>
          <w:right w:val="nil"/>
          <w:between w:val="nil"/>
        </w:pBdr>
        <w:spacing w:after="120"/>
        <w:rPr>
          <w:color w:val="000000"/>
          <w:sz w:val="20"/>
          <w:szCs w:val="20"/>
        </w:rPr>
      </w:pPr>
      <w:r>
        <w:rPr>
          <w:vertAlign w:val="superscript"/>
        </w:rPr>
        <w:footnoteRef/>
      </w:r>
      <w:r>
        <w:rPr>
          <w:color w:val="000000"/>
          <w:sz w:val="20"/>
          <w:szCs w:val="20"/>
        </w:rPr>
        <w:t xml:space="preserve"> </w:t>
      </w:r>
      <w:r>
        <w:rPr>
          <w:i/>
          <w:color w:val="000000"/>
          <w:sz w:val="20"/>
          <w:szCs w:val="20"/>
        </w:rPr>
        <w:t xml:space="preserve">NPRM and NOI </w:t>
      </w:r>
      <w:r>
        <w:rPr>
          <w:color w:val="000000"/>
          <w:sz w:val="20"/>
          <w:szCs w:val="20"/>
        </w:rPr>
        <w:t xml:space="preserve">at 29-30, paras. 72-76.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4BB3" w14:paraId="1A95A7A4" w14:textId="287B0765">
    <w:pPr>
      <w:tabs>
        <w:tab w:val="center" w:pos="4680"/>
        <w:tab w:val="right" w:pos="9360"/>
      </w:tabs>
    </w:pPr>
    <w:r>
      <w:rPr>
        <w:b/>
      </w:rPr>
      <w:tab/>
      <w:t>Federal Communications Commission</w:t>
    </w:r>
    <w:r>
      <w:rPr>
        <w:b/>
      </w:rPr>
      <w:tab/>
    </w:r>
    <w:r w:rsidR="002B5EA3">
      <w:rPr>
        <w:b/>
      </w:rPr>
      <w:t>DA 21-378</w:t>
    </w:r>
  </w:p>
  <w:p w:rsidR="00DF4BB3" w14:paraId="7A4D0A2D" w14:textId="77777777">
    <w:pPr>
      <w:tabs>
        <w:tab w:val="left" w:pos="-720"/>
      </w:tabs>
      <w:spacing w:line="19" w:lineRule="auto"/>
    </w:pPr>
    <w:r>
      <w:rPr>
        <w:noProof/>
      </w:rPr>
      <mc:AlternateContent>
        <mc:Choice Requires="wps">
          <w:drawing>
            <wp:anchor distT="0" distB="0" distL="0" distR="0" simplePos="0" relativeHeight="251660288" behindDoc="1" locked="0" layoutInCell="0" allowOverlap="1">
              <wp:simplePos x="0" y="0"/>
              <wp:positionH relativeFrom="column">
                <wp:posOffset>0</wp:posOffset>
              </wp:positionH>
              <wp:positionV relativeFrom="paragraph">
                <wp:posOffset>0</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anchor="t" anchorCtr="0" upright="1"/>
                  </wps:wsp>
                </a:graphicData>
              </a:graphic>
            </wp:anchor>
          </w:drawing>
        </mc:Choice>
        <mc:Fallback>
          <w:drawing>
            <wp:anchor distT="0" distB="0" distL="0" distR="0" simplePos="0" relativeHeight="251658240" behindDoc="1" locked="0" layoutInCell="0" allowOverlap="1">
              <wp:simplePos x="0" y="0"/>
              <wp:positionH relativeFrom="column">
                <wp:posOffset>0</wp:posOffset>
              </wp:positionH>
              <wp:positionV relativeFrom="paragraph">
                <wp:posOffset>0</wp:posOffset>
              </wp:positionV>
              <wp:extent cx="5943600" cy="12065"/>
              <wp:effectExtent l="0" t="0" r="0" b="0"/>
              <wp:wrapNone/>
              <wp:docPr id="1648599778" name="image3.png"/>
              <wp:cNvGraphicFramePr/>
              <a:graphic xmlns:a="http://schemas.openxmlformats.org/drawingml/2006/main">
                <a:graphicData uri="http://schemas.openxmlformats.org/drawingml/2006/picture">
                  <pic:pic xmlns:pic="http://schemas.openxmlformats.org/drawingml/2006/picture">
                    <pic:nvPicPr>
                      <pic:cNvPr id="92914213" name="image3.png"/>
                      <pic:cNvPicPr/>
                    </pic:nvPicPr>
                    <pic:blipFill>
                      <a:blip xmlns:r="http://schemas.openxmlformats.org/officeDocument/2006/relationships" r:embed="rId1"/>
                      <a:stretch>
                        <a:fillRect/>
                      </a:stretch>
                    </pic:blipFill>
                    <pic:spPr>
                      <a:xfrm>
                        <a:off x="0" y="0"/>
                        <a:ext cx="5943600" cy="12065"/>
                      </a:xfrm>
                      <a:prstGeom prst="rect">
                        <a:avLst/>
                      </a:prstGeom>
                    </pic:spPr>
                  </pic:pic>
                </a:graphicData>
              </a:graphic>
            </wp:anchor>
          </w:drawing>
        </mc:Fallback>
      </mc:AlternateContent>
    </w:r>
  </w:p>
  <w:p w:rsidR="00DF4BB3" w14:paraId="788C6B1D" w14:textId="77777777">
    <w:pPr>
      <w:spacing w:before="40"/>
      <w:rPr>
        <w:rFonts w:ascii="Arial" w:eastAsia="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4BB3" w14:paraId="0AC81D0A" w14:textId="77777777">
    <w:pPr>
      <w:spacing w:before="40"/>
      <w:rPr>
        <w:rFonts w:ascii="Arial" w:eastAsia="Arial" w:hAnsi="Arial" w:cs="Arial"/>
        <w:b/>
        <w:sz w:val="96"/>
        <w:szCs w:val="96"/>
      </w:rPr>
    </w:pPr>
    <w:r>
      <w:rPr>
        <w:rFonts w:ascii="Arial" w:eastAsia="Arial" w:hAnsi="Arial" w:cs="Arial"/>
        <w:b/>
        <w:sz w:val="96"/>
        <w:szCs w:val="96"/>
      </w:rPr>
      <w:t>PUBLIC NOTICE</w:t>
    </w:r>
    <w:r>
      <w:rPr>
        <w:noProof/>
      </w:rPr>
      <mc:AlternateContent>
        <mc:Choice Requires="wps">
          <w:drawing>
            <wp:anchor distT="0" distB="0" distL="114300" distR="114300" simplePos="0" relativeHeight="251661312" behindDoc="0" locked="0" layoutInCell="0" allowOverlap="1">
              <wp:simplePos x="0" y="0"/>
              <wp:positionH relativeFrom="column">
                <wp:posOffset>-57149</wp:posOffset>
              </wp:positionH>
              <wp:positionV relativeFrom="paragraph">
                <wp:posOffset>741045</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8.35pt;margin-left:-4.5pt;mso-wrap-distance-bottom:0;mso-wrap-distance-left:9pt;mso-wrap-distance-right:9pt;mso-wrap-distance-top:0;mso-wrap-style:square;position:absolute;visibility:visible;v-text-anchor:top;z-index:251662336" o:allowincell="f" stroked="f">
              <v:textbox>
                <w:txbxContent>
                  <w:p w:rsidR="009838BC" w:rsidP="009838BC" w14:paraId="7EC7088D" w14:textId="77777777">
                    <w:pPr>
                      <w:rPr>
                        <w:rFonts w:ascii="Arial" w:hAnsi="Arial"/>
                        <w:b/>
                      </w:rPr>
                    </w:pPr>
                    <w:r>
                      <w:rPr>
                        <w:rFonts w:ascii="Arial" w:hAnsi="Arial"/>
                        <w:b/>
                      </w:rPr>
                      <w:t>Federal Communications Commission</w:t>
                    </w:r>
                  </w:p>
                  <w:p w:rsidR="009838BC" w:rsidP="009838BC" w14:paraId="349FF3EC" w14:textId="77777777">
                    <w:pPr>
                      <w:rPr>
                        <w:rFonts w:ascii="Arial" w:hAnsi="Arial"/>
                        <w:b/>
                      </w:rPr>
                    </w:pPr>
                    <w:r>
                      <w:rPr>
                        <w:rFonts w:ascii="Arial" w:hAnsi="Arial"/>
                        <w:b/>
                      </w:rPr>
                      <w:t>45 L St., N.E.</w:t>
                    </w:r>
                  </w:p>
                  <w:p w:rsidR="009838BC" w:rsidP="009838BC" w14:paraId="775D7162" w14:textId="77777777">
                    <w:pPr>
                      <w:rPr>
                        <w:rFonts w:ascii="Arial" w:hAnsi="Arial"/>
                        <w:sz w:val="24"/>
                      </w:rPr>
                    </w:pPr>
                    <w:r>
                      <w:rPr>
                        <w:rFonts w:ascii="Arial" w:hAnsi="Arial"/>
                        <w:b/>
                      </w:rPr>
                      <w:t>Washington, D.C. 20554</w:t>
                    </w:r>
                  </w:p>
                </w:txbxContent>
              </v:textbox>
            </v:shape>
          </w:pict>
        </mc:Fallback>
      </mc:AlternateContent>
    </w:r>
    <w:r>
      <w:rPr>
        <w:noProof/>
      </w:rPr>
      <w:drawing>
        <wp:anchor distT="0" distB="0" distL="114300" distR="114300" simplePos="0" relativeHeight="251663360" behindDoc="0" locked="0" layoutInCell="0" allowOverlap="1">
          <wp:simplePos x="0" y="0"/>
          <wp:positionH relativeFrom="column">
            <wp:posOffset>-650874</wp:posOffset>
          </wp:positionH>
          <wp:positionV relativeFrom="paragraph">
            <wp:posOffset>136525</wp:posOffset>
          </wp:positionV>
          <wp:extent cx="530225" cy="530225"/>
          <wp:effectExtent l="0" t="0" r="0" b="0"/>
          <wp:wrapTopAndBottom/>
          <wp:docPr id="5" name="image5.png" descr="fcc_logo"/>
          <wp:cNvGraphicFramePr/>
          <a:graphic xmlns:a="http://schemas.openxmlformats.org/drawingml/2006/main">
            <a:graphicData uri="http://schemas.openxmlformats.org/drawingml/2006/picture">
              <pic:pic xmlns:pic="http://schemas.openxmlformats.org/drawingml/2006/picture">
                <pic:nvPicPr>
                  <pic:cNvPr id="1866910950" name="image5.png" descr="fcc_logo"/>
                  <pic:cNvPicPr/>
                </pic:nvPicPr>
                <pic:blipFill>
                  <a:blip xmlns:r="http://schemas.openxmlformats.org/officeDocument/2006/relationships" r:embed="rId1"/>
                  <a:stretch>
                    <a:fillRect/>
                  </a:stretch>
                </pic:blipFill>
                <pic:spPr>
                  <a:xfrm>
                    <a:off x="0" y="0"/>
                    <a:ext cx="530225" cy="530225"/>
                  </a:xfrm>
                  <a:prstGeom prst="rect">
                    <a:avLst/>
                  </a:prstGeom>
                </pic:spPr>
              </pic:pic>
            </a:graphicData>
          </a:graphic>
        </wp:anchor>
      </w:drawing>
    </w:r>
  </w:p>
  <w:p w:rsidR="00DF4BB3" w14:paraId="3A0EC6C0" w14:textId="77777777">
    <w:pPr>
      <w:spacing w:before="40"/>
      <w:rPr>
        <w:rFonts w:ascii="Arial" w:eastAsia="Arial" w:hAnsi="Arial" w:cs="Arial"/>
        <w:b/>
        <w:sz w:val="96"/>
        <w:szCs w:val="96"/>
      </w:rPr>
    </w:pPr>
    <w:r>
      <w:rPr>
        <w:noProof/>
      </w:rPr>
      <mc:AlternateContent>
        <mc:Choice Requires="wps">
          <w:drawing>
            <wp:anchor distT="0" distB="0" distL="114300" distR="114300" simplePos="0" relativeHeight="251664384" behindDoc="0" locked="0" layoutInCell="0" allowOverlap="1">
              <wp:simplePos x="0" y="0"/>
              <wp:positionH relativeFrom="column">
                <wp:posOffset>1</wp:posOffset>
              </wp:positionH>
              <wp:positionV relativeFrom="paragraph">
                <wp:posOffset>720090</wp:posOffset>
              </wp:positionV>
              <wp:extent cx="5943600" cy="0"/>
              <wp:effectExtent l="13335" t="5715" r="5715" b="13335"/>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anchor>
          </w:drawing>
        </mc:Choice>
        <mc:Fallback>
          <w:drawing>
            <wp:anchor distT="0" distB="0" distL="114300" distR="114300" simplePos="0" relativeHeight="251659264" behindDoc="0" locked="0" layoutInCell="0" allowOverlap="1">
              <wp:simplePos x="0" y="0"/>
              <wp:positionH relativeFrom="column">
                <wp:posOffset>1</wp:posOffset>
              </wp:positionH>
              <wp:positionV relativeFrom="paragraph">
                <wp:posOffset>720090</wp:posOffset>
              </wp:positionV>
              <wp:extent cx="5962650" cy="19050"/>
              <wp:effectExtent l="0" t="0" r="0" b="0"/>
              <wp:wrapNone/>
              <wp:docPr id="1652200909" name="image4.png"/>
              <wp:cNvGraphicFramePr/>
              <a:graphic xmlns:a="http://schemas.openxmlformats.org/drawingml/2006/main">
                <a:graphicData uri="http://schemas.openxmlformats.org/drawingml/2006/picture">
                  <pic:pic xmlns:pic="http://schemas.openxmlformats.org/drawingml/2006/picture">
                    <pic:nvPicPr>
                      <pic:cNvPr id="702831047" name="image4.png"/>
                      <pic:cNvPicPr/>
                    </pic:nvPicPr>
                    <pic:blipFill>
                      <a:blip xmlns:r="http://schemas.openxmlformats.org/officeDocument/2006/relationships" r:embed="rId2"/>
                      <a:stretch>
                        <a:fillRect/>
                      </a:stretch>
                    </pic:blipFill>
                    <pic:spPr>
                      <a:xfrm>
                        <a:off x="0" y="0"/>
                        <a:ext cx="5962650" cy="19050"/>
                      </a:xfrm>
                      <a:prstGeom prst="rect">
                        <a:avLst/>
                      </a:prstGeom>
                    </pic:spPr>
                  </pic:pic>
                </a:graphicData>
              </a:graphic>
            </wp:anchor>
          </w:drawing>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3znysh7" w:colFirst="0" w:colLast="0"/>
                          <w:hyperlink r:id="rId3" w:history="1">
                            <w:r w:rsidRPr="00D216CD">
                              <w:rPr>
                                <w:rFonts w:ascii="Arial" w:hAnsi="Arial"/>
                                <w:b/>
                                <w:sz w:val="16"/>
                              </w:rPr>
                              <w:t>h</w:t>
                            </w:r>
                            <w:bookmarkEnd w:id="4"/>
                            <w:r w:rsidRPr="00D216CD">
                              <w:rPr>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anchor>
          </w:drawing>
        </mc:Choice>
        <mc:Fallback>
          <w:pict>
            <v:shape id="Text Box 1" o:spid="_x0000_s2050" type="#_x0000_t202" style="width:207.95pt;height:35.25pt;margin-top:14.05pt;margin-left:263.25pt;mso-wrap-distance-bottom:0;mso-wrap-distance-left:9pt;mso-wrap-distance-right:9pt;mso-wrap-distance-top:0;mso-wrap-style:square;position:absolute;visibility:visible;v-text-anchor:top;z-index:251666432" o:allowincell="f" stroked="f">
              <v:textbox inset=",0,,0">
                <w:txbxContent>
                  <w:p w:rsidR="009838BC" w:rsidP="009838BC" w14:paraId="12F3A8B0" w14:textId="77777777">
                    <w:pPr>
                      <w:spacing w:before="40"/>
                      <w:jc w:val="right"/>
                      <w:rPr>
                        <w:rFonts w:ascii="Arial" w:hAnsi="Arial"/>
                        <w:b/>
                        <w:sz w:val="16"/>
                      </w:rPr>
                    </w:pPr>
                    <w:r>
                      <w:rPr>
                        <w:rFonts w:ascii="Arial" w:hAnsi="Arial"/>
                        <w:b/>
                        <w:sz w:val="16"/>
                      </w:rPr>
                      <w:t>News Media Information 202 / 418-0500</w:t>
                    </w:r>
                  </w:p>
                  <w:p w:rsidR="009838BC" w:rsidP="009838BC" w14:paraId="289B2887" w14:textId="77777777">
                    <w:pPr>
                      <w:jc w:val="right"/>
                      <w:rPr>
                        <w:rFonts w:ascii="Arial" w:hAnsi="Arial"/>
                        <w:b/>
                        <w:sz w:val="16"/>
                      </w:rPr>
                    </w:pPr>
                    <w:r>
                      <w:rPr>
                        <w:rFonts w:ascii="Arial" w:hAnsi="Arial"/>
                        <w:b/>
                        <w:sz w:val="16"/>
                      </w:rPr>
                      <w:t xml:space="preserve">Internet: </w:t>
                    </w:r>
                    <w:bookmarkStart w:id="4" w:name="_3znysh7" w:colFirst="0" w:colLast="0"/>
                    <w:hyperlink r:id="rId3" w:history="1">
                      <w:r w:rsidRPr="00D216CD">
                        <w:rPr>
                          <w:rFonts w:ascii="Arial" w:hAnsi="Arial"/>
                          <w:b/>
                          <w:sz w:val="16"/>
                        </w:rPr>
                        <w:t>h</w:t>
                      </w:r>
                      <w:bookmarkEnd w:id="4"/>
                      <w:r w:rsidRPr="00D216CD">
                        <w:rPr>
                          <w:rFonts w:ascii="Arial" w:hAnsi="Arial"/>
                          <w:b/>
                          <w:sz w:val="16"/>
                        </w:rPr>
                        <w:t>ttps://www.fcc.gov</w:t>
                      </w:r>
                    </w:hyperlink>
                  </w:p>
                  <w:p w:rsidR="009838BC" w:rsidP="009838BC" w14:paraId="636E8C8C" w14:textId="77777777">
                    <w:pPr>
                      <w:jc w:val="right"/>
                    </w:pPr>
                    <w:r>
                      <w:rPr>
                        <w:rFonts w:ascii="Arial" w:hAnsi="Arial"/>
                        <w:b/>
                        <w:sz w:val="16"/>
                      </w:rPr>
                      <w:t>TTY: 1-888-835-5322</w:t>
                    </w:r>
                  </w:p>
                </w:txbxContent>
              </v:textbox>
            </v:shape>
          </w:pict>
        </mc:Fallback>
      </mc:AlternateContent>
    </w:r>
  </w:p>
  <w:p w:rsidR="00DF4BB3" w14:paraId="63EB7D7A" w14:textId="77777777">
    <w:pPr>
      <w:pBdr>
        <w:top w:val="nil"/>
        <w:left w:val="nil"/>
        <w:bottom w:val="nil"/>
        <w:right w:val="nil"/>
        <w:between w:val="nil"/>
      </w:pBdr>
      <w:tabs>
        <w:tab w:val="center" w:pos="4680"/>
        <w:tab w:val="right" w:pos="9360"/>
      </w:tabs>
      <w:ind w:firstLine="1080"/>
      <w:rPr>
        <w:rFonts w:ascii="Arial" w:eastAsia="Arial" w:hAnsi="Arial" w:cs="Arial"/>
        <w:b/>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B3"/>
    <w:rsid w:val="001B0001"/>
    <w:rsid w:val="0025571C"/>
    <w:rsid w:val="002B5EA3"/>
    <w:rsid w:val="00322FD9"/>
    <w:rsid w:val="00460CF7"/>
    <w:rsid w:val="005F6008"/>
    <w:rsid w:val="00615470"/>
    <w:rsid w:val="00655B5C"/>
    <w:rsid w:val="008F5BE5"/>
    <w:rsid w:val="009838BC"/>
    <w:rsid w:val="00B1737D"/>
    <w:rsid w:val="00D216CD"/>
    <w:rsid w:val="00DF4B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tabs>
        <w:tab w:val="left" w:pos="720"/>
      </w:tabs>
      <w:spacing w:after="120"/>
      <w:ind w:left="720" w:hanging="720"/>
      <w:outlineLvl w:val="0"/>
    </w:pPr>
    <w:rPr>
      <w:rFonts w:ascii="Times" w:eastAsia="Times" w:hAnsi="Times" w:cs="Times"/>
      <w:b/>
      <w:smallCaps/>
    </w:rPr>
  </w:style>
  <w:style w:type="paragraph" w:styleId="Heading2">
    <w:name w:val="heading 2"/>
    <w:basedOn w:val="Normal"/>
    <w:next w:val="Normal"/>
    <w:uiPriority w:val="9"/>
    <w:semiHidden/>
    <w:unhideWhenUsed/>
    <w:qFormat/>
    <w:pPr>
      <w:keepNext/>
      <w:spacing w:after="120"/>
      <w:ind w:left="1440" w:hanging="720"/>
      <w:outlineLvl w:val="1"/>
    </w:pPr>
    <w:rPr>
      <w:b/>
    </w:rPr>
  </w:style>
  <w:style w:type="paragraph" w:styleId="Heading3">
    <w:name w:val="heading 3"/>
    <w:basedOn w:val="Normal"/>
    <w:next w:val="Normal"/>
    <w:uiPriority w:val="9"/>
    <w:semiHidden/>
    <w:unhideWhenUsed/>
    <w:qFormat/>
    <w:pPr>
      <w:keepNext/>
      <w:tabs>
        <w:tab w:val="left" w:pos="2160"/>
      </w:tabs>
      <w:spacing w:after="120"/>
      <w:ind w:left="2160" w:hanging="720"/>
      <w:outlineLvl w:val="2"/>
    </w:pPr>
    <w:rPr>
      <w:b/>
    </w:rPr>
  </w:style>
  <w:style w:type="paragraph" w:styleId="Heading4">
    <w:name w:val="heading 4"/>
    <w:basedOn w:val="Normal"/>
    <w:next w:val="Normal"/>
    <w:uiPriority w:val="9"/>
    <w:semiHidden/>
    <w:unhideWhenUsed/>
    <w:qFormat/>
    <w:pPr>
      <w:keepNext/>
      <w:tabs>
        <w:tab w:val="left" w:pos="2880"/>
      </w:tabs>
      <w:spacing w:after="120"/>
      <w:ind w:left="2880" w:hanging="720"/>
      <w:outlineLvl w:val="3"/>
    </w:pPr>
    <w:rPr>
      <w:b/>
    </w:rPr>
  </w:style>
  <w:style w:type="paragraph" w:styleId="Heading5">
    <w:name w:val="heading 5"/>
    <w:basedOn w:val="Normal"/>
    <w:next w:val="Normal"/>
    <w:uiPriority w:val="9"/>
    <w:semiHidden/>
    <w:unhideWhenUsed/>
    <w:qFormat/>
    <w:pPr>
      <w:keepNext/>
      <w:tabs>
        <w:tab w:val="left" w:pos="3600"/>
      </w:tabs>
      <w:spacing w:after="120"/>
      <w:ind w:left="3600" w:hanging="720"/>
      <w:outlineLvl w:val="4"/>
    </w:pPr>
    <w:rPr>
      <w:b/>
    </w:rPr>
  </w:style>
  <w:style w:type="paragraph" w:styleId="Heading6">
    <w:name w:val="heading 6"/>
    <w:basedOn w:val="Normal"/>
    <w:next w:val="Normal"/>
    <w:uiPriority w:val="9"/>
    <w:semiHidden/>
    <w:unhideWhenUsed/>
    <w:qFormat/>
    <w:pPr>
      <w:tabs>
        <w:tab w:val="left" w:pos="4320"/>
      </w:tabs>
      <w:spacing w:after="120"/>
      <w:ind w:left="432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F6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008"/>
    <w:rPr>
      <w:rFonts w:ascii="Segoe UI" w:hAnsi="Segoe UI" w:cs="Segoe UI"/>
      <w:sz w:val="18"/>
      <w:szCs w:val="18"/>
    </w:rPr>
  </w:style>
  <w:style w:type="paragraph" w:styleId="Header">
    <w:name w:val="header"/>
    <w:basedOn w:val="Normal"/>
    <w:link w:val="HeaderChar"/>
    <w:uiPriority w:val="99"/>
    <w:unhideWhenUsed/>
    <w:rsid w:val="002B5EA3"/>
    <w:pPr>
      <w:tabs>
        <w:tab w:val="center" w:pos="4680"/>
        <w:tab w:val="right" w:pos="9360"/>
      </w:tabs>
    </w:pPr>
  </w:style>
  <w:style w:type="character" w:customStyle="1" w:styleId="HeaderChar">
    <w:name w:val="Header Char"/>
    <w:basedOn w:val="DefaultParagraphFont"/>
    <w:link w:val="Header"/>
    <w:uiPriority w:val="99"/>
    <w:rsid w:val="002B5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Fedeli@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 Id="rId3"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