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073F1" w:rsidP="00013A8B" w14:paraId="0B9F6391" w14:textId="075B321E">
      <w:pPr>
        <w:jc w:val="right"/>
        <w:rPr>
          <w:b/>
          <w:szCs w:val="22"/>
        </w:rPr>
      </w:pPr>
      <w:r>
        <w:rPr>
          <w:b/>
          <w:szCs w:val="22"/>
        </w:rPr>
        <w:t>DA 21-380</w:t>
      </w:r>
    </w:p>
    <w:p w:rsidR="004073F1" w:rsidP="00013A8B" w14:paraId="509E56C1" w14:textId="52511DFE">
      <w:pPr>
        <w:jc w:val="right"/>
        <w:rPr>
          <w:b/>
          <w:szCs w:val="22"/>
        </w:rPr>
      </w:pPr>
      <w:r>
        <w:rPr>
          <w:b/>
          <w:szCs w:val="22"/>
        </w:rPr>
        <w:t>April 2, 2021</w:t>
      </w:r>
    </w:p>
    <w:p w:rsidR="00013A8B" w:rsidRPr="00BE62BD" w:rsidP="00013A8B" w14:paraId="38891462" w14:textId="77777777">
      <w:pPr>
        <w:jc w:val="right"/>
        <w:rPr>
          <w:szCs w:val="22"/>
        </w:rPr>
      </w:pPr>
    </w:p>
    <w:p w:rsidR="00071E99" w:rsidRPr="00BE62BD" w:rsidP="00071E99" w14:paraId="38891463" w14:textId="77865439">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38891464" w14:textId="52FE095B">
      <w:pPr>
        <w:jc w:val="center"/>
        <w:rPr>
          <w:b/>
          <w:szCs w:val="22"/>
        </w:rPr>
      </w:pPr>
      <w:r w:rsidRPr="00BE62BD">
        <w:rPr>
          <w:b/>
          <w:szCs w:val="22"/>
        </w:rPr>
        <w:t xml:space="preserve">APPLICATIONS FOR </w:t>
      </w:r>
      <w:r w:rsidRPr="00BE62BD">
        <w:rPr>
          <w:rStyle w:val="CommentReference"/>
          <w:b/>
          <w:bCs/>
          <w:sz w:val="22"/>
          <w:szCs w:val="22"/>
        </w:rPr>
        <w:t>AUCTION 10</w:t>
      </w:r>
      <w:r w:rsidR="00EC780A">
        <w:rPr>
          <w:rStyle w:val="CommentReference"/>
          <w:b/>
          <w:bCs/>
          <w:sz w:val="22"/>
          <w:szCs w:val="22"/>
        </w:rPr>
        <w:t>7</w:t>
      </w:r>
      <w:r w:rsidRPr="00BE62BD">
        <w:rPr>
          <w:rStyle w:val="CommentReference"/>
          <w:b/>
          <w:bCs/>
          <w:sz w:val="22"/>
          <w:szCs w:val="22"/>
        </w:rPr>
        <w:t xml:space="preserve"> </w:t>
      </w:r>
      <w:r w:rsidRPr="00BE62BD">
        <w:rPr>
          <w:b/>
          <w:szCs w:val="22"/>
        </w:rPr>
        <w:t>LICENSES ARE ACCEPTED FOR FILING</w:t>
      </w:r>
    </w:p>
    <w:p w:rsidR="00071E99" w:rsidRPr="00BE62BD" w:rsidP="00071E99" w14:paraId="38891465" w14:textId="77777777">
      <w:pPr>
        <w:rPr>
          <w:bCs/>
          <w:szCs w:val="22"/>
        </w:rPr>
      </w:pPr>
    </w:p>
    <w:p w:rsidR="00F96F63" w:rsidP="007A6A2C" w14:paraId="38891466" w14:textId="7470D3B3">
      <w:pPr>
        <w:spacing w:after="120"/>
        <w:ind w:firstLine="720"/>
        <w:rPr>
          <w:bCs/>
          <w:szCs w:val="22"/>
        </w:rPr>
      </w:pPr>
      <w:r w:rsidRPr="00BE62BD">
        <w:rPr>
          <w:bCs/>
          <w:szCs w:val="22"/>
        </w:rPr>
        <w:t>On</w:t>
      </w:r>
      <w:r w:rsidR="00517A54">
        <w:rPr>
          <w:bCs/>
          <w:szCs w:val="22"/>
        </w:rPr>
        <w:t xml:space="preserve"> February</w:t>
      </w:r>
      <w:r w:rsidRPr="00BE62BD">
        <w:rPr>
          <w:bCs/>
          <w:szCs w:val="22"/>
        </w:rPr>
        <w:t xml:space="preserve"> </w:t>
      </w:r>
      <w:r w:rsidR="00517A54">
        <w:rPr>
          <w:bCs/>
          <w:szCs w:val="22"/>
        </w:rPr>
        <w:t>17</w:t>
      </w:r>
      <w:r w:rsidRPr="00BE62BD">
        <w:rPr>
          <w:bCs/>
          <w:szCs w:val="22"/>
        </w:rPr>
        <w:t>, 202</w:t>
      </w:r>
      <w:r w:rsidR="00517A54">
        <w:rPr>
          <w:bCs/>
          <w:szCs w:val="22"/>
        </w:rPr>
        <w:t>1</w:t>
      </w:r>
      <w:r w:rsidRPr="00BE62BD">
        <w:rPr>
          <w:bCs/>
          <w:szCs w:val="22"/>
        </w:rPr>
        <w:t xml:space="preserve">, </w:t>
      </w:r>
      <w:r w:rsidR="005054B8">
        <w:rPr>
          <w:bCs/>
          <w:szCs w:val="22"/>
        </w:rPr>
        <w:t xml:space="preserve">bidding concluded in </w:t>
      </w:r>
      <w:r w:rsidRPr="00BE62BD">
        <w:rPr>
          <w:bCs/>
          <w:szCs w:val="22"/>
        </w:rPr>
        <w:t>the Federal Communications Commission</w:t>
      </w:r>
      <w:r w:rsidR="005054B8">
        <w:rPr>
          <w:bCs/>
          <w:szCs w:val="22"/>
        </w:rPr>
        <w:t>’s</w:t>
      </w:r>
      <w:r w:rsidRPr="00BE62BD">
        <w:rPr>
          <w:bCs/>
          <w:szCs w:val="22"/>
        </w:rPr>
        <w:t xml:space="preserve"> (Commission</w:t>
      </w:r>
      <w:r w:rsidR="005054B8">
        <w:rPr>
          <w:bCs/>
          <w:szCs w:val="22"/>
        </w:rPr>
        <w:t>’s</w:t>
      </w:r>
      <w:r w:rsidRPr="00BE62BD">
        <w:rPr>
          <w:bCs/>
          <w:szCs w:val="22"/>
        </w:rPr>
        <w:t xml:space="preserve">) auction of </w:t>
      </w:r>
      <w:r w:rsidR="00517A54">
        <w:rPr>
          <w:bCs/>
          <w:szCs w:val="22"/>
        </w:rPr>
        <w:t>new flexible-use overlay licenses</w:t>
      </w:r>
      <w:r w:rsidRPr="00BE62BD">
        <w:rPr>
          <w:bCs/>
          <w:szCs w:val="22"/>
        </w:rPr>
        <w:t xml:space="preserve"> in the </w:t>
      </w:r>
      <w:r w:rsidR="00517A54">
        <w:rPr>
          <w:bCs/>
          <w:szCs w:val="22"/>
        </w:rPr>
        <w:t xml:space="preserve">3.7-3.98 </w:t>
      </w:r>
      <w:r w:rsidRPr="0020260D" w:rsidR="00517A54">
        <w:rPr>
          <w:bCs/>
          <w:szCs w:val="22"/>
        </w:rPr>
        <w:t>GH</w:t>
      </w:r>
      <w:r w:rsidRPr="0020260D" w:rsidR="00A2510D">
        <w:rPr>
          <w:bCs/>
          <w:szCs w:val="22"/>
        </w:rPr>
        <w:t>z</w:t>
      </w:r>
      <w:r w:rsidRPr="0020260D">
        <w:rPr>
          <w:bCs/>
          <w:szCs w:val="22"/>
        </w:rPr>
        <w:t xml:space="preserve"> (3.</w:t>
      </w:r>
      <w:r w:rsidRPr="0020260D" w:rsidR="00517A54">
        <w:rPr>
          <w:bCs/>
          <w:szCs w:val="22"/>
        </w:rPr>
        <w:t>7</w:t>
      </w:r>
      <w:r w:rsidRPr="0020260D">
        <w:rPr>
          <w:bCs/>
          <w:szCs w:val="22"/>
        </w:rPr>
        <w:t xml:space="preserve"> GHz)</w:t>
      </w:r>
      <w:r w:rsidRPr="00BE62BD">
        <w:rPr>
          <w:bCs/>
          <w:szCs w:val="22"/>
        </w:rPr>
        <w:t xml:space="preserve"> band, and </w:t>
      </w:r>
      <w:r w:rsidRPr="00BE62BD" w:rsidR="00D2254D">
        <w:rPr>
          <w:bCs/>
          <w:szCs w:val="22"/>
        </w:rPr>
        <w:t>the Office of Economics and Analytics (OEA) and the Wireless Telecommunications Bureau (WTB)</w:t>
      </w:r>
      <w:r w:rsidRPr="00BE62BD">
        <w:rPr>
          <w:bCs/>
          <w:szCs w:val="22"/>
        </w:rPr>
        <w:t xml:space="preserve"> announced the results </w:t>
      </w:r>
      <w:r w:rsidR="00E00E74">
        <w:rPr>
          <w:bCs/>
          <w:szCs w:val="22"/>
        </w:rPr>
        <w:t xml:space="preserve">of that auction </w:t>
      </w:r>
      <w:r w:rsidRPr="00BE62BD">
        <w:rPr>
          <w:bCs/>
          <w:szCs w:val="22"/>
        </w:rPr>
        <w:t xml:space="preserve">on </w:t>
      </w:r>
      <w:r w:rsidR="00627A16">
        <w:rPr>
          <w:bCs/>
          <w:szCs w:val="22"/>
        </w:rPr>
        <w:t>February 24, 2021</w:t>
      </w:r>
      <w:r w:rsidRPr="00BE62BD">
        <w:rPr>
          <w:bCs/>
          <w:szCs w:val="22"/>
        </w:rPr>
        <w:t>.</w:t>
      </w:r>
      <w:r>
        <w:rPr>
          <w:rStyle w:val="FootnoteReference"/>
          <w:bCs/>
          <w:sz w:val="20"/>
        </w:rPr>
        <w:footnoteReference w:id="3"/>
      </w:r>
      <w:r w:rsidRPr="00BE62BD" w:rsidR="00D2254D">
        <w:rPr>
          <w:bCs/>
          <w:szCs w:val="22"/>
        </w:rPr>
        <w:t xml:space="preserve">  </w:t>
      </w:r>
      <w:r w:rsidR="00357EF4">
        <w:rPr>
          <w:bCs/>
          <w:szCs w:val="22"/>
        </w:rPr>
        <w:t>L</w:t>
      </w:r>
      <w:r w:rsidRPr="00BE62BD" w:rsidR="00D2254D">
        <w:rPr>
          <w:bCs/>
          <w:szCs w:val="22"/>
        </w:rPr>
        <w:t xml:space="preserve">ong-form applications (FCC Form 601) for </w:t>
      </w:r>
      <w:r w:rsidR="00357EF4">
        <w:rPr>
          <w:bCs/>
          <w:szCs w:val="22"/>
        </w:rPr>
        <w:t xml:space="preserve">licenses won in </w:t>
      </w:r>
      <w:r w:rsidRPr="00BE62BD" w:rsidR="00D2254D">
        <w:rPr>
          <w:bCs/>
          <w:szCs w:val="22"/>
        </w:rPr>
        <w:t>Auction 10</w:t>
      </w:r>
      <w:r w:rsidR="006217A3">
        <w:rPr>
          <w:bCs/>
          <w:szCs w:val="22"/>
        </w:rPr>
        <w:t>7</w:t>
      </w:r>
      <w:r w:rsidRPr="00BE62BD" w:rsidR="00D2254D">
        <w:rPr>
          <w:bCs/>
          <w:szCs w:val="22"/>
        </w:rPr>
        <w:t xml:space="preserve"> were due on </w:t>
      </w:r>
      <w:r w:rsidR="006217A3">
        <w:rPr>
          <w:bCs/>
          <w:szCs w:val="22"/>
        </w:rPr>
        <w:t>March</w:t>
      </w:r>
      <w:r w:rsidRPr="00BE62BD" w:rsidR="00D2254D">
        <w:rPr>
          <w:bCs/>
          <w:szCs w:val="22"/>
        </w:rPr>
        <w:t xml:space="preserve"> 1</w:t>
      </w:r>
      <w:r w:rsidR="006217A3">
        <w:rPr>
          <w:bCs/>
          <w:szCs w:val="22"/>
        </w:rPr>
        <w:t>0</w:t>
      </w:r>
      <w:r w:rsidRPr="00BE62BD" w:rsidR="00D2254D">
        <w:rPr>
          <w:bCs/>
          <w:szCs w:val="22"/>
        </w:rPr>
        <w:t>, 202</w:t>
      </w:r>
      <w:r w:rsidR="006217A3">
        <w:rPr>
          <w:bCs/>
          <w:szCs w:val="22"/>
        </w:rPr>
        <w:t>1</w:t>
      </w:r>
      <w:r w:rsidRPr="00BE62BD" w:rsidR="00D2254D">
        <w:rPr>
          <w:bCs/>
          <w:szCs w:val="22"/>
        </w:rPr>
        <w:t xml:space="preserve">.  The </w:t>
      </w:r>
      <w:r w:rsidR="006217A3">
        <w:rPr>
          <w:bCs/>
          <w:szCs w:val="22"/>
        </w:rPr>
        <w:t>21</w:t>
      </w:r>
      <w:r w:rsidR="007353F1">
        <w:rPr>
          <w:bCs/>
          <w:szCs w:val="22"/>
        </w:rPr>
        <w:t xml:space="preserve"> </w:t>
      </w:r>
      <w:r w:rsidRPr="00BE62BD" w:rsidR="00D2254D">
        <w:rPr>
          <w:bCs/>
          <w:szCs w:val="22"/>
        </w:rPr>
        <w:t>long-form applications listed in Attachment A have been found, upon initial review, to be acceptable for filing.</w:t>
      </w:r>
      <w:r w:rsidRPr="00BE62BD" w:rsidR="0099063A">
        <w:rPr>
          <w:bCs/>
          <w:szCs w:val="22"/>
        </w:rPr>
        <w:t xml:space="preserve">  The Commission may return or dismiss the applications, however, if upon further examination, they are found to be defective or not in </w:t>
      </w:r>
      <w:r w:rsidR="007061C3">
        <w:rPr>
          <w:bCs/>
          <w:szCs w:val="22"/>
        </w:rPr>
        <w:t xml:space="preserve">compliance </w:t>
      </w:r>
      <w:r w:rsidRPr="00BE62BD" w:rsidR="0099063A">
        <w:rPr>
          <w:bCs/>
          <w:szCs w:val="22"/>
        </w:rPr>
        <w:t>with the Commission’s rules.</w:t>
      </w:r>
      <w:r>
        <w:rPr>
          <w:rStyle w:val="FootnoteReference"/>
          <w:bCs/>
          <w:sz w:val="20"/>
        </w:rPr>
        <w:footnoteReference w:id="4"/>
      </w:r>
    </w:p>
    <w:p w:rsidR="002F6268" w:rsidP="00760516" w14:paraId="330A9A91" w14:textId="3D5014B6">
      <w:pPr>
        <w:spacing w:after="120"/>
        <w:ind w:firstLine="720"/>
        <w:rPr>
          <w:snapToGrid/>
          <w:kern w:val="0"/>
        </w:rPr>
      </w:pPr>
      <w:r>
        <w:rPr>
          <w:bCs/>
          <w:szCs w:val="22"/>
        </w:rPr>
        <w:t xml:space="preserve">We </w:t>
      </w:r>
      <w:r w:rsidRPr="00E33D41">
        <w:rPr>
          <w:bCs/>
          <w:szCs w:val="22"/>
        </w:rPr>
        <w:t xml:space="preserve">remind Auction 107 long-form applicants </w:t>
      </w:r>
      <w:r w:rsidRPr="00E33D41" w:rsidR="00493603">
        <w:rPr>
          <w:bCs/>
          <w:szCs w:val="22"/>
        </w:rPr>
        <w:t xml:space="preserve">that the </w:t>
      </w:r>
      <w:r w:rsidRPr="00E33D41" w:rsidR="00493603">
        <w:rPr>
          <w:bCs/>
          <w:i/>
          <w:iCs/>
          <w:szCs w:val="22"/>
        </w:rPr>
        <w:t>3.7 GHz Report and Order</w:t>
      </w:r>
      <w:r w:rsidRPr="00E33D41" w:rsidR="00493603">
        <w:rPr>
          <w:bCs/>
          <w:szCs w:val="22"/>
        </w:rPr>
        <w:t xml:space="preserve"> </w:t>
      </w:r>
      <w:r w:rsidRPr="00E33D41" w:rsidR="00E7346C">
        <w:rPr>
          <w:bCs/>
          <w:szCs w:val="22"/>
        </w:rPr>
        <w:t xml:space="preserve">established that new 3.7 GHz Service </w:t>
      </w:r>
      <w:r w:rsidRPr="00E33D41" w:rsidR="00C85B6C">
        <w:rPr>
          <w:bCs/>
          <w:szCs w:val="22"/>
        </w:rPr>
        <w:t>licensees</w:t>
      </w:r>
      <w:r w:rsidRPr="00E33D41" w:rsidR="00E7346C">
        <w:rPr>
          <w:bCs/>
          <w:szCs w:val="22"/>
        </w:rPr>
        <w:t xml:space="preserve"> </w:t>
      </w:r>
      <w:r w:rsidRPr="00E33D41" w:rsidR="00D9421A">
        <w:rPr>
          <w:bCs/>
          <w:szCs w:val="22"/>
        </w:rPr>
        <w:t>must</w:t>
      </w:r>
      <w:r w:rsidRPr="00E33D41" w:rsidR="00E7346C">
        <w:rPr>
          <w:bCs/>
          <w:szCs w:val="22"/>
        </w:rPr>
        <w:t xml:space="preserve"> reimburse the reasonable relocation</w:t>
      </w:r>
      <w:r w:rsidR="00AE41D0">
        <w:rPr>
          <w:bCs/>
          <w:szCs w:val="22"/>
        </w:rPr>
        <w:t xml:space="preserve"> costs of incumbents to transition out of the band</w:t>
      </w:r>
      <w:r w:rsidRPr="00E33D41" w:rsidR="00C74779">
        <w:rPr>
          <w:bCs/>
          <w:szCs w:val="22"/>
        </w:rPr>
        <w:t xml:space="preserve"> and</w:t>
      </w:r>
      <w:r w:rsidR="00AE41D0">
        <w:rPr>
          <w:bCs/>
          <w:szCs w:val="22"/>
        </w:rPr>
        <w:t>, if</w:t>
      </w:r>
      <w:r w:rsidRPr="00E33D41" w:rsidR="00C74779">
        <w:rPr>
          <w:bCs/>
          <w:szCs w:val="22"/>
        </w:rPr>
        <w:t xml:space="preserve"> accelerated</w:t>
      </w:r>
      <w:r w:rsidR="00AE41D0">
        <w:rPr>
          <w:bCs/>
          <w:szCs w:val="22"/>
        </w:rPr>
        <w:t xml:space="preserve"> clearing is achieved, the specified accelerated</w:t>
      </w:r>
      <w:r w:rsidRPr="00E33D41" w:rsidR="00C74779">
        <w:rPr>
          <w:bCs/>
          <w:szCs w:val="22"/>
        </w:rPr>
        <w:t xml:space="preserve"> relocation</w:t>
      </w:r>
      <w:r w:rsidRPr="00E33D41" w:rsidR="00E7346C">
        <w:rPr>
          <w:bCs/>
          <w:szCs w:val="22"/>
        </w:rPr>
        <w:t xml:space="preserve"> costs</w:t>
      </w:r>
      <w:r w:rsidR="0074652B">
        <w:rPr>
          <w:bCs/>
          <w:szCs w:val="22"/>
        </w:rPr>
        <w:t>.</w:t>
      </w:r>
      <w:r>
        <w:rPr>
          <w:rStyle w:val="FootnoteReference"/>
          <w:bCs/>
          <w:szCs w:val="22"/>
        </w:rPr>
        <w:footnoteReference w:id="5"/>
      </w:r>
    </w:p>
    <w:p w:rsidR="00D65779" w:rsidP="00632F67" w14:paraId="38891468" w14:textId="039BB1AE">
      <w:pPr>
        <w:spacing w:after="120"/>
        <w:ind w:firstLine="720"/>
        <w:rPr>
          <w:bCs/>
          <w:szCs w:val="22"/>
        </w:rPr>
      </w:pPr>
      <w:r w:rsidRPr="00E33D41">
        <w:rPr>
          <w:bCs/>
          <w:szCs w:val="22"/>
        </w:rPr>
        <w:t xml:space="preserve">Petitions to deny the applications listed in Attachment A must be filed no later than </w:t>
      </w:r>
      <w:r w:rsidRPr="00E33D41" w:rsidR="009B2A7A">
        <w:rPr>
          <w:b/>
          <w:szCs w:val="22"/>
        </w:rPr>
        <w:t xml:space="preserve">April </w:t>
      </w:r>
      <w:r w:rsidRPr="00E33D41" w:rsidR="00A5753F">
        <w:rPr>
          <w:b/>
          <w:szCs w:val="22"/>
        </w:rPr>
        <w:t>12</w:t>
      </w:r>
      <w:r w:rsidRPr="00E33D41" w:rsidR="00E102F0">
        <w:rPr>
          <w:b/>
          <w:szCs w:val="22"/>
        </w:rPr>
        <w:t>, 202</w:t>
      </w:r>
      <w:r w:rsidRPr="00E33D41" w:rsidR="00F23F3F">
        <w:rPr>
          <w:b/>
          <w:szCs w:val="22"/>
        </w:rPr>
        <w:t>1</w:t>
      </w:r>
      <w:r w:rsidRPr="00E33D41">
        <w:rPr>
          <w:bCs/>
          <w:szCs w:val="22"/>
        </w:rPr>
        <w:t>, ten (10) days after the date of this Public Notice.</w:t>
      </w:r>
      <w:r>
        <w:rPr>
          <w:rStyle w:val="FootnoteReference"/>
          <w:bCs/>
          <w:szCs w:val="22"/>
        </w:rPr>
        <w:footnoteReference w:id="6"/>
      </w:r>
      <w:r w:rsidRPr="00E33D41">
        <w:rPr>
          <w:bCs/>
          <w:szCs w:val="22"/>
        </w:rPr>
        <w:t xml:space="preserve">  Oppositions to a petition to deny must be filed no later than </w:t>
      </w:r>
      <w:r w:rsidRPr="00E33D41" w:rsidR="002744EE">
        <w:rPr>
          <w:b/>
          <w:szCs w:val="22"/>
        </w:rPr>
        <w:t>April</w:t>
      </w:r>
      <w:r w:rsidRPr="00E33D41" w:rsidR="00F23F3F">
        <w:rPr>
          <w:b/>
          <w:szCs w:val="22"/>
        </w:rPr>
        <w:t xml:space="preserve"> </w:t>
      </w:r>
      <w:r w:rsidRPr="00E33D41" w:rsidR="002744EE">
        <w:rPr>
          <w:b/>
          <w:szCs w:val="22"/>
        </w:rPr>
        <w:t>1</w:t>
      </w:r>
      <w:r w:rsidRPr="00E33D41" w:rsidR="00E33D41">
        <w:rPr>
          <w:b/>
          <w:szCs w:val="22"/>
        </w:rPr>
        <w:t>9</w:t>
      </w:r>
      <w:r w:rsidRPr="00E33D41">
        <w:rPr>
          <w:b/>
          <w:szCs w:val="22"/>
        </w:rPr>
        <w:t>, 202</w:t>
      </w:r>
      <w:r w:rsidRPr="00E33D41" w:rsidR="00F23F3F">
        <w:rPr>
          <w:b/>
          <w:szCs w:val="22"/>
        </w:rPr>
        <w:t>1</w:t>
      </w:r>
      <w:r w:rsidRPr="00E33D41">
        <w:rPr>
          <w:bCs/>
          <w:szCs w:val="22"/>
        </w:rPr>
        <w:t xml:space="preserve">, five (5) business days after the filing date for petitions to deny.  Replies to oppositions must be filed no later than </w:t>
      </w:r>
      <w:r w:rsidRPr="00E33D41" w:rsidR="00F13781">
        <w:rPr>
          <w:b/>
          <w:szCs w:val="22"/>
        </w:rPr>
        <w:t xml:space="preserve">April </w:t>
      </w:r>
      <w:r w:rsidRPr="00E33D41" w:rsidR="00512E48">
        <w:rPr>
          <w:b/>
          <w:szCs w:val="22"/>
        </w:rPr>
        <w:t>2</w:t>
      </w:r>
      <w:r w:rsidRPr="00E33D41" w:rsidR="00E33D41">
        <w:rPr>
          <w:b/>
          <w:szCs w:val="22"/>
        </w:rPr>
        <w:t>6</w:t>
      </w:r>
      <w:r w:rsidRPr="00E33D41" w:rsidR="00F23F3F">
        <w:rPr>
          <w:b/>
          <w:szCs w:val="22"/>
        </w:rPr>
        <w:t>, 2021</w:t>
      </w:r>
      <w:r w:rsidRPr="00E33D41">
        <w:rPr>
          <w:bCs/>
          <w:szCs w:val="22"/>
        </w:rPr>
        <w:t>, five (5) business days after the filing date for oppositions.  All pleadings filed regarding any of these Auction 10</w:t>
      </w:r>
      <w:r w:rsidRPr="00E33D41" w:rsidR="006D1EF3">
        <w:rPr>
          <w:bCs/>
          <w:szCs w:val="22"/>
        </w:rPr>
        <w:t>7</w:t>
      </w:r>
      <w:r w:rsidRPr="00E33D41">
        <w:rPr>
          <w:bCs/>
          <w:szCs w:val="22"/>
        </w:rPr>
        <w:t xml:space="preserve"> long-form applications should reference the file number of the application.  Each application is a restricted proceeding</w:t>
      </w:r>
      <w:r w:rsidRPr="00705DEB">
        <w:rPr>
          <w:bCs/>
          <w:szCs w:val="22"/>
        </w:rPr>
        <w:t xml:space="preserve"> under the Commission’s rules.</w:t>
      </w:r>
      <w:r>
        <w:rPr>
          <w:rStyle w:val="FootnoteReference"/>
          <w:sz w:val="20"/>
        </w:rPr>
        <w:footnoteReference w:id="7"/>
      </w:r>
      <w:r w:rsidRPr="00705DEB">
        <w:rPr>
          <w:bCs/>
          <w:szCs w:val="22"/>
        </w:rPr>
        <w:t xml:space="preserve">  A petitioner shall serve a copy of its petition to deny on the applicant and on all other interested parties pursuant to 47 CFR § 1.47.  Oppositions and replies shall be served on the petitioner and all other interested parties.</w:t>
      </w:r>
      <w:r>
        <w:rPr>
          <w:rStyle w:val="FootnoteReference"/>
          <w:sz w:val="20"/>
        </w:rPr>
        <w:footnoteReference w:id="8"/>
      </w:r>
    </w:p>
    <w:p w:rsidR="00BE62BD" w:rsidP="00632F67" w14:paraId="38891469" w14:textId="77777777">
      <w:pPr>
        <w:spacing w:after="120"/>
        <w:ind w:firstLine="720"/>
        <w:rPr>
          <w:bCs/>
          <w:szCs w:val="22"/>
        </w:rPr>
      </w:pPr>
      <w:r>
        <w:rPr>
          <w:bCs/>
          <w:szCs w:val="22"/>
        </w:rPr>
        <w:t>Pleadings may be filed electronically through the Commission’s Universal Licensing System (ULS), or by paper pursuant to the following instructions.  Parties are strongly encouraged to file using ULS.</w:t>
      </w:r>
    </w:p>
    <w:p w:rsidR="00BE62BD" w:rsidP="00632F67" w14:paraId="3889146A" w14:textId="77777777">
      <w:pPr>
        <w:widowControl/>
        <w:numPr>
          <w:ilvl w:val="0"/>
          <w:numId w:val="7"/>
        </w:numPr>
        <w:spacing w:after="120"/>
        <w:rPr>
          <w:szCs w:val="22"/>
        </w:rPr>
      </w:pPr>
      <w:r>
        <w:rPr>
          <w:szCs w:val="22"/>
        </w:rPr>
        <w:t xml:space="preserve">Electronic Filers:  Pleadings may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w:t>
      </w:r>
      <w:r>
        <w:rPr>
          <w:szCs w:val="22"/>
        </w:rPr>
        <w:t xml:space="preserve">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9"/>
      </w:r>
    </w:p>
    <w:p w:rsidR="00BE62BD" w:rsidP="00632F67" w14:paraId="3889146B" w14:textId="77777777">
      <w:pPr>
        <w:widowControl/>
        <w:numPr>
          <w:ilvl w:val="0"/>
          <w:numId w:val="7"/>
        </w:numPr>
        <w:spacing w:after="1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BE62BD" w:rsidP="00632F67" w14:paraId="3889146C" w14:textId="77777777">
      <w:pPr>
        <w:widowControl/>
        <w:numPr>
          <w:ilvl w:val="0"/>
          <w:numId w:val="8"/>
        </w:numPr>
        <w:spacing w:after="120"/>
        <w:rPr>
          <w:szCs w:val="22"/>
        </w:rPr>
      </w:pPr>
      <w:r>
        <w:t>Until further notice, the FCC no longer accepts hand-delivered or messenger-delivered paper filings.  This is a temporary measure taken to help protect the health and safety of individuals, and to mitigate the transmission of COVID-19.</w:t>
      </w:r>
      <w:r>
        <w:rPr>
          <w:rStyle w:val="FootnoteReference"/>
          <w:sz w:val="20"/>
        </w:rPr>
        <w:footnoteReference w:id="10"/>
      </w:r>
      <w:r>
        <w:rPr>
          <w:szCs w:val="22"/>
        </w:rPr>
        <w:t xml:space="preserve">  </w:t>
      </w:r>
    </w:p>
    <w:p w:rsidR="00BE62BD" w:rsidRPr="00F561B2" w:rsidP="00632F67" w14:paraId="3889146D" w14:textId="77777777">
      <w:pPr>
        <w:widowControl/>
        <w:numPr>
          <w:ilvl w:val="0"/>
          <w:numId w:val="8"/>
        </w:numPr>
        <w:spacing w:after="120"/>
        <w:rPr>
          <w:szCs w:val="22"/>
        </w:rPr>
      </w:pPr>
      <w:r w:rsidRPr="00F561B2">
        <w:rPr>
          <w:szCs w:val="22"/>
        </w:rPr>
        <w:t>Commercial overnight mail (other than U.S. Postal Service Express Mail and Priority Mail) must be sent to 9050 Junction Drive</w:t>
      </w:r>
      <w:r>
        <w:rPr>
          <w:szCs w:val="22"/>
        </w:rPr>
        <w:t xml:space="preserve">, </w:t>
      </w:r>
      <w:r w:rsidRPr="00F561B2">
        <w:rPr>
          <w:szCs w:val="22"/>
        </w:rPr>
        <w:t>Annapolis Junction, MD 20701.</w:t>
      </w:r>
    </w:p>
    <w:p w:rsidR="00BE62BD" w:rsidP="00632F67" w14:paraId="3889146E" w14:textId="77777777">
      <w:pPr>
        <w:widowControl/>
        <w:numPr>
          <w:ilvl w:val="0"/>
          <w:numId w:val="8"/>
        </w:numPr>
        <w:spacing w:after="120"/>
        <w:rPr>
          <w:szCs w:val="22"/>
        </w:rPr>
      </w:pPr>
      <w:r>
        <w:rPr>
          <w:szCs w:val="22"/>
        </w:rPr>
        <w:t>U.S. Postal Service first-class, Express, and Priority mail must be addressed to 45 L Street, NE, Washington, DC  20554.</w:t>
      </w:r>
    </w:p>
    <w:bookmarkEnd w:id="0"/>
    <w:p w:rsidR="00BE62BD" w:rsidRPr="00050D23" w:rsidP="00632F67" w14:paraId="3889146F" w14:textId="009724B9">
      <w:pPr>
        <w:widowControl/>
        <w:spacing w:after="120"/>
        <w:ind w:firstLine="720"/>
        <w:rPr>
          <w:szCs w:val="22"/>
        </w:rPr>
      </w:pPr>
      <w:r>
        <w:rPr>
          <w:color w:val="000000"/>
          <w:szCs w:val="22"/>
        </w:rPr>
        <w:t xml:space="preserve">We request that one copy of each pleading be delivered electronically, by email to:  </w:t>
      </w:r>
      <w:r w:rsidR="00CE59DB">
        <w:rPr>
          <w:szCs w:val="22"/>
        </w:rPr>
        <w:t>Justin McCuen</w:t>
      </w:r>
      <w:r>
        <w:rPr>
          <w:szCs w:val="22"/>
        </w:rPr>
        <w:t xml:space="preserve">, </w:t>
      </w:r>
      <w:hyperlink r:id="rId6" w:history="1">
        <w:r w:rsidRPr="007827FA" w:rsidR="00CE59DB">
          <w:rPr>
            <w:rStyle w:val="Hyperlink"/>
            <w:szCs w:val="22"/>
          </w:rPr>
          <w:t>Justin.McCuen@fcc.gov</w:t>
        </w:r>
      </w:hyperlink>
      <w:r>
        <w:rPr>
          <w:szCs w:val="22"/>
        </w:rPr>
        <w:t>.</w:t>
      </w:r>
      <w:r w:rsidR="00767012">
        <w:rPr>
          <w:szCs w:val="22"/>
        </w:rPr>
        <w:t xml:space="preserve"> </w:t>
      </w:r>
    </w:p>
    <w:p w:rsidR="00A55608" w:rsidRPr="00050D23" w:rsidP="00A55608" w14:paraId="38891470" w14:textId="315655D4">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CE59DB">
        <w:rPr>
          <w:szCs w:val="22"/>
        </w:rPr>
        <w:t>Justin McCuen</w:t>
      </w:r>
      <w:r>
        <w:rPr>
          <w:szCs w:val="22"/>
        </w:rPr>
        <w:t>, (202) 418-</w:t>
      </w:r>
      <w:r w:rsidR="002D06AA">
        <w:rPr>
          <w:szCs w:val="22"/>
        </w:rPr>
        <w:t>0916</w:t>
      </w:r>
      <w:r>
        <w:rPr>
          <w:szCs w:val="22"/>
        </w:rPr>
        <w:t xml:space="preserve"> or </w:t>
      </w:r>
      <w:hyperlink r:id="rId6" w:history="1">
        <w:r w:rsidRPr="007827FA" w:rsidR="002D06AA">
          <w:rPr>
            <w:rStyle w:val="Hyperlink"/>
            <w:szCs w:val="22"/>
          </w:rPr>
          <w:t>Justin.McCuen@fcc.gov</w:t>
        </w:r>
      </w:hyperlink>
      <w:r w:rsidR="002D06AA">
        <w:rPr>
          <w:szCs w:val="22"/>
        </w:rPr>
        <w:t>.</w:t>
      </w:r>
      <w:r>
        <w:rPr>
          <w:szCs w:val="22"/>
        </w:rPr>
        <w:t xml:space="preserve">  </w:t>
      </w:r>
      <w:r>
        <w:t xml:space="preserve">Copies of materials can be obtained from the FCC’s Reference Information Center at (202) 418-0270.  </w:t>
      </w:r>
      <w:r w:rsidRPr="00DC28EA">
        <w:rPr>
          <w:szCs w:val="22"/>
        </w:rPr>
        <w:t xml:space="preserve">Press contact:  </w:t>
      </w:r>
      <w:r>
        <w:t xml:space="preserve">Cecilia Sulhoff at (202) 418-0587 or </w:t>
      </w:r>
      <w:hyperlink r:id="rId7" w:history="1">
        <w:r w:rsidRPr="00B53327">
          <w:rPr>
            <w:rStyle w:val="Hyperlink"/>
          </w:rPr>
          <w:t>Cecilia.Sulhoff@fcc.gov</w:t>
        </w:r>
      </w:hyperlink>
      <w:r>
        <w:t xml:space="preserve">. </w:t>
      </w:r>
    </w:p>
    <w:p w:rsidR="00930ECF" w:rsidRPr="00930ECF" w:rsidP="009F1F26" w14:paraId="38891473" w14:textId="3D98D762">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8914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8914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88914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88914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399" w14:paraId="55A83CB0" w14:textId="77777777">
      <w:r>
        <w:separator/>
      </w:r>
    </w:p>
  </w:footnote>
  <w:footnote w:type="continuationSeparator" w:id="1">
    <w:p w:rsidR="00412399" w14:paraId="05040C4E" w14:textId="77777777">
      <w:pPr>
        <w:rPr>
          <w:sz w:val="20"/>
        </w:rPr>
      </w:pPr>
      <w:r>
        <w:rPr>
          <w:sz w:val="20"/>
        </w:rPr>
        <w:t xml:space="preserve">(Continued from previous page)  </w:t>
      </w:r>
      <w:r>
        <w:rPr>
          <w:sz w:val="20"/>
        </w:rPr>
        <w:separator/>
      </w:r>
    </w:p>
  </w:footnote>
  <w:footnote w:type="continuationNotice" w:id="2">
    <w:p w:rsidR="00412399" w:rsidP="00910F12" w14:paraId="718FCE12" w14:textId="77777777">
      <w:pPr>
        <w:jc w:val="right"/>
        <w:rPr>
          <w:sz w:val="20"/>
        </w:rPr>
      </w:pPr>
      <w:r>
        <w:rPr>
          <w:sz w:val="20"/>
        </w:rPr>
        <w:t>(continued….)</w:t>
      </w:r>
    </w:p>
  </w:footnote>
  <w:footnote w:id="3">
    <w:p w:rsidR="00071E99" w:rsidRPr="00D2254D" w14:paraId="3889148B" w14:textId="5AF4E460">
      <w:pPr>
        <w:pStyle w:val="FootnoteText"/>
      </w:pPr>
      <w:r w:rsidRPr="0072052F">
        <w:rPr>
          <w:rStyle w:val="FootnoteReference"/>
          <w:sz w:val="20"/>
        </w:rPr>
        <w:footnoteRef/>
      </w:r>
      <w:r>
        <w:t xml:space="preserve"> </w:t>
      </w:r>
      <w:r>
        <w:rPr>
          <w:i/>
          <w:iCs/>
        </w:rPr>
        <w:t xml:space="preserve">Auction of </w:t>
      </w:r>
      <w:r w:rsidR="00975A14">
        <w:rPr>
          <w:i/>
          <w:iCs/>
        </w:rPr>
        <w:t>Flexible-Use Service Licenses in the 3.7-3.98 GHz</w:t>
      </w:r>
      <w:r>
        <w:rPr>
          <w:i/>
          <w:iCs/>
        </w:rPr>
        <w:t xml:space="preserve"> Band Closes</w:t>
      </w:r>
      <w:r>
        <w:t xml:space="preserve">, AU Docket No. </w:t>
      </w:r>
      <w:r w:rsidR="000B0D64">
        <w:t>20</w:t>
      </w:r>
      <w:r>
        <w:t>-2</w:t>
      </w:r>
      <w:r w:rsidR="000B0D64">
        <w:t>5</w:t>
      </w:r>
      <w:r>
        <w:t xml:space="preserve">, Public Notice, </w:t>
      </w:r>
      <w:r w:rsidR="000B0D64">
        <w:t>DA 21-207</w:t>
      </w:r>
      <w:r>
        <w:t xml:space="preserve"> (</w:t>
      </w:r>
      <w:r w:rsidR="00D2254D">
        <w:t xml:space="preserve">OEA &amp; WTB </w:t>
      </w:r>
      <w:r w:rsidR="0058265C">
        <w:t xml:space="preserve">Feb. 24, </w:t>
      </w:r>
      <w:r>
        <w:t>202</w:t>
      </w:r>
      <w:r w:rsidR="006217A3">
        <w:t>1</w:t>
      </w:r>
      <w:r>
        <w:t>)</w:t>
      </w:r>
      <w:r w:rsidR="00D2254D">
        <w:t>.</w:t>
      </w:r>
    </w:p>
  </w:footnote>
  <w:footnote w:id="4">
    <w:p w:rsidR="008B4624" w14:paraId="3889148D"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5">
    <w:p w:rsidR="002633F0" w:rsidRPr="002633F0" w14:paraId="66670E6C" w14:textId="23C289C4">
      <w:pPr>
        <w:pStyle w:val="FootnoteText"/>
      </w:pPr>
      <w:r>
        <w:rPr>
          <w:rStyle w:val="FootnoteReference"/>
        </w:rPr>
        <w:footnoteRef/>
      </w:r>
      <w:r>
        <w:t xml:space="preserve"> </w:t>
      </w:r>
      <w:r>
        <w:rPr>
          <w:i/>
          <w:iCs/>
        </w:rPr>
        <w:t>Expanding Flexible Use of the 3.7-4.2 GHz Band</w:t>
      </w:r>
      <w:r>
        <w:t>, GN Docket No. 18-122, Report and Order and Order of Proposed Modification, 35 FCC Rcd 2343, 2</w:t>
      </w:r>
      <w:r w:rsidR="00F16ACF">
        <w:t>415</w:t>
      </w:r>
      <w:r>
        <w:t xml:space="preserve">, para. </w:t>
      </w:r>
      <w:r w:rsidR="00CE3324">
        <w:t>178</w:t>
      </w:r>
      <w:r>
        <w:t xml:space="preserve"> (2020) (</w:t>
      </w:r>
      <w:r w:rsidRPr="00567551">
        <w:rPr>
          <w:i/>
          <w:iCs/>
        </w:rPr>
        <w:t>3.7 GHz Report and Order</w:t>
      </w:r>
      <w:r>
        <w:t>).</w:t>
      </w:r>
    </w:p>
  </w:footnote>
  <w:footnote w:id="6">
    <w:p w:rsidR="00D65779" w14:paraId="38891490"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7">
    <w:p w:rsidR="00D65779" w14:paraId="3889149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8">
    <w:p w:rsidR="00D65779" w14:paraId="38891492"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9">
    <w:p w:rsidR="00BE62BD" w:rsidP="00BE62BD" w14:paraId="38891493"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w:t>
      </w:r>
      <w:r>
        <w:rPr>
          <w:i/>
        </w:rPr>
        <w:t xml:space="preserve"> Implement Electronic Filing for Pleadings</w:t>
      </w:r>
      <w:r>
        <w:t xml:space="preserve">, </w:t>
      </w:r>
      <w:r>
        <w:rPr>
          <w:iCs/>
        </w:rPr>
        <w:t>Public Notice,</w:t>
      </w:r>
      <w:r>
        <w:rPr>
          <w:i/>
          <w:iCs/>
        </w:rPr>
        <w:t xml:space="preserve"> </w:t>
      </w:r>
      <w:r>
        <w:t xml:space="preserve">21 FCC Rcd 424 (WTB 2006).  </w:t>
      </w:r>
    </w:p>
  </w:footnote>
  <w:footnote w:id="10">
    <w:p w:rsidR="00BE62BD" w:rsidRPr="001132CE" w:rsidP="00BE62BD" w14:paraId="38891494" w14:textId="77777777">
      <w:pPr>
        <w:pStyle w:val="FootnoteText"/>
      </w:pPr>
      <w:r w:rsidRPr="008E0ADD">
        <w:rPr>
          <w:rStyle w:val="FootnoteReference"/>
          <w:sz w:val="20"/>
        </w:rPr>
        <w:footnoteRef/>
      </w:r>
      <w:r>
        <w:t xml:space="preserve"> </w:t>
      </w:r>
      <w:r w:rsidRPr="006E5F2B">
        <w:rPr>
          <w:i/>
          <w:iCs/>
        </w:rPr>
        <w:t>FCC Announces Closure of FCC Headquarters Open Window and Change in Hand-Delivery Filing</w:t>
      </w:r>
      <w:r>
        <w:t xml:space="preserve">, Public Notice, 35 FCC Rcd 2788 (OMD 2020). </w:t>
      </w:r>
      <w:r w:rsidR="001132CE">
        <w:t xml:space="preserve"> After COVID-19 restrictions are lifted, the new filing location for hand-carried filings will be 9050 Junction Drive, Annapolis Junction, MD  20701.  </w:t>
      </w:r>
      <w:r w:rsidR="001132CE">
        <w:rPr>
          <w:i/>
          <w:iCs/>
        </w:rPr>
        <w:t>See FCC Announces Closing of Filing Window at FCC Headquarters and Permanent Change in the Location and Hours for Receiving Hand-Carried Filings</w:t>
      </w:r>
      <w:r w:rsidR="001132CE">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891477" w14:textId="27CAFB57">
    <w:pPr>
      <w:tabs>
        <w:tab w:val="center" w:pos="4680"/>
        <w:tab w:val="right" w:pos="9360"/>
      </w:tabs>
    </w:pPr>
    <w:r w:rsidRPr="009838BC">
      <w:rPr>
        <w:b/>
      </w:rPr>
      <w:tab/>
      <w:t>Federal Communications Commission</w:t>
    </w:r>
    <w:r w:rsidRPr="009838BC">
      <w:rPr>
        <w:b/>
      </w:rPr>
      <w:tab/>
    </w:r>
    <w:r w:rsidR="00BE62BD">
      <w:rPr>
        <w:b/>
      </w:rPr>
      <w:t>DA 2</w:t>
    </w:r>
    <w:r w:rsidR="004073F1">
      <w:rPr>
        <w:b/>
      </w:rPr>
      <w:t>1</w:t>
    </w:r>
    <w:r w:rsidR="00BE62BD">
      <w:rPr>
        <w:b/>
      </w:rPr>
      <w:t>-</w:t>
    </w:r>
    <w:r w:rsidR="004073F1">
      <w:rPr>
        <w:b/>
      </w:rPr>
      <w:t>380</w:t>
    </w:r>
  </w:p>
  <w:p w:rsidR="009838BC" w:rsidRPr="009838BC" w:rsidP="009838BC" w14:paraId="3889147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88914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89147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8891495" w14:textId="77777777">
                    <w:pPr>
                      <w:rPr>
                        <w:rFonts w:ascii="Arial" w:hAnsi="Arial"/>
                        <w:b/>
                      </w:rPr>
                    </w:pPr>
                    <w:r>
                      <w:rPr>
                        <w:rFonts w:ascii="Arial" w:hAnsi="Arial"/>
                        <w:b/>
                      </w:rPr>
                      <w:t>Federal Communications Commission</w:t>
                    </w:r>
                  </w:p>
                  <w:p w:rsidR="009838BC" w:rsidP="009838BC" w14:paraId="38891496" w14:textId="77777777">
                    <w:pPr>
                      <w:rPr>
                        <w:rFonts w:ascii="Arial" w:hAnsi="Arial"/>
                        <w:b/>
                      </w:rPr>
                    </w:pPr>
                    <w:r>
                      <w:rPr>
                        <w:rFonts w:ascii="Arial" w:hAnsi="Arial"/>
                        <w:b/>
                      </w:rPr>
                      <w:t>4</w:t>
                    </w:r>
                    <w:r w:rsidR="00071E99">
                      <w:rPr>
                        <w:rFonts w:ascii="Arial" w:hAnsi="Arial"/>
                        <w:b/>
                      </w:rPr>
                      <w:t>5 L Street, NE</w:t>
                    </w:r>
                  </w:p>
                  <w:p w:rsidR="009838BC" w:rsidP="009838BC" w14:paraId="3889149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57735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889147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8891498" w14:textId="77777777">
                    <w:pPr>
                      <w:spacing w:before="40"/>
                      <w:jc w:val="right"/>
                      <w:rPr>
                        <w:rFonts w:ascii="Arial" w:hAnsi="Arial"/>
                        <w:b/>
                        <w:sz w:val="16"/>
                      </w:rPr>
                    </w:pPr>
                    <w:r>
                      <w:rPr>
                        <w:rFonts w:ascii="Arial" w:hAnsi="Arial"/>
                        <w:b/>
                        <w:sz w:val="16"/>
                      </w:rPr>
                      <w:t>News Media Information 202 / 418-0500</w:t>
                    </w:r>
                  </w:p>
                  <w:p w:rsidR="009838BC" w:rsidP="009838BC" w14:paraId="3889149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889149A" w14:textId="77777777">
                    <w:pPr>
                      <w:jc w:val="right"/>
                    </w:pPr>
                    <w:r>
                      <w:rPr>
                        <w:rFonts w:ascii="Arial" w:hAnsi="Arial"/>
                        <w:b/>
                        <w:sz w:val="16"/>
                      </w:rPr>
                      <w:t>TTY: 1-888-835-5322</w:t>
                    </w:r>
                  </w:p>
                </w:txbxContent>
              </v:textbox>
            </v:shape>
          </w:pict>
        </mc:Fallback>
      </mc:AlternateContent>
    </w:r>
  </w:p>
  <w:p w:rsidR="006F7393" w:rsidRPr="009838BC" w:rsidP="009838BC" w14:paraId="388914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350C0"/>
    <w:rsid w:val="00036039"/>
    <w:rsid w:val="00037F90"/>
    <w:rsid w:val="000436BE"/>
    <w:rsid w:val="00045E8C"/>
    <w:rsid w:val="00050D23"/>
    <w:rsid w:val="000538EC"/>
    <w:rsid w:val="00056C58"/>
    <w:rsid w:val="0006789D"/>
    <w:rsid w:val="00071444"/>
    <w:rsid w:val="00071E99"/>
    <w:rsid w:val="000875BF"/>
    <w:rsid w:val="00095EC2"/>
    <w:rsid w:val="00096D8C"/>
    <w:rsid w:val="000A02B7"/>
    <w:rsid w:val="000A619F"/>
    <w:rsid w:val="000B0D64"/>
    <w:rsid w:val="000C0B65"/>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56940"/>
    <w:rsid w:val="00167268"/>
    <w:rsid w:val="00175570"/>
    <w:rsid w:val="001979D9"/>
    <w:rsid w:val="001A2764"/>
    <w:rsid w:val="001A36C5"/>
    <w:rsid w:val="001A78BC"/>
    <w:rsid w:val="001B0968"/>
    <w:rsid w:val="001C0F9C"/>
    <w:rsid w:val="001C3D77"/>
    <w:rsid w:val="001D3D5D"/>
    <w:rsid w:val="001D6BCF"/>
    <w:rsid w:val="001E01CA"/>
    <w:rsid w:val="001F6FF4"/>
    <w:rsid w:val="00201605"/>
    <w:rsid w:val="0020260D"/>
    <w:rsid w:val="002060D9"/>
    <w:rsid w:val="00211871"/>
    <w:rsid w:val="00220433"/>
    <w:rsid w:val="00222670"/>
    <w:rsid w:val="00226822"/>
    <w:rsid w:val="00245D0F"/>
    <w:rsid w:val="00260594"/>
    <w:rsid w:val="00260D5A"/>
    <w:rsid w:val="002633F0"/>
    <w:rsid w:val="00273B68"/>
    <w:rsid w:val="002744EE"/>
    <w:rsid w:val="00281279"/>
    <w:rsid w:val="00285017"/>
    <w:rsid w:val="00285287"/>
    <w:rsid w:val="002923A2"/>
    <w:rsid w:val="002A2D2E"/>
    <w:rsid w:val="002C37DA"/>
    <w:rsid w:val="002C430E"/>
    <w:rsid w:val="002D06AA"/>
    <w:rsid w:val="002E232A"/>
    <w:rsid w:val="002F2755"/>
    <w:rsid w:val="002F6268"/>
    <w:rsid w:val="0030071B"/>
    <w:rsid w:val="00315EB5"/>
    <w:rsid w:val="00316C42"/>
    <w:rsid w:val="00327B23"/>
    <w:rsid w:val="00343749"/>
    <w:rsid w:val="00357D50"/>
    <w:rsid w:val="00357EF4"/>
    <w:rsid w:val="00371C05"/>
    <w:rsid w:val="00380824"/>
    <w:rsid w:val="00382D6C"/>
    <w:rsid w:val="00385E6D"/>
    <w:rsid w:val="003925DC"/>
    <w:rsid w:val="003B0550"/>
    <w:rsid w:val="003B694F"/>
    <w:rsid w:val="003C5A5A"/>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A00"/>
    <w:rsid w:val="00451B0F"/>
    <w:rsid w:val="0046125F"/>
    <w:rsid w:val="004744B4"/>
    <w:rsid w:val="00476C7D"/>
    <w:rsid w:val="00477060"/>
    <w:rsid w:val="00487524"/>
    <w:rsid w:val="00493603"/>
    <w:rsid w:val="00496106"/>
    <w:rsid w:val="004A6B86"/>
    <w:rsid w:val="004C11F8"/>
    <w:rsid w:val="004C12D0"/>
    <w:rsid w:val="004C261D"/>
    <w:rsid w:val="004C2EE3"/>
    <w:rsid w:val="004D1439"/>
    <w:rsid w:val="004D1CDB"/>
    <w:rsid w:val="004E4A22"/>
    <w:rsid w:val="004E529B"/>
    <w:rsid w:val="004F4435"/>
    <w:rsid w:val="005054B8"/>
    <w:rsid w:val="00507231"/>
    <w:rsid w:val="00511968"/>
    <w:rsid w:val="00512E48"/>
    <w:rsid w:val="00517A54"/>
    <w:rsid w:val="005238C5"/>
    <w:rsid w:val="005468F3"/>
    <w:rsid w:val="00551E70"/>
    <w:rsid w:val="0055614C"/>
    <w:rsid w:val="00565FE2"/>
    <w:rsid w:val="00567551"/>
    <w:rsid w:val="0058265C"/>
    <w:rsid w:val="00591A50"/>
    <w:rsid w:val="005A1B35"/>
    <w:rsid w:val="005A624B"/>
    <w:rsid w:val="005B2AAD"/>
    <w:rsid w:val="005E5007"/>
    <w:rsid w:val="005E7390"/>
    <w:rsid w:val="005F230D"/>
    <w:rsid w:val="0060385F"/>
    <w:rsid w:val="006054A6"/>
    <w:rsid w:val="00607BA5"/>
    <w:rsid w:val="006217A3"/>
    <w:rsid w:val="00626EB6"/>
    <w:rsid w:val="00627A16"/>
    <w:rsid w:val="00632F67"/>
    <w:rsid w:val="006353A3"/>
    <w:rsid w:val="00655D03"/>
    <w:rsid w:val="006617D1"/>
    <w:rsid w:val="0068229E"/>
    <w:rsid w:val="00683F84"/>
    <w:rsid w:val="00687B8A"/>
    <w:rsid w:val="006A6A81"/>
    <w:rsid w:val="006C52C3"/>
    <w:rsid w:val="006D1EF3"/>
    <w:rsid w:val="006D5738"/>
    <w:rsid w:val="006E26AF"/>
    <w:rsid w:val="006E5F2B"/>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652B"/>
    <w:rsid w:val="00760516"/>
    <w:rsid w:val="00767012"/>
    <w:rsid w:val="007827FA"/>
    <w:rsid w:val="00785689"/>
    <w:rsid w:val="0079754B"/>
    <w:rsid w:val="007A1E6D"/>
    <w:rsid w:val="007A51FB"/>
    <w:rsid w:val="007A6A2C"/>
    <w:rsid w:val="007B72A5"/>
    <w:rsid w:val="007C48E6"/>
    <w:rsid w:val="007D00AB"/>
    <w:rsid w:val="007D2386"/>
    <w:rsid w:val="007D38D6"/>
    <w:rsid w:val="007D6C73"/>
    <w:rsid w:val="007E703A"/>
    <w:rsid w:val="007E795C"/>
    <w:rsid w:val="007F5B40"/>
    <w:rsid w:val="00804725"/>
    <w:rsid w:val="00822CE0"/>
    <w:rsid w:val="008239D7"/>
    <w:rsid w:val="00833E78"/>
    <w:rsid w:val="00837C62"/>
    <w:rsid w:val="00841AB1"/>
    <w:rsid w:val="0084537F"/>
    <w:rsid w:val="00861346"/>
    <w:rsid w:val="008709D3"/>
    <w:rsid w:val="008734D4"/>
    <w:rsid w:val="0087577B"/>
    <w:rsid w:val="00882E99"/>
    <w:rsid w:val="00883B6B"/>
    <w:rsid w:val="00883FE7"/>
    <w:rsid w:val="00893791"/>
    <w:rsid w:val="0089709C"/>
    <w:rsid w:val="008970BE"/>
    <w:rsid w:val="00897A6D"/>
    <w:rsid w:val="008A0538"/>
    <w:rsid w:val="008A2325"/>
    <w:rsid w:val="008B15FD"/>
    <w:rsid w:val="008B4624"/>
    <w:rsid w:val="008B6365"/>
    <w:rsid w:val="008C22FD"/>
    <w:rsid w:val="008C369F"/>
    <w:rsid w:val="008C516A"/>
    <w:rsid w:val="008E0ADD"/>
    <w:rsid w:val="008E2433"/>
    <w:rsid w:val="008F0D21"/>
    <w:rsid w:val="00910F12"/>
    <w:rsid w:val="00915E74"/>
    <w:rsid w:val="0091726C"/>
    <w:rsid w:val="00923B1C"/>
    <w:rsid w:val="00926503"/>
    <w:rsid w:val="00930ECF"/>
    <w:rsid w:val="009368AF"/>
    <w:rsid w:val="00937C79"/>
    <w:rsid w:val="00942529"/>
    <w:rsid w:val="00954BAA"/>
    <w:rsid w:val="009756C7"/>
    <w:rsid w:val="00975A14"/>
    <w:rsid w:val="0098140C"/>
    <w:rsid w:val="0098381A"/>
    <w:rsid w:val="009838BC"/>
    <w:rsid w:val="009847AB"/>
    <w:rsid w:val="0099063A"/>
    <w:rsid w:val="009936DF"/>
    <w:rsid w:val="00996056"/>
    <w:rsid w:val="009B2A7A"/>
    <w:rsid w:val="009B47C2"/>
    <w:rsid w:val="009B5708"/>
    <w:rsid w:val="009D7CF7"/>
    <w:rsid w:val="009E0500"/>
    <w:rsid w:val="009E40BC"/>
    <w:rsid w:val="009F0AC5"/>
    <w:rsid w:val="009F170D"/>
    <w:rsid w:val="009F1F26"/>
    <w:rsid w:val="00A106DF"/>
    <w:rsid w:val="00A15417"/>
    <w:rsid w:val="00A2510D"/>
    <w:rsid w:val="00A27822"/>
    <w:rsid w:val="00A40907"/>
    <w:rsid w:val="00A44E0D"/>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53DF"/>
    <w:rsid w:val="00AC06B3"/>
    <w:rsid w:val="00AE41D0"/>
    <w:rsid w:val="00AF128A"/>
    <w:rsid w:val="00AF58B4"/>
    <w:rsid w:val="00AF6A84"/>
    <w:rsid w:val="00AF766E"/>
    <w:rsid w:val="00B0025D"/>
    <w:rsid w:val="00B07E5C"/>
    <w:rsid w:val="00B2006B"/>
    <w:rsid w:val="00B326E3"/>
    <w:rsid w:val="00B32733"/>
    <w:rsid w:val="00B4304C"/>
    <w:rsid w:val="00B45E8A"/>
    <w:rsid w:val="00B479DC"/>
    <w:rsid w:val="00B53327"/>
    <w:rsid w:val="00B62795"/>
    <w:rsid w:val="00B71A1E"/>
    <w:rsid w:val="00B811F7"/>
    <w:rsid w:val="00BA20FD"/>
    <w:rsid w:val="00BA2158"/>
    <w:rsid w:val="00BA5DC6"/>
    <w:rsid w:val="00BA6196"/>
    <w:rsid w:val="00BB7010"/>
    <w:rsid w:val="00BC37C4"/>
    <w:rsid w:val="00BC3FC8"/>
    <w:rsid w:val="00BC6D8C"/>
    <w:rsid w:val="00BE62BD"/>
    <w:rsid w:val="00BF6E4C"/>
    <w:rsid w:val="00C00673"/>
    <w:rsid w:val="00C16AF2"/>
    <w:rsid w:val="00C20653"/>
    <w:rsid w:val="00C34006"/>
    <w:rsid w:val="00C356BB"/>
    <w:rsid w:val="00C3586B"/>
    <w:rsid w:val="00C41125"/>
    <w:rsid w:val="00C426B1"/>
    <w:rsid w:val="00C504C2"/>
    <w:rsid w:val="00C55642"/>
    <w:rsid w:val="00C567DF"/>
    <w:rsid w:val="00C74060"/>
    <w:rsid w:val="00C74779"/>
    <w:rsid w:val="00C76CD2"/>
    <w:rsid w:val="00C82B6B"/>
    <w:rsid w:val="00C8346D"/>
    <w:rsid w:val="00C85B6C"/>
    <w:rsid w:val="00C90D6A"/>
    <w:rsid w:val="00C9574C"/>
    <w:rsid w:val="00CC1DF3"/>
    <w:rsid w:val="00CC72B6"/>
    <w:rsid w:val="00CD35D9"/>
    <w:rsid w:val="00CE3324"/>
    <w:rsid w:val="00CE59DB"/>
    <w:rsid w:val="00CF41AA"/>
    <w:rsid w:val="00CF5C78"/>
    <w:rsid w:val="00D002A7"/>
    <w:rsid w:val="00D0218D"/>
    <w:rsid w:val="00D02BFA"/>
    <w:rsid w:val="00D050FA"/>
    <w:rsid w:val="00D216CD"/>
    <w:rsid w:val="00D2254D"/>
    <w:rsid w:val="00D235BF"/>
    <w:rsid w:val="00D242D6"/>
    <w:rsid w:val="00D41ADF"/>
    <w:rsid w:val="00D52694"/>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D3A82"/>
    <w:rsid w:val="00DD7EBD"/>
    <w:rsid w:val="00DE0CBA"/>
    <w:rsid w:val="00DF49B1"/>
    <w:rsid w:val="00DF51BF"/>
    <w:rsid w:val="00DF5CC7"/>
    <w:rsid w:val="00DF62B6"/>
    <w:rsid w:val="00DF7470"/>
    <w:rsid w:val="00E00E74"/>
    <w:rsid w:val="00E07225"/>
    <w:rsid w:val="00E102F0"/>
    <w:rsid w:val="00E155B7"/>
    <w:rsid w:val="00E33D41"/>
    <w:rsid w:val="00E5409F"/>
    <w:rsid w:val="00E56F40"/>
    <w:rsid w:val="00E7346C"/>
    <w:rsid w:val="00E85D9E"/>
    <w:rsid w:val="00E92D09"/>
    <w:rsid w:val="00E92D7B"/>
    <w:rsid w:val="00E97748"/>
    <w:rsid w:val="00EA2AD5"/>
    <w:rsid w:val="00EB661C"/>
    <w:rsid w:val="00EC0185"/>
    <w:rsid w:val="00EC5FC6"/>
    <w:rsid w:val="00EC780A"/>
    <w:rsid w:val="00F021FA"/>
    <w:rsid w:val="00F04731"/>
    <w:rsid w:val="00F13781"/>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87962"/>
    <w:rsid w:val="00F87DA3"/>
    <w:rsid w:val="00F93BF5"/>
    <w:rsid w:val="00F96F63"/>
    <w:rsid w:val="00FC304E"/>
    <w:rsid w:val="00FC326A"/>
    <w:rsid w:val="00FC3ADF"/>
    <w:rsid w:val="00FC406F"/>
    <w:rsid w:val="00FC5027"/>
    <w:rsid w:val="00FD7D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
    <w:name w:val="Unresolved Mention"/>
    <w:basedOn w:val="DefaultParagraphFont"/>
    <w:uiPriority w:val="99"/>
    <w:rsid w:val="008B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Justin.McCuen@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