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273E3" w:rsidRPr="00A45E90" w:rsidP="00BC4F98" w14:paraId="7B29A8C9" w14:textId="77777777">
      <w:pPr>
        <w:pStyle w:val="StyleBoldCentered"/>
      </w:pPr>
      <w:r w:rsidRPr="00BC4F98">
        <w:rPr>
          <w:rFonts w:ascii="Times New Roman" w:hAnsi="Times New Roman"/>
          <w:caps w:val="0"/>
        </w:rPr>
        <w:t>Before the</w:t>
      </w:r>
    </w:p>
    <w:p w:rsidR="00E273E3" w:rsidRPr="008E20C2" w:rsidP="002659F3" w14:paraId="083D2A5F" w14:textId="77777777">
      <w:pPr>
        <w:pStyle w:val="StyleBoldCentered"/>
        <w:rPr>
          <w:rFonts w:ascii="Times New Roman" w:hAnsi="Times New Roman"/>
        </w:rPr>
      </w:pPr>
      <w:r w:rsidRPr="008E20C2">
        <w:rPr>
          <w:rFonts w:ascii="Times New Roman" w:hAnsi="Times New Roman"/>
        </w:rPr>
        <w:t>F</w:t>
      </w:r>
      <w:r w:rsidRPr="008E20C2">
        <w:rPr>
          <w:rFonts w:ascii="Times New Roman" w:hAnsi="Times New Roman"/>
          <w:caps w:val="0"/>
        </w:rPr>
        <w:t>ederal Communications Commission</w:t>
      </w:r>
    </w:p>
    <w:p w:rsidR="00E273E3" w:rsidRPr="008E20C2" w:rsidP="002659F3" w14:paraId="2D8F4206" w14:textId="77777777">
      <w:pPr>
        <w:pStyle w:val="StyleBoldCentered"/>
        <w:rPr>
          <w:rFonts w:ascii="Times New Roman" w:hAnsi="Times New Roman"/>
        </w:rPr>
      </w:pPr>
      <w:r w:rsidRPr="008E20C2">
        <w:rPr>
          <w:rFonts w:ascii="Times New Roman" w:hAnsi="Times New Roman"/>
          <w:caps w:val="0"/>
        </w:rPr>
        <w:t>Washington</w:t>
      </w:r>
      <w:r w:rsidRPr="008E20C2">
        <w:rPr>
          <w:rFonts w:ascii="Times New Roman" w:hAnsi="Times New Roman"/>
        </w:rPr>
        <w:t>, DC 20554</w:t>
      </w:r>
    </w:p>
    <w:p w:rsidR="00E273E3" w:rsidRPr="008E20C2" w:rsidP="002659F3" w14:paraId="6BE4ACE7" w14:textId="77777777"/>
    <w:tbl>
      <w:tblPr>
        <w:tblW w:w="0" w:type="auto"/>
        <w:tblLayout w:type="fixed"/>
        <w:tblLook w:val="0000"/>
      </w:tblPr>
      <w:tblGrid>
        <w:gridCol w:w="4698"/>
        <w:gridCol w:w="630"/>
        <w:gridCol w:w="4248"/>
      </w:tblGrid>
      <w:tr w14:paraId="6B084147" w14:textId="77777777">
        <w:tblPrEx>
          <w:tblW w:w="0" w:type="auto"/>
          <w:tblLayout w:type="fixed"/>
          <w:tblLook w:val="0000"/>
        </w:tblPrEx>
        <w:tc>
          <w:tcPr>
            <w:tcW w:w="4698" w:type="dxa"/>
          </w:tcPr>
          <w:p w:rsidR="00E273E3" w:rsidRPr="008E20C2" w:rsidP="002659F3" w14:paraId="3ECA1A1F" w14:textId="77777777">
            <w:pPr>
              <w:suppressAutoHyphens/>
              <w:rPr>
                <w:spacing w:val="-2"/>
              </w:rPr>
            </w:pPr>
            <w:r w:rsidRPr="008E20C2">
              <w:rPr>
                <w:spacing w:val="-2"/>
              </w:rPr>
              <w:t>In the Matter of</w:t>
            </w:r>
          </w:p>
          <w:p w:rsidR="00E273E3" w:rsidRPr="008E20C2" w:rsidP="002659F3" w14:paraId="6A58E902" w14:textId="77777777">
            <w:pPr>
              <w:suppressAutoHyphens/>
              <w:rPr>
                <w:spacing w:val="-2"/>
              </w:rPr>
            </w:pPr>
          </w:p>
          <w:p w:rsidR="00932902" w:rsidRPr="00932902" w:rsidP="00932902" w14:paraId="69BE8B5E" w14:textId="77777777">
            <w:pPr>
              <w:suppressAutoHyphens/>
              <w:rPr>
                <w:spacing w:val="-2"/>
              </w:rPr>
            </w:pPr>
            <w:r w:rsidRPr="00932902">
              <w:rPr>
                <w:spacing w:val="-2"/>
              </w:rPr>
              <w:t>Amendment of Section 1.80 of the Commission’s Rules</w:t>
            </w:r>
          </w:p>
          <w:p w:rsidR="00932902" w:rsidRPr="00932902" w:rsidP="00932902" w14:paraId="4DF57A3A" w14:textId="77777777">
            <w:pPr>
              <w:suppressAutoHyphens/>
              <w:rPr>
                <w:spacing w:val="-2"/>
              </w:rPr>
            </w:pPr>
          </w:p>
          <w:p w:rsidR="00932902" w:rsidRPr="00932902" w:rsidP="00932902" w14:paraId="5D5EDE2F" w14:textId="77777777">
            <w:pPr>
              <w:suppressAutoHyphens/>
              <w:rPr>
                <w:spacing w:val="-2"/>
              </w:rPr>
            </w:pPr>
            <w:r w:rsidRPr="00932902">
              <w:rPr>
                <w:spacing w:val="-2"/>
              </w:rPr>
              <w:t xml:space="preserve">Implementing Section 2 of the Preventing Illegal Radio Abuse Through Enforcement Act </w:t>
            </w:r>
          </w:p>
          <w:p w:rsidR="00E273E3" w:rsidRPr="008E20C2" w:rsidP="00932902" w14:paraId="7F907211" w14:textId="1B7E861F">
            <w:pPr>
              <w:suppressAutoHyphens/>
              <w:rPr>
                <w:spacing w:val="-2"/>
              </w:rPr>
            </w:pPr>
            <w:r w:rsidRPr="00932902">
              <w:rPr>
                <w:spacing w:val="-2"/>
              </w:rPr>
              <w:t>(PIRATE Act)</w:t>
            </w:r>
            <w:r w:rsidRPr="008E20C2" w:rsidR="0019601B">
              <w:rPr>
                <w:spacing w:val="-2"/>
              </w:rPr>
              <w:t xml:space="preserve"> </w:t>
            </w:r>
          </w:p>
        </w:tc>
        <w:tc>
          <w:tcPr>
            <w:tcW w:w="630" w:type="dxa"/>
          </w:tcPr>
          <w:p w:rsidR="00E273E3" w:rsidRPr="008E20C2" w:rsidP="002659F3" w14:paraId="6374F34E" w14:textId="77777777">
            <w:pPr>
              <w:suppressAutoHyphens/>
              <w:rPr>
                <w:spacing w:val="-2"/>
              </w:rPr>
            </w:pPr>
            <w:r w:rsidRPr="008E20C2">
              <w:rPr>
                <w:spacing w:val="-2"/>
              </w:rPr>
              <w:t>)</w:t>
            </w:r>
          </w:p>
          <w:p w:rsidR="00E273E3" w:rsidRPr="008E20C2" w:rsidP="002659F3" w14:paraId="18A6DE5D" w14:textId="77777777">
            <w:pPr>
              <w:suppressAutoHyphens/>
              <w:rPr>
                <w:spacing w:val="-2"/>
              </w:rPr>
            </w:pPr>
            <w:r w:rsidRPr="008E20C2">
              <w:rPr>
                <w:spacing w:val="-2"/>
              </w:rPr>
              <w:t>)</w:t>
            </w:r>
          </w:p>
          <w:p w:rsidR="00E273E3" w:rsidRPr="008E20C2" w:rsidP="002659F3" w14:paraId="54AD6642" w14:textId="77777777">
            <w:pPr>
              <w:suppressAutoHyphens/>
              <w:rPr>
                <w:spacing w:val="-2"/>
              </w:rPr>
            </w:pPr>
            <w:r w:rsidRPr="008E20C2">
              <w:rPr>
                <w:spacing w:val="-2"/>
              </w:rPr>
              <w:t>)</w:t>
            </w:r>
          </w:p>
          <w:p w:rsidR="00E273E3" w:rsidRPr="008E20C2" w:rsidP="002659F3" w14:paraId="1B38CEF7" w14:textId="77777777">
            <w:pPr>
              <w:suppressAutoHyphens/>
              <w:rPr>
                <w:spacing w:val="-2"/>
              </w:rPr>
            </w:pPr>
            <w:r w:rsidRPr="008E20C2">
              <w:rPr>
                <w:spacing w:val="-2"/>
              </w:rPr>
              <w:t>)</w:t>
            </w:r>
          </w:p>
          <w:p w:rsidR="00E273E3" w:rsidRPr="008E20C2" w:rsidP="002659F3" w14:paraId="6D689D2A" w14:textId="77777777">
            <w:pPr>
              <w:suppressAutoHyphens/>
              <w:rPr>
                <w:spacing w:val="-2"/>
              </w:rPr>
            </w:pPr>
            <w:r w:rsidRPr="008E20C2">
              <w:rPr>
                <w:spacing w:val="-2"/>
              </w:rPr>
              <w:t>)</w:t>
            </w:r>
          </w:p>
          <w:p w:rsidR="00CF6719" w:rsidRPr="008E20C2" w:rsidP="002659F3" w14:paraId="61624061" w14:textId="77777777">
            <w:pPr>
              <w:suppressAutoHyphens/>
              <w:rPr>
                <w:spacing w:val="-2"/>
              </w:rPr>
            </w:pPr>
            <w:r w:rsidRPr="008E20C2">
              <w:rPr>
                <w:spacing w:val="-2"/>
              </w:rPr>
              <w:t>)</w:t>
            </w:r>
          </w:p>
          <w:p w:rsidR="00CF6719" w:rsidRPr="008E20C2" w:rsidP="002659F3" w14:paraId="114CA747" w14:textId="77777777">
            <w:pPr>
              <w:suppressAutoHyphens/>
              <w:rPr>
                <w:spacing w:val="-2"/>
              </w:rPr>
            </w:pPr>
            <w:r w:rsidRPr="008E20C2">
              <w:rPr>
                <w:spacing w:val="-2"/>
              </w:rPr>
              <w:t>)</w:t>
            </w:r>
          </w:p>
          <w:p w:rsidR="00CF6719" w:rsidRPr="008E20C2" w:rsidP="002659F3" w14:paraId="44BA00B2" w14:textId="77777777">
            <w:pPr>
              <w:suppressAutoHyphens/>
              <w:rPr>
                <w:spacing w:val="-2"/>
              </w:rPr>
            </w:pPr>
          </w:p>
        </w:tc>
        <w:tc>
          <w:tcPr>
            <w:tcW w:w="4248" w:type="dxa"/>
          </w:tcPr>
          <w:p w:rsidR="00E273E3" w:rsidRPr="008E20C2" w:rsidP="002659F3" w14:paraId="2EB98575" w14:textId="77777777">
            <w:pPr>
              <w:suppressAutoHyphens/>
              <w:rPr>
                <w:spacing w:val="-2"/>
              </w:rPr>
            </w:pPr>
          </w:p>
          <w:p w:rsidR="00E273E3" w:rsidRPr="008E20C2" w:rsidP="002659F3" w14:paraId="1E419659" w14:textId="77777777">
            <w:pPr>
              <w:suppressAutoHyphens/>
              <w:rPr>
                <w:spacing w:val="-2"/>
              </w:rPr>
            </w:pPr>
          </w:p>
          <w:p w:rsidR="00E273E3" w:rsidRPr="00140C6A" w:rsidP="00CF6719" w14:paraId="55319AB0" w14:textId="1ADF4C66">
            <w:pPr>
              <w:suppressAutoHyphens/>
              <w:ind w:left="432"/>
              <w:rPr>
                <w:b/>
                <w:bCs/>
                <w:spacing w:val="-2"/>
              </w:rPr>
            </w:pPr>
          </w:p>
        </w:tc>
      </w:tr>
    </w:tbl>
    <w:p w:rsidR="00E273E3" w:rsidRPr="008E20C2" w:rsidP="002659F3" w14:paraId="36BD3DD9" w14:textId="77777777"/>
    <w:p w:rsidR="00E273E3" w:rsidRPr="008E20C2" w:rsidP="002659F3" w14:paraId="14FA8DD1" w14:textId="77777777">
      <w:pPr>
        <w:pStyle w:val="StyleBoldCentered"/>
        <w:spacing w:after="220"/>
        <w:rPr>
          <w:rFonts w:ascii="Times New Roman" w:hAnsi="Times New Roman"/>
        </w:rPr>
      </w:pPr>
      <w:r>
        <w:rPr>
          <w:rFonts w:ascii="Times New Roman" w:hAnsi="Times New Roman"/>
        </w:rPr>
        <w:t>ERRATUM</w:t>
      </w:r>
    </w:p>
    <w:p w:rsidR="00E273E3" w:rsidRPr="008E20C2" w:rsidP="004418BA" w14:paraId="6B1F588D" w14:textId="3DF4571D">
      <w:pPr>
        <w:suppressAutoHyphens/>
        <w:jc w:val="right"/>
        <w:rPr>
          <w:spacing w:val="-2"/>
        </w:rPr>
      </w:pPr>
      <w:r w:rsidRPr="00082931">
        <w:rPr>
          <w:b/>
          <w:spacing w:val="-2"/>
        </w:rPr>
        <w:t xml:space="preserve">Released:  </w:t>
      </w:r>
      <w:r w:rsidR="0070139C">
        <w:rPr>
          <w:b/>
          <w:spacing w:val="-2"/>
        </w:rPr>
        <w:t>April 2</w:t>
      </w:r>
      <w:r w:rsidRPr="00082931" w:rsidR="004A60E8">
        <w:rPr>
          <w:b/>
          <w:spacing w:val="-2"/>
        </w:rPr>
        <w:t>,</w:t>
      </w:r>
      <w:r w:rsidR="004A60E8">
        <w:rPr>
          <w:b/>
          <w:spacing w:val="-2"/>
        </w:rPr>
        <w:t xml:space="preserve"> 20</w:t>
      </w:r>
      <w:r w:rsidR="006B683C">
        <w:rPr>
          <w:b/>
          <w:spacing w:val="-2"/>
        </w:rPr>
        <w:t>2</w:t>
      </w:r>
      <w:r w:rsidR="00140C6A">
        <w:rPr>
          <w:b/>
          <w:spacing w:val="-2"/>
        </w:rPr>
        <w:t>1</w:t>
      </w:r>
    </w:p>
    <w:p w:rsidR="00E273E3" w:rsidRPr="008E20C2" w:rsidP="004418BA" w14:paraId="2C94F9F5" w14:textId="31BCFBF4"/>
    <w:p w:rsidR="00E273E3" w:rsidRPr="008E20C2" w:rsidP="002659F3" w14:paraId="6A45F2A9" w14:textId="4E8FE126">
      <w:pPr>
        <w:rPr>
          <w:spacing w:val="-2"/>
        </w:rPr>
      </w:pPr>
      <w:r w:rsidRPr="008E20C2">
        <w:t>By the</w:t>
      </w:r>
      <w:r w:rsidR="00D50A21">
        <w:t xml:space="preserve"> </w:t>
      </w:r>
      <w:r w:rsidRPr="00D50A21">
        <w:t>Chief</w:t>
      </w:r>
      <w:r w:rsidRPr="008E20C2">
        <w:t>, Enforcement Bureau</w:t>
      </w:r>
      <w:r w:rsidR="00502A74">
        <w:t>,</w:t>
      </w:r>
      <w:r w:rsidR="0060171A">
        <w:t xml:space="preserve"> and </w:t>
      </w:r>
      <w:r w:rsidR="00502A74">
        <w:t xml:space="preserve">the </w:t>
      </w:r>
      <w:r w:rsidR="0060171A">
        <w:t>Managing Director</w:t>
      </w:r>
      <w:r w:rsidRPr="008E20C2">
        <w:rPr>
          <w:spacing w:val="-2"/>
        </w:rPr>
        <w:t>:</w:t>
      </w:r>
    </w:p>
    <w:p w:rsidR="00E273E3" w:rsidRPr="008E20C2" w:rsidP="004418BA" w14:paraId="187B2240" w14:textId="3A1A8D91">
      <w:pPr>
        <w:rPr>
          <w:spacing w:val="-2"/>
        </w:rPr>
      </w:pPr>
    </w:p>
    <w:p w:rsidR="00140C6A" w:rsidP="00BD7761" w14:paraId="0EBFA797" w14:textId="64FE6AF0">
      <w:pPr>
        <w:pStyle w:val="ParaNum"/>
        <w:numPr>
          <w:ilvl w:val="0"/>
          <w:numId w:val="0"/>
        </w:numPr>
        <w:ind w:firstLine="720"/>
      </w:pPr>
      <w:r>
        <w:t xml:space="preserve">On December </w:t>
      </w:r>
      <w:r w:rsidR="00932902">
        <w:t>17</w:t>
      </w:r>
      <w:r w:rsidRPr="0041676B">
        <w:t xml:space="preserve">, 2020, the </w:t>
      </w:r>
      <w:r w:rsidR="003A7EBD">
        <w:t>Enforcement Bureau</w:t>
      </w:r>
      <w:r w:rsidRPr="0041676B">
        <w:t xml:space="preserve"> </w:t>
      </w:r>
      <w:r w:rsidR="00932902">
        <w:t xml:space="preserve">and the Managing Director jointly </w:t>
      </w:r>
      <w:r w:rsidRPr="0041676B">
        <w:t xml:space="preserve">released </w:t>
      </w:r>
      <w:r w:rsidRPr="00BD7761" w:rsidR="000E4892">
        <w:rPr>
          <w:i/>
          <w:iCs/>
        </w:rPr>
        <w:t>Order</w:t>
      </w:r>
      <w:r w:rsidR="000E4892">
        <w:t>,</w:t>
      </w:r>
      <w:r w:rsidRPr="0041676B">
        <w:t xml:space="preserve"> </w:t>
      </w:r>
      <w:r w:rsidR="000E4892">
        <w:t>DA 20-14</w:t>
      </w:r>
      <w:r w:rsidR="00932902">
        <w:t>9</w:t>
      </w:r>
      <w:r w:rsidR="000E4892">
        <w:t>0</w:t>
      </w:r>
      <w:r w:rsidRPr="0041676B">
        <w:t>, in the above captioned proceeding.</w:t>
      </w:r>
      <w:r>
        <w:rPr>
          <w:rStyle w:val="FootnoteReference"/>
        </w:rPr>
        <w:footnoteReference w:id="3"/>
      </w:r>
      <w:r w:rsidRPr="0041676B">
        <w:t xml:space="preserve">  To conform to the publishing conventions of the National Archives and Records Administration’s Office of the Federal Register, this </w:t>
      </w:r>
      <w:r w:rsidRPr="004418BA">
        <w:t>Erratum</w:t>
      </w:r>
      <w:r w:rsidRPr="009B7748">
        <w:t xml:space="preserve"> </w:t>
      </w:r>
      <w:r w:rsidRPr="0041676B">
        <w:t xml:space="preserve">amends </w:t>
      </w:r>
      <w:r w:rsidR="009B7748">
        <w:t xml:space="preserve">Section 1.80 in </w:t>
      </w:r>
      <w:r w:rsidR="00482912">
        <w:t xml:space="preserve">the </w:t>
      </w:r>
      <w:r w:rsidRPr="0041676B">
        <w:t>Appendix of the</w:t>
      </w:r>
      <w:r w:rsidR="00482912">
        <w:t xml:space="preserve"> </w:t>
      </w:r>
      <w:r w:rsidRPr="00BD7761" w:rsidR="00482912">
        <w:rPr>
          <w:i/>
          <w:iCs/>
        </w:rPr>
        <w:t>Order</w:t>
      </w:r>
      <w:r w:rsidRPr="0041676B">
        <w:t xml:space="preserve"> as indicated below</w:t>
      </w:r>
      <w:r w:rsidR="009B7748">
        <w:t>:</w:t>
      </w:r>
    </w:p>
    <w:p w:rsidR="00140C6A" w:rsidP="009B7748" w14:paraId="698D0C71" w14:textId="7356E83E">
      <w:pPr>
        <w:pStyle w:val="ParaNum"/>
        <w:tabs>
          <w:tab w:val="num" w:pos="720"/>
          <w:tab w:val="clear" w:pos="1440"/>
        </w:tabs>
        <w:ind w:firstLine="360"/>
      </w:pPr>
      <w:r>
        <w:t>Paragraphs</w:t>
      </w:r>
      <w:r w:rsidR="006E78CE">
        <w:t xml:space="preserve"> 1</w:t>
      </w:r>
      <w:r w:rsidR="003E7992">
        <w:t xml:space="preserve"> </w:t>
      </w:r>
      <w:r>
        <w:t xml:space="preserve">and 2 are </w:t>
      </w:r>
      <w:r w:rsidR="003A7EBD">
        <w:t>corrected to read as follows</w:t>
      </w:r>
      <w:r>
        <w:t>:</w:t>
      </w:r>
    </w:p>
    <w:p w:rsidR="00E44BAF" w:rsidP="004418BA" w14:paraId="79E3AE54" w14:textId="47CA6C5F">
      <w:pPr>
        <w:pStyle w:val="ParaNum"/>
        <w:numPr>
          <w:ilvl w:val="0"/>
          <w:numId w:val="0"/>
        </w:numPr>
        <w:ind w:left="720" w:firstLine="270"/>
      </w:pPr>
      <w:r>
        <w:t>“</w:t>
      </w:r>
      <w:r w:rsidR="009B7748">
        <w:t>1.</w:t>
      </w:r>
      <w:r w:rsidR="009B7748">
        <w:tab/>
      </w:r>
      <w:r>
        <w:t xml:space="preserve">The authority citation for part 1 </w:t>
      </w:r>
      <w:r w:rsidR="00932902">
        <w:t xml:space="preserve">is revised </w:t>
      </w:r>
      <w:r>
        <w:t>to read as follows:</w:t>
      </w:r>
    </w:p>
    <w:p w:rsidR="009B7748" w:rsidP="009B7748" w14:paraId="2305CA70" w14:textId="02C2A748">
      <w:pPr>
        <w:pStyle w:val="ParaNum"/>
        <w:numPr>
          <w:ilvl w:val="0"/>
          <w:numId w:val="0"/>
        </w:numPr>
        <w:ind w:left="720"/>
      </w:pPr>
      <w:r w:rsidRPr="00FD12DE">
        <w:t xml:space="preserve">Authority: </w:t>
      </w:r>
      <w:r w:rsidRPr="00E07222">
        <w:t xml:space="preserve">47 U.S.C. </w:t>
      </w:r>
      <w:r w:rsidRPr="00E07222">
        <w:t>chs</w:t>
      </w:r>
      <w:r w:rsidRPr="00E07222">
        <w:t>. 2, 5, 9, 13; 28 U.S.C. 2461</w:t>
      </w:r>
      <w:r w:rsidR="00932902">
        <w:t xml:space="preserve"> note</w:t>
      </w:r>
      <w:r w:rsidRPr="00E07222">
        <w:t>, unless otherwise noted</w:t>
      </w:r>
      <w:r>
        <w:t>.</w:t>
      </w:r>
    </w:p>
    <w:p w:rsidR="009B7748" w:rsidP="009B7748" w14:paraId="5933448B" w14:textId="77777777">
      <w:pPr>
        <w:pStyle w:val="ParaNum"/>
        <w:ind w:left="720" w:firstLine="360"/>
      </w:pPr>
      <w:r>
        <w:t>Amend § 1.80 as follows:</w:t>
      </w:r>
    </w:p>
    <w:p w:rsidR="009B7748" w:rsidP="004418BA" w14:paraId="73E39B55" w14:textId="77777777">
      <w:pPr>
        <w:pStyle w:val="ParaNum"/>
        <w:numPr>
          <w:ilvl w:val="0"/>
          <w:numId w:val="0"/>
        </w:numPr>
        <w:ind w:left="2160" w:hanging="360"/>
      </w:pPr>
      <w:r>
        <w:t>a.</w:t>
      </w:r>
      <w:r>
        <w:tab/>
      </w:r>
      <w:r w:rsidRPr="007F20EF">
        <w:t>Revising paragraph (a)(4);</w:t>
      </w:r>
    </w:p>
    <w:p w:rsidR="009B7748" w:rsidP="009B7748" w14:paraId="7DCB12AC" w14:textId="77777777">
      <w:pPr>
        <w:pStyle w:val="ParaNum"/>
        <w:numPr>
          <w:ilvl w:val="0"/>
          <w:numId w:val="42"/>
        </w:numPr>
        <w:ind w:left="2160"/>
      </w:pPr>
      <w:r w:rsidRPr="007F20EF">
        <w:t>Redesignating paragraphs (a)(5) and (6) as paragraphs (a)(6) and (7) and adding a new paragraph (a)(5);</w:t>
      </w:r>
    </w:p>
    <w:p w:rsidR="009B7748" w:rsidRPr="007F20EF" w:rsidP="009B7748" w14:paraId="729847FE" w14:textId="77777777">
      <w:pPr>
        <w:pStyle w:val="ParaNum"/>
        <w:numPr>
          <w:ilvl w:val="0"/>
          <w:numId w:val="42"/>
        </w:numPr>
        <w:ind w:left="2160"/>
      </w:pPr>
      <w:r w:rsidRPr="007F20EF">
        <w:rPr>
          <w:szCs w:val="24"/>
        </w:rPr>
        <w:t>Revising newly redesignated paragraph (a)(6);</w:t>
      </w:r>
    </w:p>
    <w:p w:rsidR="009B7748" w:rsidRPr="007F20EF" w:rsidP="009B7748" w14:paraId="570ED0AF" w14:textId="77777777">
      <w:pPr>
        <w:pStyle w:val="ParaNum"/>
        <w:numPr>
          <w:ilvl w:val="0"/>
          <w:numId w:val="42"/>
        </w:numPr>
        <w:ind w:left="2160"/>
      </w:pPr>
      <w:r>
        <w:rPr>
          <w:szCs w:val="24"/>
        </w:rPr>
        <w:t>Redesignating the Note to paragraph (a) as Note 1 to paragraph (a);</w:t>
      </w:r>
    </w:p>
    <w:p w:rsidR="009B7748" w:rsidP="009B7748" w14:paraId="6E68BBB0" w14:textId="77777777">
      <w:pPr>
        <w:pStyle w:val="ParaNum"/>
        <w:numPr>
          <w:ilvl w:val="0"/>
          <w:numId w:val="42"/>
        </w:numPr>
        <w:ind w:left="2160"/>
      </w:pPr>
      <w:r w:rsidRPr="007F20EF">
        <w:t>Redesignating paragraphs (b)(6) through (10) as paragraphs (b)(7) through (11) and adding a new paragraph (b)(6);</w:t>
      </w:r>
    </w:p>
    <w:p w:rsidR="009B7748" w:rsidP="009B7748" w14:paraId="42F54147" w14:textId="77777777">
      <w:pPr>
        <w:pStyle w:val="ParaNum"/>
        <w:numPr>
          <w:ilvl w:val="0"/>
          <w:numId w:val="42"/>
        </w:numPr>
        <w:ind w:left="2160"/>
      </w:pPr>
      <w:r w:rsidRPr="00AD4A1E">
        <w:t xml:space="preserve">Revising </w:t>
      </w:r>
      <w:r>
        <w:t xml:space="preserve">newly </w:t>
      </w:r>
      <w:r w:rsidRPr="00AD4A1E">
        <w:t>redesignated paragraph</w:t>
      </w:r>
      <w:r>
        <w:t>s</w:t>
      </w:r>
      <w:r w:rsidRPr="00AD4A1E">
        <w:t xml:space="preserve"> (b)(9)</w:t>
      </w:r>
      <w:r>
        <w:t xml:space="preserve"> and (10)</w:t>
      </w:r>
      <w:r w:rsidRPr="00AD4A1E">
        <w:t>;</w:t>
      </w:r>
    </w:p>
    <w:p w:rsidR="009B7748" w:rsidRPr="00DA1C41" w:rsidP="009B7748" w14:paraId="55D621D3" w14:textId="77777777">
      <w:pPr>
        <w:pStyle w:val="ParaNum"/>
        <w:numPr>
          <w:ilvl w:val="0"/>
          <w:numId w:val="42"/>
        </w:numPr>
        <w:ind w:left="2160"/>
      </w:pPr>
      <w:r w:rsidRPr="005A7B01">
        <w:rPr>
          <w:szCs w:val="22"/>
        </w:rPr>
        <w:t>Removing the Note to paragraph (b)(8) following newly redesignated paragraph (b)(10);</w:t>
      </w:r>
    </w:p>
    <w:p w:rsidR="009B7748" w:rsidP="009B7748" w14:paraId="12DC7E1C" w14:textId="77777777">
      <w:pPr>
        <w:pStyle w:val="ParaNum"/>
        <w:numPr>
          <w:ilvl w:val="0"/>
          <w:numId w:val="42"/>
        </w:numPr>
        <w:ind w:left="2160"/>
      </w:pPr>
      <w:r w:rsidRPr="00C12126">
        <w:t>Revising the heading of the table in newly redesignated paragraph (b)(11)(ii);</w:t>
      </w:r>
    </w:p>
    <w:p w:rsidR="009B7748" w:rsidRPr="00DA1C41" w:rsidP="009B7748" w14:paraId="2FDEC593" w14:textId="68188FE0">
      <w:pPr>
        <w:pStyle w:val="ParaNum"/>
        <w:numPr>
          <w:ilvl w:val="0"/>
          <w:numId w:val="42"/>
        </w:numPr>
        <w:ind w:left="2160"/>
      </w:pPr>
      <w:r w:rsidRPr="003C48C8">
        <w:rPr>
          <w:szCs w:val="22"/>
        </w:rPr>
        <w:t>Revising the Note following newly redesignated paragraph (b)(11);</w:t>
      </w:r>
      <w:r>
        <w:rPr>
          <w:szCs w:val="22"/>
        </w:rPr>
        <w:t xml:space="preserve">  </w:t>
      </w:r>
    </w:p>
    <w:p w:rsidR="009B7748" w:rsidRPr="003050F8" w:rsidP="009B7748" w14:paraId="104E643C" w14:textId="77777777">
      <w:pPr>
        <w:pStyle w:val="ParaNum"/>
        <w:numPr>
          <w:ilvl w:val="0"/>
          <w:numId w:val="42"/>
        </w:numPr>
        <w:ind w:left="2160"/>
      </w:pPr>
      <w:r w:rsidRPr="003C48C8">
        <w:rPr>
          <w:szCs w:val="22"/>
        </w:rPr>
        <w:t>Revising the introductory text to paragraph (d); and</w:t>
      </w:r>
    </w:p>
    <w:p w:rsidR="003C48C8" w:rsidP="004418BA" w14:paraId="50748164" w14:textId="20C2653A">
      <w:pPr>
        <w:pStyle w:val="ParaNum"/>
        <w:numPr>
          <w:ilvl w:val="0"/>
          <w:numId w:val="42"/>
        </w:numPr>
        <w:ind w:left="2160"/>
      </w:pPr>
      <w:r w:rsidRPr="00AD4A1E">
        <w:rPr>
          <w:szCs w:val="24"/>
        </w:rPr>
        <w:t>Redesignating paragraphs (e)</w:t>
      </w:r>
      <w:r>
        <w:rPr>
          <w:szCs w:val="24"/>
        </w:rPr>
        <w:t xml:space="preserve"> through</w:t>
      </w:r>
      <w:r w:rsidRPr="00AD4A1E">
        <w:rPr>
          <w:szCs w:val="24"/>
        </w:rPr>
        <w:t xml:space="preserve"> (j) as paragraphs (f)</w:t>
      </w:r>
      <w:r>
        <w:rPr>
          <w:szCs w:val="24"/>
        </w:rPr>
        <w:t xml:space="preserve"> through</w:t>
      </w:r>
      <w:r w:rsidRPr="00AD4A1E">
        <w:rPr>
          <w:szCs w:val="24"/>
        </w:rPr>
        <w:t xml:space="preserve"> (k) and adding a new paragraph (e).</w:t>
      </w:r>
      <w:r w:rsidR="003A7EBD">
        <w:t>”</w:t>
      </w:r>
    </w:p>
    <w:p w:rsidR="008761D6" w:rsidP="00FB18CC" w14:paraId="594489D8" w14:textId="5CB22DF9">
      <w:pPr>
        <w:pStyle w:val="ParaNum"/>
        <w:tabs>
          <w:tab w:val="num" w:pos="720"/>
          <w:tab w:val="clear" w:pos="1440"/>
        </w:tabs>
        <w:ind w:firstLine="360"/>
      </w:pPr>
      <w:r>
        <w:t xml:space="preserve">Paragraphs </w:t>
      </w:r>
      <w:r>
        <w:t>(a)(4)</w:t>
      </w:r>
      <w:r>
        <w:t xml:space="preserve"> and (5) are corrected to read as follows</w:t>
      </w:r>
      <w:r>
        <w:t>:</w:t>
      </w:r>
    </w:p>
    <w:p w:rsidR="00FB18CC" w:rsidP="004418BA" w14:paraId="1E0BDC9F" w14:textId="025D1FA3">
      <w:pPr>
        <w:pStyle w:val="ParaNum"/>
        <w:numPr>
          <w:ilvl w:val="0"/>
          <w:numId w:val="0"/>
        </w:numPr>
        <w:ind w:left="1080" w:hanging="90"/>
      </w:pPr>
      <w:r>
        <w:t>“</w:t>
      </w:r>
      <w:r>
        <w:t>(a) * * *</w:t>
      </w:r>
    </w:p>
    <w:p w:rsidR="008761D6" w:rsidP="004418BA" w14:paraId="362B9D6E" w14:textId="54AEAC27">
      <w:pPr>
        <w:pStyle w:val="ParaNum"/>
        <w:numPr>
          <w:ilvl w:val="0"/>
          <w:numId w:val="0"/>
        </w:numPr>
        <w:ind w:left="1080"/>
      </w:pPr>
      <w:r>
        <w:t xml:space="preserve">(4) </w:t>
      </w:r>
      <w:r w:rsidRPr="00AD4A1E">
        <w:rPr>
          <w:szCs w:val="24"/>
        </w:rPr>
        <w:t xml:space="preserve">Violated any provision of sections 227(b) or (e) of the Communications Act or of </w:t>
      </w:r>
      <w:r w:rsidR="00637BCB">
        <w:t>§§</w:t>
      </w:r>
      <w:r w:rsidR="00637BCB">
        <w:rPr>
          <w:szCs w:val="24"/>
        </w:rPr>
        <w:t> </w:t>
      </w:r>
      <w:r>
        <w:rPr>
          <w:szCs w:val="24"/>
        </w:rPr>
        <w:t>64.1200(a)(1) through (5) and 64.1604 of this title</w:t>
      </w:r>
      <w:r w:rsidRPr="00AD4A1E">
        <w:rPr>
          <w:szCs w:val="24"/>
        </w:rPr>
        <w:t>;</w:t>
      </w:r>
    </w:p>
    <w:p w:rsidR="008761D6" w:rsidP="004418BA" w14:paraId="41A5F576" w14:textId="7431138F">
      <w:pPr>
        <w:pStyle w:val="ParaNum"/>
        <w:numPr>
          <w:ilvl w:val="0"/>
          <w:numId w:val="0"/>
        </w:numPr>
        <w:ind w:left="1080"/>
      </w:pPr>
      <w:r>
        <w:t>(5)</w:t>
      </w:r>
      <w:r w:rsidR="00FB18CC">
        <w:t xml:space="preserve"> </w:t>
      </w:r>
      <w:r w:rsidRPr="00AD4A1E">
        <w:rPr>
          <w:szCs w:val="24"/>
        </w:rPr>
        <w:t xml:space="preserve">Violated any provision of section 511(a) or (b) of the Communications Act or of </w:t>
      </w:r>
      <w:r>
        <w:rPr>
          <w:szCs w:val="24"/>
        </w:rPr>
        <w:t>paragraph (b)(6) of this section</w:t>
      </w:r>
      <w:r w:rsidRPr="00AD4A1E">
        <w:rPr>
          <w:szCs w:val="24"/>
        </w:rPr>
        <w:t>;</w:t>
      </w:r>
      <w:r w:rsidR="00971732">
        <w:rPr>
          <w:szCs w:val="24"/>
        </w:rPr>
        <w:t>”</w:t>
      </w:r>
    </w:p>
    <w:p w:rsidR="008E4E13" w:rsidP="00482912" w14:paraId="6389EB18" w14:textId="36A55D43">
      <w:pPr>
        <w:pStyle w:val="ParaNum"/>
        <w:tabs>
          <w:tab w:val="num" w:pos="720"/>
        </w:tabs>
        <w:ind w:firstLine="360"/>
      </w:pPr>
      <w:r>
        <w:t xml:space="preserve">Paragraph </w:t>
      </w:r>
      <w:r>
        <w:t>(b)(</w:t>
      </w:r>
      <w:r w:rsidR="006742ED">
        <w:t>6</w:t>
      </w:r>
      <w:r>
        <w:t>)</w:t>
      </w:r>
      <w:r>
        <w:t>(</w:t>
      </w:r>
      <w:r>
        <w:t>i</w:t>
      </w:r>
      <w:r>
        <w:t>) is corrected to read as follows</w:t>
      </w:r>
      <w:r>
        <w:t>:</w:t>
      </w:r>
    </w:p>
    <w:p w:rsidR="003A7EBD" w:rsidP="004418BA" w14:paraId="507753FE" w14:textId="5F7CDA48">
      <w:pPr>
        <w:pStyle w:val="ParaNum"/>
        <w:numPr>
          <w:ilvl w:val="0"/>
          <w:numId w:val="0"/>
        </w:numPr>
        <w:ind w:left="1080" w:hanging="90"/>
      </w:pPr>
      <w:r>
        <w:rPr>
          <w:bCs/>
          <w:i/>
          <w:szCs w:val="22"/>
        </w:rPr>
        <w:t>“</w:t>
      </w:r>
      <w:r w:rsidR="00FB18CC">
        <w:rPr>
          <w:bCs/>
          <w:iCs/>
          <w:szCs w:val="22"/>
        </w:rPr>
        <w:t xml:space="preserve">(6) </w:t>
      </w:r>
      <w:r w:rsidRPr="007023D3">
        <w:rPr>
          <w:bCs/>
          <w:i/>
          <w:szCs w:val="22"/>
        </w:rPr>
        <w:t xml:space="preserve">Forfeiture penalty for </w:t>
      </w:r>
      <w:r w:rsidR="006742ED">
        <w:rPr>
          <w:bCs/>
          <w:i/>
          <w:szCs w:val="22"/>
        </w:rPr>
        <w:t>pirate radio broadcasting</w:t>
      </w:r>
      <w:r w:rsidRPr="007023D3">
        <w:rPr>
          <w:bCs/>
          <w:szCs w:val="22"/>
        </w:rPr>
        <w:t>.</w:t>
      </w:r>
    </w:p>
    <w:p w:rsidR="003A7EBD" w:rsidP="004418BA" w14:paraId="3427F36C" w14:textId="4DA968CD">
      <w:pPr>
        <w:pStyle w:val="ParaNum"/>
        <w:numPr>
          <w:ilvl w:val="0"/>
          <w:numId w:val="0"/>
        </w:numPr>
        <w:ind w:left="1080"/>
      </w:pPr>
      <w:r>
        <w:t>(</w:t>
      </w:r>
      <w:r>
        <w:t>i</w:t>
      </w:r>
      <w:r>
        <w:t xml:space="preserve">) Any person who willfully and knowingly does or causes or suffers to be done any pirate radio broadcasting shall be subject to a fine of not more than $2,023,640; and (ii) Any person who willfully and knowingly violates the Act or any rule, </w:t>
      </w:r>
      <w:r w:rsidRPr="00EA5230">
        <w:t>regulation, restriction, or condition made or imposed by the Commission under authority of th</w:t>
      </w:r>
      <w:r>
        <w:t xml:space="preserve">e </w:t>
      </w:r>
      <w:r w:rsidRPr="00EA5230">
        <w:t>Act, or any rule, regulation, restriction, or condition made or imposed by any international radio or wire communications treaty or convention, or regulations annexed thereto, to which the United States is party, relating to pirate radio broadcasting shall, in addition to any other penalties provided by law, be subject to a fine of not more than $10</w:t>
      </w:r>
      <w:r>
        <w:t>1</w:t>
      </w:r>
      <w:r w:rsidRPr="00EA5230">
        <w:t>,</w:t>
      </w:r>
      <w:r>
        <w:t>182</w:t>
      </w:r>
      <w:r w:rsidRPr="00EA5230">
        <w:t xml:space="preserve"> for each day during which such offense occurs, in accordance with the limit described in </w:t>
      </w:r>
      <w:r>
        <w:t>this section.</w:t>
      </w:r>
      <w:r>
        <w:rPr>
          <w:szCs w:val="22"/>
        </w:rPr>
        <w:t>”</w:t>
      </w:r>
    </w:p>
    <w:p w:rsidR="00840103" w:rsidP="00482912" w14:paraId="62B0CC55" w14:textId="17B3A619">
      <w:pPr>
        <w:pStyle w:val="ParaNum"/>
        <w:tabs>
          <w:tab w:val="num" w:pos="720"/>
        </w:tabs>
        <w:ind w:firstLine="360"/>
      </w:pPr>
      <w:r>
        <w:t xml:space="preserve">Paragraph </w:t>
      </w:r>
      <w:r w:rsidR="008E4E13">
        <w:t>(b)(</w:t>
      </w:r>
      <w:r w:rsidR="006742ED">
        <w:t>9</w:t>
      </w:r>
      <w:r w:rsidR="008E4E13">
        <w:t>)</w:t>
      </w:r>
      <w:r>
        <w:t xml:space="preserve"> is corrected to read as follows</w:t>
      </w:r>
      <w:r>
        <w:t>:</w:t>
      </w:r>
    </w:p>
    <w:p w:rsidR="006742ED" w:rsidP="004418BA" w14:paraId="38618AE0" w14:textId="465027E5">
      <w:pPr>
        <w:pStyle w:val="ParaNum"/>
        <w:numPr>
          <w:ilvl w:val="0"/>
          <w:numId w:val="0"/>
        </w:numPr>
        <w:ind w:left="1080" w:hanging="90"/>
      </w:pPr>
      <w:r>
        <w:rPr>
          <w:i/>
          <w:szCs w:val="22"/>
        </w:rPr>
        <w:t>“</w:t>
      </w:r>
      <w:r w:rsidR="00D04481">
        <w:rPr>
          <w:iCs/>
          <w:szCs w:val="22"/>
        </w:rPr>
        <w:t xml:space="preserve">(9) </w:t>
      </w:r>
      <w:r w:rsidRPr="007023D3">
        <w:rPr>
          <w:i/>
          <w:szCs w:val="22"/>
        </w:rPr>
        <w:t>Maximum forfeiture penalty for any case not previously covered</w:t>
      </w:r>
      <w:r w:rsidRPr="00FA449B">
        <w:rPr>
          <w:szCs w:val="22"/>
        </w:rPr>
        <w:t>.</w:t>
      </w:r>
      <w:r w:rsidR="00D04481">
        <w:t xml:space="preserve">  </w:t>
      </w:r>
      <w:r>
        <w:t>In any case not covered in paragraphs (b)(1) through (8) of this section, the amount of any forfeiture penalty determined under this section shall not exceed $20,731 for each violation or each day of a continuing violation, except that the amount assessed for any continuing violation shall not exceed a total of $155,485 for any single act or failure to act described in paragraph (a) of this section.</w:t>
      </w:r>
      <w:r w:rsidR="00971732">
        <w:t>”</w:t>
      </w:r>
    </w:p>
    <w:p w:rsidR="00165C20" w:rsidP="00165C20" w14:paraId="204177B2" w14:textId="77D8F0BA">
      <w:pPr>
        <w:pStyle w:val="ParaNum"/>
        <w:tabs>
          <w:tab w:val="num" w:pos="720"/>
          <w:tab w:val="clear" w:pos="1440"/>
        </w:tabs>
        <w:ind w:firstLine="360"/>
      </w:pPr>
      <w:r>
        <w:t xml:space="preserve">Paragraph </w:t>
      </w:r>
      <w:r w:rsidR="00261DF6">
        <w:t>(b)(10)</w:t>
      </w:r>
      <w:r>
        <w:t xml:space="preserve"> is corrected to read as follows:</w:t>
      </w:r>
    </w:p>
    <w:p w:rsidR="00165C20" w:rsidP="004418BA" w14:paraId="05EC7AE1" w14:textId="58981611">
      <w:pPr>
        <w:pStyle w:val="ParaNum"/>
        <w:numPr>
          <w:ilvl w:val="0"/>
          <w:numId w:val="0"/>
        </w:numPr>
        <w:ind w:left="1080" w:hanging="90"/>
      </w:pPr>
      <w:r>
        <w:t>“</w:t>
      </w:r>
      <w:r>
        <w:t>(10) * * *</w:t>
      </w:r>
    </w:p>
    <w:p w:rsidR="0070139C" w:rsidP="009F1509" w14:paraId="2EABAEAD" w14:textId="77777777"/>
    <w:p w:rsidR="009F1509" w:rsidRPr="004418BA" w:rsidP="009F1509" w14:paraId="661848E1" w14:textId="0B58F38D">
      <w:pPr>
        <w:rPr>
          <w:color w:val="333333"/>
          <w:szCs w:val="22"/>
          <w:shd w:val="clear" w:color="auto" w:fill="F1F1F1"/>
        </w:rPr>
      </w:pPr>
      <w:r w:rsidRPr="004418BA">
        <w:rPr>
          <w:color w:val="333333"/>
          <w:szCs w:val="22"/>
          <w:shd w:val="clear" w:color="auto" w:fill="F1F1F1"/>
        </w:rPr>
        <w:t>Table 1 to Paragraph (b)(10)—Base Amounts for Section 503 Forfeitures</w:t>
      </w:r>
    </w:p>
    <w:p w:rsidR="009F1509" w:rsidRPr="004418BA" w:rsidP="009F1509" w14:paraId="4CB0D3CD" w14:textId="77777777">
      <w:pPr>
        <w:rPr>
          <w:szCs w:val="22"/>
        </w:rPr>
      </w:pPr>
    </w:p>
    <w:tbl>
      <w:tblPr>
        <w:tblStyle w:val="TableGrid"/>
        <w:tblW w:w="0" w:type="auto"/>
        <w:tblLook w:val="04A0"/>
      </w:tblPr>
      <w:tblGrid>
        <w:gridCol w:w="4675"/>
        <w:gridCol w:w="4675"/>
      </w:tblGrid>
      <w:tr w14:paraId="4DEE2275" w14:textId="77777777" w:rsidTr="00B07C21">
        <w:tblPrEx>
          <w:tblW w:w="0" w:type="auto"/>
          <w:tblLook w:val="04A0"/>
        </w:tblPrEx>
        <w:tc>
          <w:tcPr>
            <w:tcW w:w="4675" w:type="dxa"/>
            <w:vAlign w:val="center"/>
          </w:tcPr>
          <w:p w:rsidR="009F1509" w:rsidRPr="004418BA" w:rsidP="00B07C21" w14:paraId="36BA472D" w14:textId="77777777">
            <w:pPr>
              <w:rPr>
                <w:szCs w:val="22"/>
              </w:rPr>
            </w:pPr>
            <w:r w:rsidRPr="004418BA">
              <w:rPr>
                <w:b/>
                <w:bCs/>
                <w:color w:val="333333"/>
                <w:szCs w:val="22"/>
              </w:rPr>
              <w:t>Forfeitures</w:t>
            </w:r>
          </w:p>
        </w:tc>
        <w:tc>
          <w:tcPr>
            <w:tcW w:w="4675" w:type="dxa"/>
            <w:vAlign w:val="center"/>
          </w:tcPr>
          <w:p w:rsidR="009F1509" w:rsidRPr="004418BA" w:rsidP="00B07C21" w14:paraId="23494BD0" w14:textId="77777777">
            <w:pPr>
              <w:rPr>
                <w:szCs w:val="22"/>
              </w:rPr>
            </w:pPr>
            <w:r w:rsidRPr="004418BA">
              <w:rPr>
                <w:b/>
                <w:bCs/>
                <w:color w:val="333333"/>
                <w:szCs w:val="22"/>
              </w:rPr>
              <w:t>Violation amount</w:t>
            </w:r>
          </w:p>
        </w:tc>
      </w:tr>
      <w:tr w14:paraId="60201DC2" w14:textId="77777777" w:rsidTr="00B07C21">
        <w:tblPrEx>
          <w:tblW w:w="0" w:type="auto"/>
          <w:tblLook w:val="04A0"/>
        </w:tblPrEx>
        <w:tc>
          <w:tcPr>
            <w:tcW w:w="4675" w:type="dxa"/>
            <w:vAlign w:val="bottom"/>
          </w:tcPr>
          <w:p w:rsidR="009F1509" w:rsidRPr="004418BA" w:rsidP="00B07C21" w14:paraId="43ACCFAD" w14:textId="77777777">
            <w:pPr>
              <w:rPr>
                <w:szCs w:val="22"/>
              </w:rPr>
            </w:pPr>
            <w:r w:rsidRPr="004418BA">
              <w:rPr>
                <w:color w:val="333333"/>
                <w:szCs w:val="22"/>
              </w:rPr>
              <w:t>Misrepresentation/lack of candor</w:t>
            </w:r>
          </w:p>
        </w:tc>
        <w:tc>
          <w:tcPr>
            <w:tcW w:w="4675" w:type="dxa"/>
            <w:vAlign w:val="bottom"/>
          </w:tcPr>
          <w:p w:rsidR="009F1509" w:rsidRPr="004418BA" w:rsidP="00B07C21" w14:paraId="57A7EC46" w14:textId="77777777">
            <w:pPr>
              <w:rPr>
                <w:szCs w:val="22"/>
              </w:rPr>
            </w:pPr>
            <w:r w:rsidRPr="004418BA">
              <w:rPr>
                <w:color w:val="333333"/>
                <w:szCs w:val="22"/>
              </w:rPr>
              <w:t>(</w:t>
            </w:r>
            <w:r w:rsidRPr="004418BA">
              <w:rPr>
                <w:color w:val="333333"/>
                <w:szCs w:val="22"/>
                <w:bdr w:val="none" w:sz="0" w:space="0" w:color="auto" w:frame="1"/>
                <w:vertAlign w:val="superscript"/>
              </w:rPr>
              <w:t>1</w:t>
            </w:r>
            <w:r w:rsidRPr="004418BA">
              <w:rPr>
                <w:color w:val="333333"/>
                <w:szCs w:val="22"/>
              </w:rPr>
              <w:t>)</w:t>
            </w:r>
          </w:p>
        </w:tc>
      </w:tr>
      <w:tr w14:paraId="31766056" w14:textId="77777777" w:rsidTr="00B07C21">
        <w:tblPrEx>
          <w:tblW w:w="0" w:type="auto"/>
          <w:tblLook w:val="04A0"/>
        </w:tblPrEx>
        <w:tc>
          <w:tcPr>
            <w:tcW w:w="4675" w:type="dxa"/>
            <w:vAlign w:val="bottom"/>
          </w:tcPr>
          <w:p w:rsidR="009F1509" w:rsidRPr="004418BA" w:rsidP="00B07C21" w14:paraId="4B227DA2" w14:textId="77777777">
            <w:pPr>
              <w:rPr>
                <w:szCs w:val="22"/>
              </w:rPr>
            </w:pPr>
            <w:r w:rsidRPr="004418BA">
              <w:rPr>
                <w:color w:val="333333"/>
                <w:szCs w:val="22"/>
              </w:rPr>
              <w:t>Construction and/or operation without an instrument of authorization for the service</w:t>
            </w:r>
          </w:p>
        </w:tc>
        <w:tc>
          <w:tcPr>
            <w:tcW w:w="4675" w:type="dxa"/>
            <w:vAlign w:val="bottom"/>
          </w:tcPr>
          <w:p w:rsidR="009F1509" w:rsidRPr="004418BA" w:rsidP="00B07C21" w14:paraId="053A87BF" w14:textId="77777777">
            <w:pPr>
              <w:rPr>
                <w:szCs w:val="22"/>
              </w:rPr>
            </w:pPr>
            <w:r w:rsidRPr="004418BA">
              <w:rPr>
                <w:color w:val="333333"/>
                <w:szCs w:val="22"/>
              </w:rPr>
              <w:t>$10,000</w:t>
            </w:r>
          </w:p>
        </w:tc>
      </w:tr>
      <w:tr w14:paraId="6CCF0F9B" w14:textId="77777777" w:rsidTr="00B07C21">
        <w:tblPrEx>
          <w:tblW w:w="0" w:type="auto"/>
          <w:tblLook w:val="04A0"/>
        </w:tblPrEx>
        <w:tc>
          <w:tcPr>
            <w:tcW w:w="4675" w:type="dxa"/>
            <w:vAlign w:val="bottom"/>
          </w:tcPr>
          <w:p w:rsidR="009F1509" w:rsidRPr="004418BA" w:rsidP="00B07C21" w14:paraId="255A94B1" w14:textId="77777777">
            <w:pPr>
              <w:rPr>
                <w:szCs w:val="22"/>
              </w:rPr>
            </w:pPr>
            <w:r w:rsidRPr="004418BA">
              <w:rPr>
                <w:color w:val="333333"/>
                <w:szCs w:val="22"/>
              </w:rPr>
              <w:t>Failure to comply with prescribed lighting and/or marking</w:t>
            </w:r>
          </w:p>
        </w:tc>
        <w:tc>
          <w:tcPr>
            <w:tcW w:w="4675" w:type="dxa"/>
            <w:vAlign w:val="bottom"/>
          </w:tcPr>
          <w:p w:rsidR="009F1509" w:rsidRPr="004418BA" w:rsidP="00B07C21" w14:paraId="1F070ECA" w14:textId="77777777">
            <w:pPr>
              <w:rPr>
                <w:szCs w:val="22"/>
              </w:rPr>
            </w:pPr>
            <w:r w:rsidRPr="004418BA">
              <w:rPr>
                <w:color w:val="333333"/>
                <w:szCs w:val="22"/>
              </w:rPr>
              <w:t>10,000</w:t>
            </w:r>
          </w:p>
        </w:tc>
      </w:tr>
      <w:tr w14:paraId="6A2387EC" w14:textId="77777777" w:rsidTr="00B07C21">
        <w:tblPrEx>
          <w:tblW w:w="0" w:type="auto"/>
          <w:tblLook w:val="04A0"/>
        </w:tblPrEx>
        <w:tc>
          <w:tcPr>
            <w:tcW w:w="4675" w:type="dxa"/>
            <w:vAlign w:val="bottom"/>
          </w:tcPr>
          <w:p w:rsidR="009F1509" w:rsidRPr="004418BA" w:rsidP="00B07C21" w14:paraId="5E969E4D" w14:textId="77777777">
            <w:pPr>
              <w:rPr>
                <w:szCs w:val="22"/>
              </w:rPr>
            </w:pPr>
            <w:r w:rsidRPr="004418BA">
              <w:rPr>
                <w:color w:val="333333"/>
                <w:szCs w:val="22"/>
              </w:rPr>
              <w:t>Violation of public file rules</w:t>
            </w:r>
          </w:p>
        </w:tc>
        <w:tc>
          <w:tcPr>
            <w:tcW w:w="4675" w:type="dxa"/>
            <w:vAlign w:val="bottom"/>
          </w:tcPr>
          <w:p w:rsidR="009F1509" w:rsidRPr="004418BA" w:rsidP="00B07C21" w14:paraId="5343C684" w14:textId="77777777">
            <w:pPr>
              <w:rPr>
                <w:szCs w:val="22"/>
              </w:rPr>
            </w:pPr>
            <w:r w:rsidRPr="004418BA">
              <w:rPr>
                <w:color w:val="333333"/>
                <w:szCs w:val="22"/>
              </w:rPr>
              <w:t>10,000</w:t>
            </w:r>
          </w:p>
        </w:tc>
      </w:tr>
      <w:tr w14:paraId="5F39BD46" w14:textId="77777777" w:rsidTr="00B07C21">
        <w:tblPrEx>
          <w:tblW w:w="0" w:type="auto"/>
          <w:tblLook w:val="04A0"/>
        </w:tblPrEx>
        <w:tc>
          <w:tcPr>
            <w:tcW w:w="4675" w:type="dxa"/>
            <w:vAlign w:val="bottom"/>
          </w:tcPr>
          <w:p w:rsidR="009F1509" w:rsidRPr="004418BA" w:rsidP="00B07C21" w14:paraId="70225DFF" w14:textId="77777777">
            <w:pPr>
              <w:rPr>
                <w:szCs w:val="22"/>
              </w:rPr>
            </w:pPr>
            <w:r w:rsidRPr="004418BA">
              <w:rPr>
                <w:color w:val="333333"/>
                <w:szCs w:val="22"/>
              </w:rPr>
              <w:t>Violation of political rules: Reasonable access, lowest unit charge, equal opportunity, and discrimination</w:t>
            </w:r>
          </w:p>
        </w:tc>
        <w:tc>
          <w:tcPr>
            <w:tcW w:w="4675" w:type="dxa"/>
            <w:vAlign w:val="bottom"/>
          </w:tcPr>
          <w:p w:rsidR="009F1509" w:rsidRPr="004418BA" w:rsidP="00B07C21" w14:paraId="717CE3BD" w14:textId="77777777">
            <w:pPr>
              <w:rPr>
                <w:szCs w:val="22"/>
              </w:rPr>
            </w:pPr>
            <w:r w:rsidRPr="004418BA">
              <w:rPr>
                <w:color w:val="333333"/>
                <w:szCs w:val="22"/>
              </w:rPr>
              <w:t>9,000</w:t>
            </w:r>
          </w:p>
        </w:tc>
      </w:tr>
      <w:tr w14:paraId="595B9CBE" w14:textId="77777777" w:rsidTr="00B07C21">
        <w:tblPrEx>
          <w:tblW w:w="0" w:type="auto"/>
          <w:tblLook w:val="04A0"/>
        </w:tblPrEx>
        <w:tc>
          <w:tcPr>
            <w:tcW w:w="4675" w:type="dxa"/>
            <w:vAlign w:val="bottom"/>
          </w:tcPr>
          <w:p w:rsidR="009F1509" w:rsidRPr="004418BA" w:rsidP="00B07C21" w14:paraId="451F0AC2" w14:textId="77777777">
            <w:pPr>
              <w:rPr>
                <w:szCs w:val="22"/>
              </w:rPr>
            </w:pPr>
            <w:r w:rsidRPr="004418BA">
              <w:rPr>
                <w:color w:val="333333"/>
                <w:szCs w:val="22"/>
              </w:rPr>
              <w:t>Unauthorized substantial transfer of control</w:t>
            </w:r>
          </w:p>
        </w:tc>
        <w:tc>
          <w:tcPr>
            <w:tcW w:w="4675" w:type="dxa"/>
            <w:vAlign w:val="bottom"/>
          </w:tcPr>
          <w:p w:rsidR="009F1509" w:rsidRPr="004418BA" w:rsidP="00B07C21" w14:paraId="52EC96A2" w14:textId="77777777">
            <w:pPr>
              <w:rPr>
                <w:szCs w:val="22"/>
              </w:rPr>
            </w:pPr>
            <w:r w:rsidRPr="004418BA">
              <w:rPr>
                <w:color w:val="333333"/>
                <w:szCs w:val="22"/>
              </w:rPr>
              <w:t>8,000</w:t>
            </w:r>
          </w:p>
        </w:tc>
      </w:tr>
      <w:tr w14:paraId="6B1477C8" w14:textId="77777777" w:rsidTr="00B07C21">
        <w:tblPrEx>
          <w:tblW w:w="0" w:type="auto"/>
          <w:tblLook w:val="04A0"/>
        </w:tblPrEx>
        <w:tc>
          <w:tcPr>
            <w:tcW w:w="4675" w:type="dxa"/>
            <w:vAlign w:val="bottom"/>
          </w:tcPr>
          <w:p w:rsidR="009F1509" w:rsidRPr="004418BA" w:rsidP="00B07C21" w14:paraId="2A990156" w14:textId="77777777">
            <w:pPr>
              <w:rPr>
                <w:szCs w:val="22"/>
              </w:rPr>
            </w:pPr>
            <w:r w:rsidRPr="004418BA">
              <w:rPr>
                <w:color w:val="333333"/>
                <w:szCs w:val="22"/>
              </w:rPr>
              <w:t>Violation of children's television commercialization or programming requirements</w:t>
            </w:r>
          </w:p>
        </w:tc>
        <w:tc>
          <w:tcPr>
            <w:tcW w:w="4675" w:type="dxa"/>
            <w:vAlign w:val="bottom"/>
          </w:tcPr>
          <w:p w:rsidR="009F1509" w:rsidRPr="004418BA" w:rsidP="00B07C21" w14:paraId="4AD511B0" w14:textId="77777777">
            <w:pPr>
              <w:rPr>
                <w:szCs w:val="22"/>
              </w:rPr>
            </w:pPr>
            <w:r w:rsidRPr="004418BA">
              <w:rPr>
                <w:color w:val="333333"/>
                <w:szCs w:val="22"/>
              </w:rPr>
              <w:t>8,000</w:t>
            </w:r>
          </w:p>
        </w:tc>
      </w:tr>
      <w:tr w14:paraId="5491B362" w14:textId="77777777" w:rsidTr="00B07C21">
        <w:tblPrEx>
          <w:tblW w:w="0" w:type="auto"/>
          <w:tblLook w:val="04A0"/>
        </w:tblPrEx>
        <w:tc>
          <w:tcPr>
            <w:tcW w:w="4675" w:type="dxa"/>
            <w:vAlign w:val="bottom"/>
          </w:tcPr>
          <w:p w:rsidR="009F1509" w:rsidRPr="004418BA" w:rsidP="00B07C21" w14:paraId="0B44349D" w14:textId="77777777">
            <w:pPr>
              <w:rPr>
                <w:color w:val="333333"/>
                <w:szCs w:val="22"/>
              </w:rPr>
            </w:pPr>
            <w:r w:rsidRPr="004418BA">
              <w:rPr>
                <w:color w:val="333333"/>
                <w:szCs w:val="22"/>
              </w:rPr>
              <w:t>Violations of rules relating to distress and safety frequencies</w:t>
            </w:r>
          </w:p>
        </w:tc>
        <w:tc>
          <w:tcPr>
            <w:tcW w:w="4675" w:type="dxa"/>
            <w:vAlign w:val="bottom"/>
          </w:tcPr>
          <w:p w:rsidR="009F1509" w:rsidRPr="004418BA" w:rsidP="00B07C21" w14:paraId="52A30F60" w14:textId="77777777">
            <w:pPr>
              <w:rPr>
                <w:color w:val="333333"/>
                <w:szCs w:val="22"/>
              </w:rPr>
            </w:pPr>
            <w:r w:rsidRPr="004418BA">
              <w:rPr>
                <w:color w:val="333333"/>
                <w:szCs w:val="22"/>
              </w:rPr>
              <w:t>8,000</w:t>
            </w:r>
          </w:p>
        </w:tc>
      </w:tr>
      <w:tr w14:paraId="57BCFC42" w14:textId="77777777" w:rsidTr="00B07C21">
        <w:tblPrEx>
          <w:tblW w:w="0" w:type="auto"/>
          <w:tblLook w:val="04A0"/>
        </w:tblPrEx>
        <w:tc>
          <w:tcPr>
            <w:tcW w:w="4675" w:type="dxa"/>
            <w:vAlign w:val="bottom"/>
          </w:tcPr>
          <w:p w:rsidR="009F1509" w:rsidRPr="004418BA" w:rsidP="00B07C21" w14:paraId="749BAAD0" w14:textId="77777777">
            <w:pPr>
              <w:rPr>
                <w:color w:val="333333"/>
                <w:szCs w:val="22"/>
              </w:rPr>
            </w:pPr>
            <w:r w:rsidRPr="004418BA">
              <w:rPr>
                <w:color w:val="333333"/>
                <w:szCs w:val="22"/>
              </w:rPr>
              <w:t>False distress communications</w:t>
            </w:r>
          </w:p>
        </w:tc>
        <w:tc>
          <w:tcPr>
            <w:tcW w:w="4675" w:type="dxa"/>
            <w:vAlign w:val="bottom"/>
          </w:tcPr>
          <w:p w:rsidR="009F1509" w:rsidRPr="004418BA" w:rsidP="00B07C21" w14:paraId="12F4E334" w14:textId="77777777">
            <w:pPr>
              <w:rPr>
                <w:color w:val="333333"/>
                <w:szCs w:val="22"/>
              </w:rPr>
            </w:pPr>
            <w:r w:rsidRPr="004418BA">
              <w:rPr>
                <w:color w:val="333333"/>
                <w:szCs w:val="22"/>
              </w:rPr>
              <w:t>8,000</w:t>
            </w:r>
          </w:p>
        </w:tc>
      </w:tr>
      <w:tr w14:paraId="00764918" w14:textId="77777777" w:rsidTr="00B07C21">
        <w:tblPrEx>
          <w:tblW w:w="0" w:type="auto"/>
          <w:tblLook w:val="04A0"/>
        </w:tblPrEx>
        <w:tc>
          <w:tcPr>
            <w:tcW w:w="4675" w:type="dxa"/>
            <w:vAlign w:val="bottom"/>
          </w:tcPr>
          <w:p w:rsidR="009F1509" w:rsidRPr="004418BA" w:rsidP="00B07C21" w14:paraId="08265CED" w14:textId="77777777">
            <w:pPr>
              <w:rPr>
                <w:color w:val="333333"/>
                <w:szCs w:val="22"/>
              </w:rPr>
            </w:pPr>
            <w:r w:rsidRPr="004418BA">
              <w:rPr>
                <w:color w:val="333333"/>
                <w:szCs w:val="22"/>
              </w:rPr>
              <w:t>EAS equipment not installed or operational</w:t>
            </w:r>
          </w:p>
        </w:tc>
        <w:tc>
          <w:tcPr>
            <w:tcW w:w="4675" w:type="dxa"/>
            <w:vAlign w:val="bottom"/>
          </w:tcPr>
          <w:p w:rsidR="009F1509" w:rsidRPr="004418BA" w:rsidP="00B07C21" w14:paraId="42C7A79F" w14:textId="77777777">
            <w:pPr>
              <w:rPr>
                <w:color w:val="333333"/>
                <w:szCs w:val="22"/>
              </w:rPr>
            </w:pPr>
            <w:r w:rsidRPr="004418BA">
              <w:rPr>
                <w:color w:val="333333"/>
                <w:szCs w:val="22"/>
              </w:rPr>
              <w:t>8,000</w:t>
            </w:r>
          </w:p>
        </w:tc>
      </w:tr>
      <w:tr w14:paraId="61EE7819" w14:textId="77777777" w:rsidTr="00B07C21">
        <w:tblPrEx>
          <w:tblW w:w="0" w:type="auto"/>
          <w:tblLook w:val="04A0"/>
        </w:tblPrEx>
        <w:tc>
          <w:tcPr>
            <w:tcW w:w="4675" w:type="dxa"/>
            <w:vAlign w:val="bottom"/>
          </w:tcPr>
          <w:p w:rsidR="009F1509" w:rsidRPr="004418BA" w:rsidP="00B07C21" w14:paraId="54DED863" w14:textId="77777777">
            <w:pPr>
              <w:rPr>
                <w:color w:val="333333"/>
                <w:szCs w:val="22"/>
              </w:rPr>
            </w:pPr>
            <w:r w:rsidRPr="004418BA">
              <w:rPr>
                <w:color w:val="333333"/>
                <w:szCs w:val="22"/>
              </w:rPr>
              <w:t>Alien ownership violation</w:t>
            </w:r>
          </w:p>
        </w:tc>
        <w:tc>
          <w:tcPr>
            <w:tcW w:w="4675" w:type="dxa"/>
            <w:vAlign w:val="bottom"/>
          </w:tcPr>
          <w:p w:rsidR="009F1509" w:rsidRPr="004418BA" w:rsidP="00B07C21" w14:paraId="0420306D" w14:textId="77777777">
            <w:pPr>
              <w:rPr>
                <w:color w:val="333333"/>
                <w:szCs w:val="22"/>
              </w:rPr>
            </w:pPr>
            <w:r w:rsidRPr="004418BA">
              <w:rPr>
                <w:color w:val="333333"/>
                <w:szCs w:val="22"/>
              </w:rPr>
              <w:t>8,000</w:t>
            </w:r>
          </w:p>
        </w:tc>
      </w:tr>
      <w:tr w14:paraId="12355E57" w14:textId="77777777" w:rsidTr="00B07C21">
        <w:tblPrEx>
          <w:tblW w:w="0" w:type="auto"/>
          <w:tblLook w:val="04A0"/>
        </w:tblPrEx>
        <w:tc>
          <w:tcPr>
            <w:tcW w:w="4675" w:type="dxa"/>
            <w:vAlign w:val="bottom"/>
          </w:tcPr>
          <w:p w:rsidR="009F1509" w:rsidRPr="004418BA" w:rsidP="00B07C21" w14:paraId="14824142" w14:textId="77777777">
            <w:pPr>
              <w:rPr>
                <w:color w:val="333333"/>
                <w:szCs w:val="22"/>
              </w:rPr>
            </w:pPr>
            <w:r w:rsidRPr="004418BA">
              <w:rPr>
                <w:color w:val="333333"/>
                <w:szCs w:val="22"/>
              </w:rPr>
              <w:t>Failure to permit inspection</w:t>
            </w:r>
          </w:p>
        </w:tc>
        <w:tc>
          <w:tcPr>
            <w:tcW w:w="4675" w:type="dxa"/>
            <w:vAlign w:val="bottom"/>
          </w:tcPr>
          <w:p w:rsidR="009F1509" w:rsidRPr="004418BA" w:rsidP="00B07C21" w14:paraId="640E4336" w14:textId="77777777">
            <w:pPr>
              <w:rPr>
                <w:color w:val="333333"/>
                <w:szCs w:val="22"/>
              </w:rPr>
            </w:pPr>
            <w:r w:rsidRPr="004418BA">
              <w:rPr>
                <w:color w:val="333333"/>
                <w:szCs w:val="22"/>
              </w:rPr>
              <w:t>7,000</w:t>
            </w:r>
          </w:p>
        </w:tc>
      </w:tr>
      <w:tr w14:paraId="494D8918" w14:textId="77777777" w:rsidTr="00B07C21">
        <w:tblPrEx>
          <w:tblW w:w="0" w:type="auto"/>
          <w:tblLook w:val="04A0"/>
        </w:tblPrEx>
        <w:tc>
          <w:tcPr>
            <w:tcW w:w="4675" w:type="dxa"/>
            <w:vAlign w:val="bottom"/>
          </w:tcPr>
          <w:p w:rsidR="009F1509" w:rsidRPr="004418BA" w:rsidP="00B07C21" w14:paraId="2470DC6A" w14:textId="77777777">
            <w:pPr>
              <w:rPr>
                <w:color w:val="333333"/>
                <w:szCs w:val="22"/>
              </w:rPr>
            </w:pPr>
            <w:r w:rsidRPr="004418BA">
              <w:rPr>
                <w:color w:val="333333"/>
                <w:szCs w:val="22"/>
              </w:rPr>
              <w:t>Transmission of indecent/obscene materials</w:t>
            </w:r>
          </w:p>
        </w:tc>
        <w:tc>
          <w:tcPr>
            <w:tcW w:w="4675" w:type="dxa"/>
            <w:vAlign w:val="bottom"/>
          </w:tcPr>
          <w:p w:rsidR="009F1509" w:rsidRPr="004418BA" w:rsidP="00B07C21" w14:paraId="18C499D0" w14:textId="77777777">
            <w:pPr>
              <w:rPr>
                <w:color w:val="333333"/>
                <w:szCs w:val="22"/>
              </w:rPr>
            </w:pPr>
            <w:r w:rsidRPr="004418BA">
              <w:rPr>
                <w:color w:val="333333"/>
                <w:szCs w:val="22"/>
              </w:rPr>
              <w:t>7,000</w:t>
            </w:r>
          </w:p>
        </w:tc>
      </w:tr>
      <w:tr w14:paraId="025A58C7" w14:textId="77777777" w:rsidTr="00B07C21">
        <w:tblPrEx>
          <w:tblW w:w="0" w:type="auto"/>
          <w:tblLook w:val="04A0"/>
        </w:tblPrEx>
        <w:tc>
          <w:tcPr>
            <w:tcW w:w="4675" w:type="dxa"/>
            <w:vAlign w:val="bottom"/>
          </w:tcPr>
          <w:p w:rsidR="009F1509" w:rsidRPr="004418BA" w:rsidP="00B07C21" w14:paraId="3E9130F7" w14:textId="77777777">
            <w:pPr>
              <w:rPr>
                <w:color w:val="333333"/>
                <w:szCs w:val="22"/>
              </w:rPr>
            </w:pPr>
            <w:r w:rsidRPr="004418BA">
              <w:rPr>
                <w:color w:val="333333"/>
                <w:szCs w:val="22"/>
              </w:rPr>
              <w:t>Interference</w:t>
            </w:r>
          </w:p>
        </w:tc>
        <w:tc>
          <w:tcPr>
            <w:tcW w:w="4675" w:type="dxa"/>
            <w:vAlign w:val="bottom"/>
          </w:tcPr>
          <w:p w:rsidR="009F1509" w:rsidRPr="004418BA" w:rsidP="00B07C21" w14:paraId="63104600" w14:textId="77777777">
            <w:pPr>
              <w:rPr>
                <w:color w:val="333333"/>
                <w:szCs w:val="22"/>
              </w:rPr>
            </w:pPr>
            <w:r w:rsidRPr="004418BA">
              <w:rPr>
                <w:color w:val="333333"/>
                <w:szCs w:val="22"/>
              </w:rPr>
              <w:t>7,000</w:t>
            </w:r>
          </w:p>
        </w:tc>
      </w:tr>
      <w:tr w14:paraId="1DA47FA1" w14:textId="77777777" w:rsidTr="00B07C21">
        <w:tblPrEx>
          <w:tblW w:w="0" w:type="auto"/>
          <w:tblLook w:val="04A0"/>
        </w:tblPrEx>
        <w:tc>
          <w:tcPr>
            <w:tcW w:w="4675" w:type="dxa"/>
            <w:vAlign w:val="bottom"/>
          </w:tcPr>
          <w:p w:rsidR="009F1509" w:rsidRPr="004418BA" w:rsidP="00B07C21" w14:paraId="5F0C778C" w14:textId="77777777">
            <w:pPr>
              <w:rPr>
                <w:color w:val="333333"/>
                <w:szCs w:val="22"/>
              </w:rPr>
            </w:pPr>
            <w:r w:rsidRPr="004418BA">
              <w:rPr>
                <w:color w:val="333333"/>
                <w:szCs w:val="22"/>
              </w:rPr>
              <w:t>Importation or marketing of unauthorized equipment</w:t>
            </w:r>
          </w:p>
        </w:tc>
        <w:tc>
          <w:tcPr>
            <w:tcW w:w="4675" w:type="dxa"/>
            <w:vAlign w:val="bottom"/>
          </w:tcPr>
          <w:p w:rsidR="009F1509" w:rsidRPr="004418BA" w:rsidP="00B07C21" w14:paraId="7C532AF9" w14:textId="77777777">
            <w:pPr>
              <w:rPr>
                <w:color w:val="333333"/>
                <w:szCs w:val="22"/>
              </w:rPr>
            </w:pPr>
            <w:r w:rsidRPr="004418BA">
              <w:rPr>
                <w:color w:val="333333"/>
                <w:szCs w:val="22"/>
              </w:rPr>
              <w:t>7,000</w:t>
            </w:r>
          </w:p>
        </w:tc>
      </w:tr>
      <w:tr w14:paraId="72D1F749" w14:textId="77777777" w:rsidTr="00B07C21">
        <w:tblPrEx>
          <w:tblW w:w="0" w:type="auto"/>
          <w:tblLook w:val="04A0"/>
        </w:tblPrEx>
        <w:tc>
          <w:tcPr>
            <w:tcW w:w="4675" w:type="dxa"/>
            <w:vAlign w:val="bottom"/>
          </w:tcPr>
          <w:p w:rsidR="009F1509" w:rsidRPr="004418BA" w:rsidP="00B07C21" w14:paraId="4AC10FFD" w14:textId="77777777">
            <w:pPr>
              <w:rPr>
                <w:color w:val="333333"/>
                <w:szCs w:val="22"/>
              </w:rPr>
            </w:pPr>
            <w:r w:rsidRPr="004418BA">
              <w:rPr>
                <w:color w:val="333333"/>
                <w:szCs w:val="22"/>
              </w:rPr>
              <w:t>Exceeding of authorized antenna height</w:t>
            </w:r>
          </w:p>
        </w:tc>
        <w:tc>
          <w:tcPr>
            <w:tcW w:w="4675" w:type="dxa"/>
            <w:vAlign w:val="bottom"/>
          </w:tcPr>
          <w:p w:rsidR="009F1509" w:rsidRPr="004418BA" w:rsidP="00B07C21" w14:paraId="6B8F4835" w14:textId="77777777">
            <w:pPr>
              <w:rPr>
                <w:color w:val="333333"/>
                <w:szCs w:val="22"/>
              </w:rPr>
            </w:pPr>
            <w:r w:rsidRPr="004418BA">
              <w:rPr>
                <w:color w:val="333333"/>
                <w:szCs w:val="22"/>
              </w:rPr>
              <w:t>5,000</w:t>
            </w:r>
          </w:p>
        </w:tc>
      </w:tr>
      <w:tr w14:paraId="3DF49043" w14:textId="77777777" w:rsidTr="00B07C21">
        <w:tblPrEx>
          <w:tblW w:w="0" w:type="auto"/>
          <w:tblLook w:val="04A0"/>
        </w:tblPrEx>
        <w:tc>
          <w:tcPr>
            <w:tcW w:w="4675" w:type="dxa"/>
            <w:vAlign w:val="bottom"/>
          </w:tcPr>
          <w:p w:rsidR="009F1509" w:rsidRPr="004418BA" w:rsidP="00B07C21" w14:paraId="7C08AA38" w14:textId="77777777">
            <w:pPr>
              <w:rPr>
                <w:color w:val="333333"/>
                <w:szCs w:val="22"/>
              </w:rPr>
            </w:pPr>
            <w:r w:rsidRPr="004418BA">
              <w:rPr>
                <w:color w:val="333333"/>
                <w:szCs w:val="22"/>
              </w:rPr>
              <w:t>Fraud by wire, radio or television</w:t>
            </w:r>
          </w:p>
        </w:tc>
        <w:tc>
          <w:tcPr>
            <w:tcW w:w="4675" w:type="dxa"/>
            <w:vAlign w:val="bottom"/>
          </w:tcPr>
          <w:p w:rsidR="009F1509" w:rsidRPr="004418BA" w:rsidP="00B07C21" w14:paraId="73772C8A" w14:textId="77777777">
            <w:pPr>
              <w:rPr>
                <w:color w:val="333333"/>
                <w:szCs w:val="22"/>
              </w:rPr>
            </w:pPr>
            <w:r w:rsidRPr="004418BA">
              <w:rPr>
                <w:color w:val="333333"/>
                <w:szCs w:val="22"/>
              </w:rPr>
              <w:t>5,000</w:t>
            </w:r>
          </w:p>
        </w:tc>
      </w:tr>
      <w:tr w14:paraId="1073229C" w14:textId="77777777" w:rsidTr="00B07C21">
        <w:tblPrEx>
          <w:tblW w:w="0" w:type="auto"/>
          <w:tblLook w:val="04A0"/>
        </w:tblPrEx>
        <w:tc>
          <w:tcPr>
            <w:tcW w:w="4675" w:type="dxa"/>
            <w:vAlign w:val="bottom"/>
          </w:tcPr>
          <w:p w:rsidR="009F1509" w:rsidRPr="004418BA" w:rsidP="00B07C21" w14:paraId="6A4F23FE" w14:textId="77777777">
            <w:pPr>
              <w:rPr>
                <w:color w:val="333333"/>
                <w:szCs w:val="22"/>
              </w:rPr>
            </w:pPr>
            <w:r w:rsidRPr="004418BA">
              <w:rPr>
                <w:color w:val="333333"/>
                <w:szCs w:val="22"/>
              </w:rPr>
              <w:t>Unauthorized discontinuance of service</w:t>
            </w:r>
          </w:p>
        </w:tc>
        <w:tc>
          <w:tcPr>
            <w:tcW w:w="4675" w:type="dxa"/>
            <w:vAlign w:val="bottom"/>
          </w:tcPr>
          <w:p w:rsidR="009F1509" w:rsidRPr="004418BA" w:rsidP="00B07C21" w14:paraId="7924B650" w14:textId="77777777">
            <w:pPr>
              <w:rPr>
                <w:color w:val="333333"/>
                <w:szCs w:val="22"/>
              </w:rPr>
            </w:pPr>
            <w:r w:rsidRPr="004418BA">
              <w:rPr>
                <w:color w:val="333333"/>
                <w:szCs w:val="22"/>
              </w:rPr>
              <w:t>5,000</w:t>
            </w:r>
          </w:p>
        </w:tc>
      </w:tr>
      <w:tr w14:paraId="704301B0" w14:textId="77777777" w:rsidTr="00B07C21">
        <w:tblPrEx>
          <w:tblW w:w="0" w:type="auto"/>
          <w:tblLook w:val="04A0"/>
        </w:tblPrEx>
        <w:tc>
          <w:tcPr>
            <w:tcW w:w="4675" w:type="dxa"/>
            <w:vAlign w:val="bottom"/>
          </w:tcPr>
          <w:p w:rsidR="009F1509" w:rsidRPr="004418BA" w:rsidP="00B07C21" w14:paraId="2C0384C7" w14:textId="77777777">
            <w:pPr>
              <w:rPr>
                <w:color w:val="333333"/>
                <w:szCs w:val="22"/>
              </w:rPr>
            </w:pPr>
            <w:r w:rsidRPr="004418BA">
              <w:rPr>
                <w:color w:val="333333"/>
                <w:szCs w:val="22"/>
              </w:rPr>
              <w:t>Use of unauthorized equipment</w:t>
            </w:r>
          </w:p>
        </w:tc>
        <w:tc>
          <w:tcPr>
            <w:tcW w:w="4675" w:type="dxa"/>
            <w:vAlign w:val="bottom"/>
          </w:tcPr>
          <w:p w:rsidR="009F1509" w:rsidRPr="004418BA" w:rsidP="00B07C21" w14:paraId="1E09926C" w14:textId="77777777">
            <w:pPr>
              <w:rPr>
                <w:color w:val="333333"/>
                <w:szCs w:val="22"/>
              </w:rPr>
            </w:pPr>
            <w:r w:rsidRPr="004418BA">
              <w:rPr>
                <w:color w:val="333333"/>
                <w:szCs w:val="22"/>
              </w:rPr>
              <w:t>5,000</w:t>
            </w:r>
          </w:p>
        </w:tc>
      </w:tr>
      <w:tr w14:paraId="0DE983AD" w14:textId="77777777" w:rsidTr="00B07C21">
        <w:tblPrEx>
          <w:tblW w:w="0" w:type="auto"/>
          <w:tblLook w:val="04A0"/>
        </w:tblPrEx>
        <w:tc>
          <w:tcPr>
            <w:tcW w:w="4675" w:type="dxa"/>
            <w:vAlign w:val="bottom"/>
          </w:tcPr>
          <w:p w:rsidR="009F1509" w:rsidRPr="004418BA" w:rsidP="00B07C21" w14:paraId="55A4AF94" w14:textId="77777777">
            <w:pPr>
              <w:rPr>
                <w:color w:val="333333"/>
                <w:szCs w:val="22"/>
              </w:rPr>
            </w:pPr>
            <w:r w:rsidRPr="004418BA">
              <w:rPr>
                <w:color w:val="333333"/>
                <w:szCs w:val="22"/>
              </w:rPr>
              <w:t>Exceeding power limits</w:t>
            </w:r>
          </w:p>
        </w:tc>
        <w:tc>
          <w:tcPr>
            <w:tcW w:w="4675" w:type="dxa"/>
            <w:vAlign w:val="bottom"/>
          </w:tcPr>
          <w:p w:rsidR="009F1509" w:rsidRPr="004418BA" w:rsidP="00B07C21" w14:paraId="29F0974F" w14:textId="77777777">
            <w:pPr>
              <w:rPr>
                <w:color w:val="333333"/>
                <w:szCs w:val="22"/>
              </w:rPr>
            </w:pPr>
            <w:r w:rsidRPr="004418BA">
              <w:rPr>
                <w:color w:val="333333"/>
                <w:szCs w:val="22"/>
              </w:rPr>
              <w:t>4,000</w:t>
            </w:r>
          </w:p>
        </w:tc>
      </w:tr>
      <w:tr w14:paraId="3131E002" w14:textId="77777777" w:rsidTr="00B07C21">
        <w:tblPrEx>
          <w:tblW w:w="0" w:type="auto"/>
          <w:tblLook w:val="04A0"/>
        </w:tblPrEx>
        <w:tc>
          <w:tcPr>
            <w:tcW w:w="4675" w:type="dxa"/>
            <w:vAlign w:val="bottom"/>
          </w:tcPr>
          <w:p w:rsidR="009F1509" w:rsidRPr="004418BA" w:rsidP="00B07C21" w14:paraId="526D2C62" w14:textId="77777777">
            <w:pPr>
              <w:rPr>
                <w:color w:val="333333"/>
                <w:szCs w:val="22"/>
              </w:rPr>
            </w:pPr>
            <w:r w:rsidRPr="004418BA">
              <w:rPr>
                <w:color w:val="333333"/>
                <w:szCs w:val="22"/>
              </w:rPr>
              <w:t>Failure to respond to Commission communications</w:t>
            </w:r>
          </w:p>
        </w:tc>
        <w:tc>
          <w:tcPr>
            <w:tcW w:w="4675" w:type="dxa"/>
            <w:vAlign w:val="bottom"/>
          </w:tcPr>
          <w:p w:rsidR="009F1509" w:rsidRPr="004418BA" w:rsidP="00B07C21" w14:paraId="414C8FB5" w14:textId="77777777">
            <w:pPr>
              <w:rPr>
                <w:color w:val="333333"/>
                <w:szCs w:val="22"/>
              </w:rPr>
            </w:pPr>
            <w:r w:rsidRPr="004418BA">
              <w:rPr>
                <w:color w:val="333333"/>
                <w:szCs w:val="22"/>
              </w:rPr>
              <w:t>4,000</w:t>
            </w:r>
          </w:p>
        </w:tc>
      </w:tr>
      <w:tr w14:paraId="4430F881" w14:textId="77777777" w:rsidTr="00B07C21">
        <w:tblPrEx>
          <w:tblW w:w="0" w:type="auto"/>
          <w:tblLook w:val="04A0"/>
        </w:tblPrEx>
        <w:tc>
          <w:tcPr>
            <w:tcW w:w="4675" w:type="dxa"/>
            <w:vAlign w:val="bottom"/>
          </w:tcPr>
          <w:p w:rsidR="009F1509" w:rsidRPr="004418BA" w:rsidP="00B07C21" w14:paraId="616B6A9E" w14:textId="77777777">
            <w:pPr>
              <w:rPr>
                <w:color w:val="333333"/>
                <w:szCs w:val="22"/>
              </w:rPr>
            </w:pPr>
            <w:r w:rsidRPr="004418BA">
              <w:rPr>
                <w:color w:val="333333"/>
                <w:szCs w:val="22"/>
              </w:rPr>
              <w:t>Violation of sponsorship ID requirements</w:t>
            </w:r>
          </w:p>
        </w:tc>
        <w:tc>
          <w:tcPr>
            <w:tcW w:w="4675" w:type="dxa"/>
            <w:vAlign w:val="bottom"/>
          </w:tcPr>
          <w:p w:rsidR="009F1509" w:rsidRPr="004418BA" w:rsidP="00B07C21" w14:paraId="70E60A95" w14:textId="77777777">
            <w:pPr>
              <w:rPr>
                <w:color w:val="333333"/>
                <w:szCs w:val="22"/>
              </w:rPr>
            </w:pPr>
            <w:r w:rsidRPr="004418BA">
              <w:rPr>
                <w:color w:val="333333"/>
                <w:szCs w:val="22"/>
              </w:rPr>
              <w:t>4,000</w:t>
            </w:r>
          </w:p>
        </w:tc>
      </w:tr>
      <w:tr w14:paraId="4F488924" w14:textId="77777777" w:rsidTr="00B07C21">
        <w:tblPrEx>
          <w:tblW w:w="0" w:type="auto"/>
          <w:tblLook w:val="04A0"/>
        </w:tblPrEx>
        <w:tc>
          <w:tcPr>
            <w:tcW w:w="4675" w:type="dxa"/>
            <w:vAlign w:val="bottom"/>
          </w:tcPr>
          <w:p w:rsidR="009F1509" w:rsidRPr="004418BA" w:rsidP="00B07C21" w14:paraId="25BA48CD" w14:textId="77777777">
            <w:pPr>
              <w:rPr>
                <w:color w:val="333333"/>
                <w:szCs w:val="22"/>
              </w:rPr>
            </w:pPr>
            <w:r w:rsidRPr="004418BA">
              <w:rPr>
                <w:color w:val="333333"/>
                <w:szCs w:val="22"/>
              </w:rPr>
              <w:t>Unauthorized emissions</w:t>
            </w:r>
          </w:p>
        </w:tc>
        <w:tc>
          <w:tcPr>
            <w:tcW w:w="4675" w:type="dxa"/>
            <w:vAlign w:val="bottom"/>
          </w:tcPr>
          <w:p w:rsidR="009F1509" w:rsidRPr="004418BA" w:rsidP="00B07C21" w14:paraId="7687B570" w14:textId="77777777">
            <w:pPr>
              <w:rPr>
                <w:color w:val="333333"/>
                <w:szCs w:val="22"/>
              </w:rPr>
            </w:pPr>
            <w:r w:rsidRPr="004418BA">
              <w:rPr>
                <w:color w:val="333333"/>
                <w:szCs w:val="22"/>
              </w:rPr>
              <w:t>4,000</w:t>
            </w:r>
          </w:p>
        </w:tc>
      </w:tr>
      <w:tr w14:paraId="328954EB" w14:textId="77777777" w:rsidTr="00B07C21">
        <w:tblPrEx>
          <w:tblW w:w="0" w:type="auto"/>
          <w:tblLook w:val="04A0"/>
        </w:tblPrEx>
        <w:tc>
          <w:tcPr>
            <w:tcW w:w="4675" w:type="dxa"/>
            <w:vAlign w:val="bottom"/>
          </w:tcPr>
          <w:p w:rsidR="009F1509" w:rsidRPr="004418BA" w:rsidP="00B07C21" w14:paraId="2CC202DF" w14:textId="77777777">
            <w:pPr>
              <w:rPr>
                <w:color w:val="333333"/>
                <w:szCs w:val="22"/>
              </w:rPr>
            </w:pPr>
            <w:r w:rsidRPr="004418BA">
              <w:rPr>
                <w:color w:val="333333"/>
                <w:szCs w:val="22"/>
              </w:rPr>
              <w:t>Using unauthorized frequency</w:t>
            </w:r>
          </w:p>
        </w:tc>
        <w:tc>
          <w:tcPr>
            <w:tcW w:w="4675" w:type="dxa"/>
            <w:vAlign w:val="bottom"/>
          </w:tcPr>
          <w:p w:rsidR="009F1509" w:rsidRPr="004418BA" w:rsidP="00B07C21" w14:paraId="29F4E1DB" w14:textId="77777777">
            <w:pPr>
              <w:rPr>
                <w:color w:val="333333"/>
                <w:szCs w:val="22"/>
              </w:rPr>
            </w:pPr>
            <w:r w:rsidRPr="004418BA">
              <w:rPr>
                <w:color w:val="333333"/>
                <w:szCs w:val="22"/>
              </w:rPr>
              <w:t>4,000</w:t>
            </w:r>
          </w:p>
        </w:tc>
      </w:tr>
      <w:tr w14:paraId="26FC80E0" w14:textId="77777777" w:rsidTr="00B07C21">
        <w:tblPrEx>
          <w:tblW w:w="0" w:type="auto"/>
          <w:tblLook w:val="04A0"/>
        </w:tblPrEx>
        <w:tc>
          <w:tcPr>
            <w:tcW w:w="4675" w:type="dxa"/>
            <w:vAlign w:val="bottom"/>
          </w:tcPr>
          <w:p w:rsidR="009F1509" w:rsidRPr="004418BA" w:rsidP="00B07C21" w14:paraId="598B845A" w14:textId="77777777">
            <w:pPr>
              <w:rPr>
                <w:color w:val="333333"/>
                <w:szCs w:val="22"/>
              </w:rPr>
            </w:pPr>
            <w:r w:rsidRPr="004418BA">
              <w:rPr>
                <w:color w:val="333333"/>
                <w:szCs w:val="22"/>
              </w:rPr>
              <w:t>Failure to engage in required frequency coordination</w:t>
            </w:r>
          </w:p>
        </w:tc>
        <w:tc>
          <w:tcPr>
            <w:tcW w:w="4675" w:type="dxa"/>
            <w:vAlign w:val="bottom"/>
          </w:tcPr>
          <w:p w:rsidR="009F1509" w:rsidRPr="004418BA" w:rsidP="00B07C21" w14:paraId="58614763" w14:textId="77777777">
            <w:pPr>
              <w:rPr>
                <w:color w:val="333333"/>
                <w:szCs w:val="22"/>
              </w:rPr>
            </w:pPr>
            <w:r w:rsidRPr="004418BA">
              <w:rPr>
                <w:color w:val="333333"/>
                <w:szCs w:val="22"/>
              </w:rPr>
              <w:t>4,000</w:t>
            </w:r>
          </w:p>
        </w:tc>
      </w:tr>
      <w:tr w14:paraId="43FBF20C" w14:textId="77777777" w:rsidTr="00B07C21">
        <w:tblPrEx>
          <w:tblW w:w="0" w:type="auto"/>
          <w:tblLook w:val="04A0"/>
        </w:tblPrEx>
        <w:tc>
          <w:tcPr>
            <w:tcW w:w="4675" w:type="dxa"/>
            <w:vAlign w:val="bottom"/>
          </w:tcPr>
          <w:p w:rsidR="009F1509" w:rsidRPr="004418BA" w:rsidP="00B07C21" w14:paraId="3FE8D808" w14:textId="77777777">
            <w:pPr>
              <w:rPr>
                <w:color w:val="333333"/>
                <w:szCs w:val="22"/>
              </w:rPr>
            </w:pPr>
            <w:r w:rsidRPr="004418BA">
              <w:rPr>
                <w:color w:val="333333"/>
                <w:szCs w:val="22"/>
              </w:rPr>
              <w:t>Construction or operation at unauthorized location</w:t>
            </w:r>
          </w:p>
        </w:tc>
        <w:tc>
          <w:tcPr>
            <w:tcW w:w="4675" w:type="dxa"/>
            <w:vAlign w:val="bottom"/>
          </w:tcPr>
          <w:p w:rsidR="009F1509" w:rsidRPr="004418BA" w:rsidP="00B07C21" w14:paraId="62B48FC2" w14:textId="77777777">
            <w:pPr>
              <w:rPr>
                <w:color w:val="333333"/>
                <w:szCs w:val="22"/>
              </w:rPr>
            </w:pPr>
            <w:r w:rsidRPr="004418BA">
              <w:rPr>
                <w:color w:val="333333"/>
                <w:szCs w:val="22"/>
              </w:rPr>
              <w:t>4,000</w:t>
            </w:r>
          </w:p>
        </w:tc>
      </w:tr>
      <w:tr w14:paraId="04D932E1" w14:textId="77777777" w:rsidTr="00B07C21">
        <w:tblPrEx>
          <w:tblW w:w="0" w:type="auto"/>
          <w:tblLook w:val="04A0"/>
        </w:tblPrEx>
        <w:tc>
          <w:tcPr>
            <w:tcW w:w="4675" w:type="dxa"/>
            <w:vAlign w:val="bottom"/>
          </w:tcPr>
          <w:p w:rsidR="009F1509" w:rsidRPr="004418BA" w:rsidP="00B07C21" w14:paraId="338197C4" w14:textId="77777777">
            <w:pPr>
              <w:rPr>
                <w:color w:val="333333"/>
                <w:szCs w:val="22"/>
              </w:rPr>
            </w:pPr>
            <w:r w:rsidRPr="004418BA">
              <w:rPr>
                <w:color w:val="333333"/>
                <w:szCs w:val="22"/>
              </w:rPr>
              <w:t>Violation of requirements pertaining to broadcasting of lotteries or contests</w:t>
            </w:r>
          </w:p>
        </w:tc>
        <w:tc>
          <w:tcPr>
            <w:tcW w:w="4675" w:type="dxa"/>
            <w:vAlign w:val="bottom"/>
          </w:tcPr>
          <w:p w:rsidR="009F1509" w:rsidRPr="004418BA" w:rsidP="00B07C21" w14:paraId="0DA81924" w14:textId="77777777">
            <w:pPr>
              <w:rPr>
                <w:color w:val="333333"/>
                <w:szCs w:val="22"/>
              </w:rPr>
            </w:pPr>
            <w:r w:rsidRPr="004418BA">
              <w:rPr>
                <w:color w:val="333333"/>
                <w:szCs w:val="22"/>
              </w:rPr>
              <w:t>4,000</w:t>
            </w:r>
          </w:p>
        </w:tc>
      </w:tr>
      <w:tr w14:paraId="38364DC5" w14:textId="77777777" w:rsidTr="00B07C21">
        <w:tblPrEx>
          <w:tblW w:w="0" w:type="auto"/>
          <w:tblLook w:val="04A0"/>
        </w:tblPrEx>
        <w:tc>
          <w:tcPr>
            <w:tcW w:w="4675" w:type="dxa"/>
            <w:vAlign w:val="bottom"/>
          </w:tcPr>
          <w:p w:rsidR="009F1509" w:rsidRPr="004418BA" w:rsidP="00B07C21" w14:paraId="1B818914" w14:textId="77777777">
            <w:pPr>
              <w:rPr>
                <w:color w:val="333333"/>
                <w:szCs w:val="22"/>
              </w:rPr>
            </w:pPr>
            <w:r w:rsidRPr="004418BA">
              <w:rPr>
                <w:color w:val="333333"/>
                <w:szCs w:val="22"/>
              </w:rPr>
              <w:t>Violation of transmitter control and metering requirements</w:t>
            </w:r>
          </w:p>
        </w:tc>
        <w:tc>
          <w:tcPr>
            <w:tcW w:w="4675" w:type="dxa"/>
            <w:vAlign w:val="bottom"/>
          </w:tcPr>
          <w:p w:rsidR="009F1509" w:rsidRPr="004418BA" w:rsidP="00B07C21" w14:paraId="5374859A" w14:textId="77777777">
            <w:pPr>
              <w:rPr>
                <w:color w:val="333333"/>
                <w:szCs w:val="22"/>
              </w:rPr>
            </w:pPr>
            <w:r w:rsidRPr="004418BA">
              <w:rPr>
                <w:color w:val="333333"/>
                <w:szCs w:val="22"/>
              </w:rPr>
              <w:t>3,000</w:t>
            </w:r>
          </w:p>
        </w:tc>
      </w:tr>
      <w:tr w14:paraId="0F932615" w14:textId="77777777" w:rsidTr="00B07C21">
        <w:tblPrEx>
          <w:tblW w:w="0" w:type="auto"/>
          <w:tblLook w:val="04A0"/>
        </w:tblPrEx>
        <w:tc>
          <w:tcPr>
            <w:tcW w:w="4675" w:type="dxa"/>
            <w:vAlign w:val="bottom"/>
          </w:tcPr>
          <w:p w:rsidR="009F1509" w:rsidRPr="004418BA" w:rsidP="00B07C21" w14:paraId="16525CD4" w14:textId="77777777">
            <w:pPr>
              <w:rPr>
                <w:color w:val="333333"/>
                <w:szCs w:val="22"/>
              </w:rPr>
            </w:pPr>
            <w:r w:rsidRPr="004418BA">
              <w:rPr>
                <w:color w:val="333333"/>
                <w:szCs w:val="22"/>
              </w:rPr>
              <w:t>Failure to file required forms or information</w:t>
            </w:r>
          </w:p>
        </w:tc>
        <w:tc>
          <w:tcPr>
            <w:tcW w:w="4675" w:type="dxa"/>
            <w:vAlign w:val="bottom"/>
          </w:tcPr>
          <w:p w:rsidR="009F1509" w:rsidRPr="004418BA" w:rsidP="00B07C21" w14:paraId="70BFF7D2" w14:textId="77777777">
            <w:pPr>
              <w:rPr>
                <w:color w:val="333333"/>
                <w:szCs w:val="22"/>
              </w:rPr>
            </w:pPr>
            <w:r w:rsidRPr="004418BA">
              <w:rPr>
                <w:color w:val="333333"/>
                <w:szCs w:val="22"/>
              </w:rPr>
              <w:t>3,000</w:t>
            </w:r>
          </w:p>
        </w:tc>
      </w:tr>
      <w:tr w14:paraId="2EC598C4" w14:textId="77777777" w:rsidTr="00B07C21">
        <w:tblPrEx>
          <w:tblW w:w="0" w:type="auto"/>
          <w:tblLook w:val="04A0"/>
        </w:tblPrEx>
        <w:tc>
          <w:tcPr>
            <w:tcW w:w="4675" w:type="dxa"/>
            <w:vAlign w:val="bottom"/>
          </w:tcPr>
          <w:p w:rsidR="009F1509" w:rsidRPr="004418BA" w:rsidP="00B07C21" w14:paraId="1B28B199" w14:textId="77777777">
            <w:pPr>
              <w:rPr>
                <w:color w:val="333333"/>
                <w:szCs w:val="22"/>
              </w:rPr>
            </w:pPr>
            <w:r w:rsidRPr="004418BA">
              <w:rPr>
                <w:color w:val="333333"/>
                <w:szCs w:val="22"/>
              </w:rPr>
              <w:t>Failure to make required measurements or conduct required monitoring</w:t>
            </w:r>
          </w:p>
        </w:tc>
        <w:tc>
          <w:tcPr>
            <w:tcW w:w="4675" w:type="dxa"/>
            <w:vAlign w:val="bottom"/>
          </w:tcPr>
          <w:p w:rsidR="009F1509" w:rsidRPr="004418BA" w:rsidP="00B07C21" w14:paraId="0331F661" w14:textId="77777777">
            <w:pPr>
              <w:rPr>
                <w:color w:val="333333"/>
                <w:szCs w:val="22"/>
              </w:rPr>
            </w:pPr>
            <w:r w:rsidRPr="004418BA">
              <w:rPr>
                <w:color w:val="333333"/>
                <w:szCs w:val="22"/>
              </w:rPr>
              <w:t>2,000</w:t>
            </w:r>
          </w:p>
        </w:tc>
      </w:tr>
      <w:tr w14:paraId="676F8C59" w14:textId="77777777" w:rsidTr="00B07C21">
        <w:tblPrEx>
          <w:tblW w:w="0" w:type="auto"/>
          <w:tblLook w:val="04A0"/>
        </w:tblPrEx>
        <w:tc>
          <w:tcPr>
            <w:tcW w:w="4675" w:type="dxa"/>
            <w:vAlign w:val="bottom"/>
          </w:tcPr>
          <w:p w:rsidR="009F1509" w:rsidRPr="004418BA" w:rsidP="00B07C21" w14:paraId="6D827384" w14:textId="77777777">
            <w:pPr>
              <w:rPr>
                <w:color w:val="333333"/>
                <w:szCs w:val="22"/>
              </w:rPr>
            </w:pPr>
            <w:r w:rsidRPr="004418BA">
              <w:rPr>
                <w:color w:val="333333"/>
                <w:szCs w:val="22"/>
              </w:rPr>
              <w:t>Failure to provide station ID</w:t>
            </w:r>
          </w:p>
        </w:tc>
        <w:tc>
          <w:tcPr>
            <w:tcW w:w="4675" w:type="dxa"/>
            <w:vAlign w:val="bottom"/>
          </w:tcPr>
          <w:p w:rsidR="009F1509" w:rsidRPr="004418BA" w:rsidP="00B07C21" w14:paraId="40967767" w14:textId="77777777">
            <w:pPr>
              <w:rPr>
                <w:color w:val="333333"/>
                <w:szCs w:val="22"/>
              </w:rPr>
            </w:pPr>
            <w:r w:rsidRPr="004418BA">
              <w:rPr>
                <w:color w:val="333333"/>
                <w:szCs w:val="22"/>
              </w:rPr>
              <w:t>1,000</w:t>
            </w:r>
          </w:p>
        </w:tc>
      </w:tr>
      <w:tr w14:paraId="794636C9" w14:textId="77777777" w:rsidTr="00B07C21">
        <w:tblPrEx>
          <w:tblW w:w="0" w:type="auto"/>
          <w:tblLook w:val="04A0"/>
        </w:tblPrEx>
        <w:tc>
          <w:tcPr>
            <w:tcW w:w="4675" w:type="dxa"/>
            <w:vAlign w:val="bottom"/>
          </w:tcPr>
          <w:p w:rsidR="009F1509" w:rsidRPr="004418BA" w:rsidP="00B07C21" w14:paraId="3D681BAF" w14:textId="77777777">
            <w:pPr>
              <w:rPr>
                <w:color w:val="333333"/>
                <w:szCs w:val="22"/>
              </w:rPr>
            </w:pPr>
            <w:r w:rsidRPr="004418BA">
              <w:rPr>
                <w:color w:val="333333"/>
                <w:szCs w:val="22"/>
              </w:rPr>
              <w:t>Unauthorized pro forma transfer of control</w:t>
            </w:r>
          </w:p>
        </w:tc>
        <w:tc>
          <w:tcPr>
            <w:tcW w:w="4675" w:type="dxa"/>
            <w:vAlign w:val="bottom"/>
          </w:tcPr>
          <w:p w:rsidR="009F1509" w:rsidRPr="004418BA" w:rsidP="00B07C21" w14:paraId="5DFACAE2" w14:textId="77777777">
            <w:pPr>
              <w:rPr>
                <w:color w:val="333333"/>
                <w:szCs w:val="22"/>
              </w:rPr>
            </w:pPr>
            <w:r w:rsidRPr="004418BA">
              <w:rPr>
                <w:color w:val="333333"/>
                <w:szCs w:val="22"/>
              </w:rPr>
              <w:t>1,000</w:t>
            </w:r>
          </w:p>
        </w:tc>
      </w:tr>
      <w:tr w14:paraId="1C3A833F" w14:textId="77777777" w:rsidTr="00B07C21">
        <w:tblPrEx>
          <w:tblW w:w="0" w:type="auto"/>
          <w:tblLook w:val="04A0"/>
        </w:tblPrEx>
        <w:tc>
          <w:tcPr>
            <w:tcW w:w="4675" w:type="dxa"/>
            <w:vAlign w:val="bottom"/>
          </w:tcPr>
          <w:p w:rsidR="009F1509" w:rsidRPr="004418BA" w:rsidP="00B07C21" w14:paraId="15B0B26F" w14:textId="77777777">
            <w:pPr>
              <w:rPr>
                <w:color w:val="333333"/>
                <w:szCs w:val="22"/>
              </w:rPr>
            </w:pPr>
            <w:r w:rsidRPr="004418BA">
              <w:rPr>
                <w:color w:val="333333"/>
                <w:szCs w:val="22"/>
              </w:rPr>
              <w:t>Failure to maintain required records</w:t>
            </w:r>
          </w:p>
        </w:tc>
        <w:tc>
          <w:tcPr>
            <w:tcW w:w="4675" w:type="dxa"/>
            <w:vAlign w:val="bottom"/>
          </w:tcPr>
          <w:p w:rsidR="009F1509" w:rsidRPr="004418BA" w:rsidP="00B07C21" w14:paraId="36BA1814" w14:textId="77777777">
            <w:pPr>
              <w:rPr>
                <w:color w:val="333333"/>
                <w:szCs w:val="22"/>
              </w:rPr>
            </w:pPr>
            <w:r w:rsidRPr="004418BA">
              <w:rPr>
                <w:color w:val="333333"/>
                <w:szCs w:val="22"/>
              </w:rPr>
              <w:t>1,000</w:t>
            </w:r>
          </w:p>
        </w:tc>
      </w:tr>
    </w:tbl>
    <w:p w:rsidR="009F1509" w:rsidRPr="004418BA" w:rsidP="009F1509" w14:paraId="0BC9C269" w14:textId="77777777">
      <w:pPr>
        <w:rPr>
          <w:szCs w:val="22"/>
        </w:rPr>
      </w:pPr>
    </w:p>
    <w:p w:rsidR="009F1509" w:rsidRPr="004418BA" w:rsidP="009F1509" w14:paraId="5633E44D" w14:textId="77777777">
      <w:pPr>
        <w:rPr>
          <w:i/>
          <w:iCs/>
          <w:color w:val="333333"/>
          <w:szCs w:val="22"/>
          <w:shd w:val="clear" w:color="auto" w:fill="F1F1F1"/>
        </w:rPr>
      </w:pPr>
      <w:r w:rsidRPr="004418BA">
        <w:rPr>
          <w:i/>
          <w:iCs/>
          <w:color w:val="333333"/>
          <w:szCs w:val="22"/>
          <w:bdr w:val="none" w:sz="0" w:space="0" w:color="auto" w:frame="1"/>
          <w:shd w:val="clear" w:color="auto" w:fill="F1F1F1"/>
          <w:vertAlign w:val="superscript"/>
        </w:rPr>
        <w:t>1</w:t>
      </w:r>
      <w:r w:rsidRPr="004418BA">
        <w:rPr>
          <w:i/>
          <w:iCs/>
          <w:color w:val="333333"/>
          <w:szCs w:val="22"/>
          <w:shd w:val="clear" w:color="auto" w:fill="F1F1F1"/>
        </w:rPr>
        <w:t> Statutory Maximum for each Service.</w:t>
      </w:r>
    </w:p>
    <w:p w:rsidR="009F1509" w:rsidRPr="004418BA" w:rsidP="009F1509" w14:paraId="1FCA339E" w14:textId="77777777">
      <w:pPr>
        <w:rPr>
          <w:szCs w:val="22"/>
        </w:rPr>
      </w:pPr>
    </w:p>
    <w:p w:rsidR="009F1509" w:rsidRPr="004418BA" w:rsidP="009F1509" w14:paraId="2B2AFF7A" w14:textId="77777777">
      <w:pPr>
        <w:rPr>
          <w:color w:val="333333"/>
          <w:szCs w:val="22"/>
          <w:shd w:val="clear" w:color="auto" w:fill="F1F1F1"/>
        </w:rPr>
      </w:pPr>
      <w:r w:rsidRPr="004418BA">
        <w:rPr>
          <w:color w:val="333333"/>
          <w:szCs w:val="22"/>
          <w:shd w:val="clear" w:color="auto" w:fill="F1F1F1"/>
        </w:rPr>
        <w:t>Table 2 to Paragraph (b)(10)—Violations Unique to the Service</w:t>
      </w:r>
    </w:p>
    <w:p w:rsidR="009F1509" w:rsidRPr="004418BA" w:rsidP="009F1509" w14:paraId="2B97C550" w14:textId="77777777">
      <w:pPr>
        <w:rPr>
          <w:color w:val="333333"/>
          <w:szCs w:val="22"/>
          <w:shd w:val="clear" w:color="auto" w:fill="F1F1F1"/>
        </w:rPr>
      </w:pPr>
    </w:p>
    <w:tbl>
      <w:tblPr>
        <w:tblStyle w:val="TableGrid"/>
        <w:tblW w:w="0" w:type="auto"/>
        <w:tblLook w:val="04A0"/>
      </w:tblPr>
      <w:tblGrid>
        <w:gridCol w:w="3116"/>
        <w:gridCol w:w="3117"/>
        <w:gridCol w:w="3117"/>
      </w:tblGrid>
      <w:tr w14:paraId="667452C7" w14:textId="77777777" w:rsidTr="00B07C21">
        <w:tblPrEx>
          <w:tblW w:w="0" w:type="auto"/>
          <w:tblLook w:val="04A0"/>
        </w:tblPrEx>
        <w:tc>
          <w:tcPr>
            <w:tcW w:w="3116" w:type="dxa"/>
            <w:vAlign w:val="center"/>
          </w:tcPr>
          <w:p w:rsidR="009F1509" w:rsidRPr="004418BA" w:rsidP="00B07C21" w14:paraId="7879474E" w14:textId="77777777">
            <w:pPr>
              <w:rPr>
                <w:szCs w:val="22"/>
              </w:rPr>
            </w:pPr>
            <w:r w:rsidRPr="004418BA">
              <w:rPr>
                <w:b/>
                <w:bCs/>
                <w:color w:val="333333"/>
                <w:szCs w:val="22"/>
              </w:rPr>
              <w:t>Violation</w:t>
            </w:r>
          </w:p>
        </w:tc>
        <w:tc>
          <w:tcPr>
            <w:tcW w:w="3117" w:type="dxa"/>
            <w:vAlign w:val="center"/>
          </w:tcPr>
          <w:p w:rsidR="009F1509" w:rsidRPr="004418BA" w:rsidP="00B07C21" w14:paraId="5FB172D8" w14:textId="77777777">
            <w:pPr>
              <w:rPr>
                <w:szCs w:val="22"/>
              </w:rPr>
            </w:pPr>
            <w:r w:rsidRPr="004418BA">
              <w:rPr>
                <w:b/>
                <w:bCs/>
                <w:color w:val="333333"/>
                <w:szCs w:val="22"/>
              </w:rPr>
              <w:t>Services affected</w:t>
            </w:r>
          </w:p>
        </w:tc>
        <w:tc>
          <w:tcPr>
            <w:tcW w:w="3117" w:type="dxa"/>
            <w:vAlign w:val="center"/>
          </w:tcPr>
          <w:p w:rsidR="009F1509" w:rsidRPr="004418BA" w:rsidP="00B07C21" w14:paraId="358FBDE2" w14:textId="77777777">
            <w:pPr>
              <w:rPr>
                <w:szCs w:val="22"/>
              </w:rPr>
            </w:pPr>
            <w:r w:rsidRPr="004418BA">
              <w:rPr>
                <w:b/>
                <w:bCs/>
                <w:color w:val="333333"/>
                <w:szCs w:val="22"/>
              </w:rPr>
              <w:t>Amount</w:t>
            </w:r>
          </w:p>
        </w:tc>
      </w:tr>
      <w:tr w14:paraId="623969B6" w14:textId="77777777" w:rsidTr="00B07C21">
        <w:tblPrEx>
          <w:tblW w:w="0" w:type="auto"/>
          <w:tblLook w:val="04A0"/>
        </w:tblPrEx>
        <w:tc>
          <w:tcPr>
            <w:tcW w:w="3116" w:type="dxa"/>
            <w:vAlign w:val="bottom"/>
          </w:tcPr>
          <w:p w:rsidR="009F1509" w:rsidRPr="004418BA" w:rsidP="00B07C21" w14:paraId="179887AB" w14:textId="77777777">
            <w:pPr>
              <w:rPr>
                <w:szCs w:val="22"/>
              </w:rPr>
            </w:pPr>
            <w:r w:rsidRPr="004418BA">
              <w:rPr>
                <w:color w:val="333333"/>
                <w:szCs w:val="22"/>
              </w:rPr>
              <w:t xml:space="preserve">Unauthorized conversion of </w:t>
            </w:r>
            <w:r w:rsidRPr="004418BA">
              <w:rPr>
                <w:color w:val="333333"/>
                <w:szCs w:val="22"/>
              </w:rPr>
              <w:t>long distance</w:t>
            </w:r>
            <w:r w:rsidRPr="004418BA">
              <w:rPr>
                <w:color w:val="333333"/>
                <w:szCs w:val="22"/>
              </w:rPr>
              <w:t xml:space="preserve"> telephone service</w:t>
            </w:r>
          </w:p>
        </w:tc>
        <w:tc>
          <w:tcPr>
            <w:tcW w:w="3117" w:type="dxa"/>
            <w:vAlign w:val="bottom"/>
          </w:tcPr>
          <w:p w:rsidR="009F1509" w:rsidRPr="004418BA" w:rsidP="00B07C21" w14:paraId="519969C3" w14:textId="77777777">
            <w:pPr>
              <w:rPr>
                <w:szCs w:val="22"/>
              </w:rPr>
            </w:pPr>
            <w:r w:rsidRPr="004418BA">
              <w:rPr>
                <w:color w:val="333333"/>
                <w:szCs w:val="22"/>
              </w:rPr>
              <w:t>Common Carrier</w:t>
            </w:r>
          </w:p>
        </w:tc>
        <w:tc>
          <w:tcPr>
            <w:tcW w:w="3117" w:type="dxa"/>
            <w:vAlign w:val="bottom"/>
          </w:tcPr>
          <w:p w:rsidR="009F1509" w:rsidRPr="004418BA" w:rsidP="00B07C21" w14:paraId="057B31FD" w14:textId="77777777">
            <w:pPr>
              <w:rPr>
                <w:szCs w:val="22"/>
              </w:rPr>
            </w:pPr>
            <w:r w:rsidRPr="004418BA">
              <w:rPr>
                <w:color w:val="333333"/>
                <w:szCs w:val="22"/>
              </w:rPr>
              <w:t>$40,000</w:t>
            </w:r>
          </w:p>
        </w:tc>
      </w:tr>
      <w:tr w14:paraId="753A6C33" w14:textId="77777777" w:rsidTr="00B07C21">
        <w:tblPrEx>
          <w:tblW w:w="0" w:type="auto"/>
          <w:tblLook w:val="04A0"/>
        </w:tblPrEx>
        <w:tc>
          <w:tcPr>
            <w:tcW w:w="3116" w:type="dxa"/>
            <w:vAlign w:val="bottom"/>
          </w:tcPr>
          <w:p w:rsidR="009F1509" w:rsidRPr="004418BA" w:rsidP="00B07C21" w14:paraId="4F994ACD" w14:textId="77777777">
            <w:pPr>
              <w:rPr>
                <w:szCs w:val="22"/>
              </w:rPr>
            </w:pPr>
            <w:r w:rsidRPr="004418BA">
              <w:rPr>
                <w:color w:val="333333"/>
                <w:szCs w:val="22"/>
              </w:rPr>
              <w:t>Violation of operator services requirements</w:t>
            </w:r>
          </w:p>
        </w:tc>
        <w:tc>
          <w:tcPr>
            <w:tcW w:w="3117" w:type="dxa"/>
            <w:vAlign w:val="bottom"/>
          </w:tcPr>
          <w:p w:rsidR="009F1509" w:rsidRPr="004418BA" w:rsidP="00B07C21" w14:paraId="46D77297" w14:textId="77777777">
            <w:pPr>
              <w:rPr>
                <w:szCs w:val="22"/>
              </w:rPr>
            </w:pPr>
            <w:r w:rsidRPr="004418BA">
              <w:rPr>
                <w:color w:val="333333"/>
                <w:szCs w:val="22"/>
              </w:rPr>
              <w:t>Common Carrier</w:t>
            </w:r>
          </w:p>
        </w:tc>
        <w:tc>
          <w:tcPr>
            <w:tcW w:w="3117" w:type="dxa"/>
            <w:vAlign w:val="bottom"/>
          </w:tcPr>
          <w:p w:rsidR="009F1509" w:rsidRPr="004418BA" w:rsidP="00B07C21" w14:paraId="5253D5B5" w14:textId="77777777">
            <w:pPr>
              <w:rPr>
                <w:szCs w:val="22"/>
              </w:rPr>
            </w:pPr>
            <w:r w:rsidRPr="004418BA">
              <w:rPr>
                <w:color w:val="333333"/>
                <w:szCs w:val="22"/>
              </w:rPr>
              <w:t>7,000</w:t>
            </w:r>
          </w:p>
        </w:tc>
      </w:tr>
      <w:tr w14:paraId="32578A66" w14:textId="77777777" w:rsidTr="00B07C21">
        <w:tblPrEx>
          <w:tblW w:w="0" w:type="auto"/>
          <w:tblLook w:val="04A0"/>
        </w:tblPrEx>
        <w:tc>
          <w:tcPr>
            <w:tcW w:w="3116" w:type="dxa"/>
            <w:vAlign w:val="bottom"/>
          </w:tcPr>
          <w:p w:rsidR="009F1509" w:rsidRPr="004418BA" w:rsidP="00B07C21" w14:paraId="5D55CC7F" w14:textId="77777777">
            <w:pPr>
              <w:rPr>
                <w:szCs w:val="22"/>
              </w:rPr>
            </w:pPr>
            <w:r w:rsidRPr="004418BA">
              <w:rPr>
                <w:color w:val="333333"/>
                <w:szCs w:val="22"/>
              </w:rPr>
              <w:t>Violation of pay-per-call requirements</w:t>
            </w:r>
          </w:p>
        </w:tc>
        <w:tc>
          <w:tcPr>
            <w:tcW w:w="3117" w:type="dxa"/>
            <w:vAlign w:val="bottom"/>
          </w:tcPr>
          <w:p w:rsidR="009F1509" w:rsidRPr="004418BA" w:rsidP="00B07C21" w14:paraId="3F931A99" w14:textId="77777777">
            <w:pPr>
              <w:rPr>
                <w:szCs w:val="22"/>
              </w:rPr>
            </w:pPr>
            <w:r w:rsidRPr="004418BA">
              <w:rPr>
                <w:color w:val="333333"/>
                <w:szCs w:val="22"/>
              </w:rPr>
              <w:t>Common Carrier</w:t>
            </w:r>
          </w:p>
        </w:tc>
        <w:tc>
          <w:tcPr>
            <w:tcW w:w="3117" w:type="dxa"/>
            <w:vAlign w:val="bottom"/>
          </w:tcPr>
          <w:p w:rsidR="009F1509" w:rsidRPr="004418BA" w:rsidP="00B07C21" w14:paraId="09704018" w14:textId="77777777">
            <w:pPr>
              <w:rPr>
                <w:szCs w:val="22"/>
              </w:rPr>
            </w:pPr>
            <w:r w:rsidRPr="004418BA">
              <w:rPr>
                <w:color w:val="333333"/>
                <w:szCs w:val="22"/>
              </w:rPr>
              <w:t>7,000</w:t>
            </w:r>
          </w:p>
        </w:tc>
      </w:tr>
      <w:tr w14:paraId="2361B0AA" w14:textId="77777777" w:rsidTr="00B07C21">
        <w:tblPrEx>
          <w:tblW w:w="0" w:type="auto"/>
          <w:tblLook w:val="04A0"/>
        </w:tblPrEx>
        <w:tc>
          <w:tcPr>
            <w:tcW w:w="3116" w:type="dxa"/>
            <w:vAlign w:val="bottom"/>
          </w:tcPr>
          <w:p w:rsidR="009F1509" w:rsidRPr="004418BA" w:rsidP="00B07C21" w14:paraId="63652EF0" w14:textId="77777777">
            <w:pPr>
              <w:rPr>
                <w:szCs w:val="22"/>
              </w:rPr>
            </w:pPr>
            <w:r w:rsidRPr="004418BA">
              <w:rPr>
                <w:color w:val="333333"/>
                <w:szCs w:val="22"/>
              </w:rPr>
              <w:t>Failure to implement rate reduction or refund order</w:t>
            </w:r>
          </w:p>
        </w:tc>
        <w:tc>
          <w:tcPr>
            <w:tcW w:w="3117" w:type="dxa"/>
            <w:vAlign w:val="bottom"/>
          </w:tcPr>
          <w:p w:rsidR="009F1509" w:rsidRPr="004418BA" w:rsidP="00B07C21" w14:paraId="3BC69CC2" w14:textId="77777777">
            <w:pPr>
              <w:rPr>
                <w:szCs w:val="22"/>
              </w:rPr>
            </w:pPr>
            <w:r w:rsidRPr="004418BA">
              <w:rPr>
                <w:color w:val="333333"/>
                <w:szCs w:val="22"/>
              </w:rPr>
              <w:t>Cable</w:t>
            </w:r>
          </w:p>
        </w:tc>
        <w:tc>
          <w:tcPr>
            <w:tcW w:w="3117" w:type="dxa"/>
            <w:vAlign w:val="bottom"/>
          </w:tcPr>
          <w:p w:rsidR="009F1509" w:rsidRPr="004418BA" w:rsidP="00B07C21" w14:paraId="4D7883B6" w14:textId="77777777">
            <w:pPr>
              <w:rPr>
                <w:szCs w:val="22"/>
              </w:rPr>
            </w:pPr>
            <w:r w:rsidRPr="004418BA">
              <w:rPr>
                <w:color w:val="333333"/>
                <w:szCs w:val="22"/>
              </w:rPr>
              <w:t>7,500</w:t>
            </w:r>
          </w:p>
        </w:tc>
      </w:tr>
      <w:tr w14:paraId="78137497" w14:textId="77777777" w:rsidTr="00B07C21">
        <w:tblPrEx>
          <w:tblW w:w="0" w:type="auto"/>
          <w:tblLook w:val="04A0"/>
        </w:tblPrEx>
        <w:tc>
          <w:tcPr>
            <w:tcW w:w="3116" w:type="dxa"/>
            <w:vAlign w:val="bottom"/>
          </w:tcPr>
          <w:p w:rsidR="009F1509" w:rsidRPr="004418BA" w:rsidP="00B07C21" w14:paraId="75C33189" w14:textId="77777777">
            <w:pPr>
              <w:rPr>
                <w:szCs w:val="22"/>
              </w:rPr>
            </w:pPr>
            <w:r w:rsidRPr="004418BA">
              <w:rPr>
                <w:color w:val="333333"/>
                <w:szCs w:val="22"/>
              </w:rPr>
              <w:t>Violation of cable program access rules</w:t>
            </w:r>
          </w:p>
        </w:tc>
        <w:tc>
          <w:tcPr>
            <w:tcW w:w="3117" w:type="dxa"/>
            <w:vAlign w:val="bottom"/>
          </w:tcPr>
          <w:p w:rsidR="009F1509" w:rsidRPr="004418BA" w:rsidP="00B07C21" w14:paraId="5C50556C" w14:textId="77777777">
            <w:pPr>
              <w:rPr>
                <w:szCs w:val="22"/>
              </w:rPr>
            </w:pPr>
            <w:r w:rsidRPr="004418BA">
              <w:rPr>
                <w:color w:val="333333"/>
                <w:szCs w:val="22"/>
              </w:rPr>
              <w:t>Cable</w:t>
            </w:r>
          </w:p>
        </w:tc>
        <w:tc>
          <w:tcPr>
            <w:tcW w:w="3117" w:type="dxa"/>
            <w:vAlign w:val="bottom"/>
          </w:tcPr>
          <w:p w:rsidR="009F1509" w:rsidRPr="004418BA" w:rsidP="00B07C21" w14:paraId="10E9E56E" w14:textId="77777777">
            <w:pPr>
              <w:rPr>
                <w:szCs w:val="22"/>
              </w:rPr>
            </w:pPr>
            <w:r w:rsidRPr="004418BA">
              <w:rPr>
                <w:color w:val="333333"/>
                <w:szCs w:val="22"/>
              </w:rPr>
              <w:t>7,500</w:t>
            </w:r>
          </w:p>
        </w:tc>
      </w:tr>
      <w:tr w14:paraId="1F3BD270" w14:textId="77777777" w:rsidTr="00B07C21">
        <w:tblPrEx>
          <w:tblW w:w="0" w:type="auto"/>
          <w:tblLook w:val="04A0"/>
        </w:tblPrEx>
        <w:tc>
          <w:tcPr>
            <w:tcW w:w="3116" w:type="dxa"/>
            <w:vAlign w:val="bottom"/>
          </w:tcPr>
          <w:p w:rsidR="009F1509" w:rsidRPr="004418BA" w:rsidP="00B07C21" w14:paraId="1D6CB793" w14:textId="77777777">
            <w:pPr>
              <w:rPr>
                <w:szCs w:val="22"/>
              </w:rPr>
            </w:pPr>
            <w:r w:rsidRPr="004418BA">
              <w:rPr>
                <w:color w:val="333333"/>
                <w:szCs w:val="22"/>
              </w:rPr>
              <w:t>Violation of cable leased access rules</w:t>
            </w:r>
          </w:p>
        </w:tc>
        <w:tc>
          <w:tcPr>
            <w:tcW w:w="3117" w:type="dxa"/>
            <w:vAlign w:val="bottom"/>
          </w:tcPr>
          <w:p w:rsidR="009F1509" w:rsidRPr="004418BA" w:rsidP="00B07C21" w14:paraId="6ECB3979" w14:textId="77777777">
            <w:pPr>
              <w:rPr>
                <w:szCs w:val="22"/>
              </w:rPr>
            </w:pPr>
            <w:r w:rsidRPr="004418BA">
              <w:rPr>
                <w:color w:val="333333"/>
                <w:szCs w:val="22"/>
              </w:rPr>
              <w:t>Cable</w:t>
            </w:r>
          </w:p>
        </w:tc>
        <w:tc>
          <w:tcPr>
            <w:tcW w:w="3117" w:type="dxa"/>
            <w:vAlign w:val="bottom"/>
          </w:tcPr>
          <w:p w:rsidR="009F1509" w:rsidRPr="004418BA" w:rsidP="00B07C21" w14:paraId="0568C435" w14:textId="77777777">
            <w:pPr>
              <w:rPr>
                <w:szCs w:val="22"/>
              </w:rPr>
            </w:pPr>
            <w:r w:rsidRPr="004418BA">
              <w:rPr>
                <w:color w:val="333333"/>
                <w:szCs w:val="22"/>
              </w:rPr>
              <w:t>7,500</w:t>
            </w:r>
          </w:p>
        </w:tc>
      </w:tr>
      <w:tr w14:paraId="047CD160" w14:textId="77777777" w:rsidTr="00B07C21">
        <w:tblPrEx>
          <w:tblW w:w="0" w:type="auto"/>
          <w:tblLook w:val="04A0"/>
        </w:tblPrEx>
        <w:tc>
          <w:tcPr>
            <w:tcW w:w="3116" w:type="dxa"/>
            <w:vAlign w:val="bottom"/>
          </w:tcPr>
          <w:p w:rsidR="009F1509" w:rsidRPr="004418BA" w:rsidP="00B07C21" w14:paraId="5504DA78" w14:textId="77777777">
            <w:pPr>
              <w:rPr>
                <w:szCs w:val="22"/>
              </w:rPr>
            </w:pPr>
            <w:r w:rsidRPr="004418BA">
              <w:rPr>
                <w:color w:val="333333"/>
                <w:szCs w:val="22"/>
              </w:rPr>
              <w:t>Violation of cable cross-ownership rules</w:t>
            </w:r>
          </w:p>
        </w:tc>
        <w:tc>
          <w:tcPr>
            <w:tcW w:w="3117" w:type="dxa"/>
            <w:vAlign w:val="bottom"/>
          </w:tcPr>
          <w:p w:rsidR="009F1509" w:rsidRPr="004418BA" w:rsidP="00B07C21" w14:paraId="363E07E2" w14:textId="77777777">
            <w:pPr>
              <w:rPr>
                <w:szCs w:val="22"/>
              </w:rPr>
            </w:pPr>
            <w:r w:rsidRPr="004418BA">
              <w:rPr>
                <w:color w:val="333333"/>
                <w:szCs w:val="22"/>
              </w:rPr>
              <w:t>Cable</w:t>
            </w:r>
          </w:p>
        </w:tc>
        <w:tc>
          <w:tcPr>
            <w:tcW w:w="3117" w:type="dxa"/>
            <w:vAlign w:val="bottom"/>
          </w:tcPr>
          <w:p w:rsidR="009F1509" w:rsidRPr="004418BA" w:rsidP="00B07C21" w14:paraId="04C13E39" w14:textId="77777777">
            <w:pPr>
              <w:rPr>
                <w:szCs w:val="22"/>
              </w:rPr>
            </w:pPr>
            <w:r w:rsidRPr="004418BA">
              <w:rPr>
                <w:color w:val="333333"/>
                <w:szCs w:val="22"/>
              </w:rPr>
              <w:t>7,500</w:t>
            </w:r>
          </w:p>
        </w:tc>
      </w:tr>
      <w:tr w14:paraId="11137304" w14:textId="77777777" w:rsidTr="00B07C21">
        <w:tblPrEx>
          <w:tblW w:w="0" w:type="auto"/>
          <w:tblLook w:val="04A0"/>
        </w:tblPrEx>
        <w:tc>
          <w:tcPr>
            <w:tcW w:w="3116" w:type="dxa"/>
            <w:vAlign w:val="bottom"/>
          </w:tcPr>
          <w:p w:rsidR="009F1509" w:rsidRPr="004418BA" w:rsidP="00B07C21" w14:paraId="4378F9FC" w14:textId="77777777">
            <w:pPr>
              <w:rPr>
                <w:color w:val="333333"/>
                <w:szCs w:val="22"/>
              </w:rPr>
            </w:pPr>
            <w:r w:rsidRPr="004418BA">
              <w:rPr>
                <w:color w:val="333333"/>
                <w:szCs w:val="22"/>
              </w:rPr>
              <w:t>Violation of cable broadcast carriage rules</w:t>
            </w:r>
          </w:p>
        </w:tc>
        <w:tc>
          <w:tcPr>
            <w:tcW w:w="3117" w:type="dxa"/>
            <w:vAlign w:val="bottom"/>
          </w:tcPr>
          <w:p w:rsidR="009F1509" w:rsidRPr="004418BA" w:rsidP="00B07C21" w14:paraId="131B1589" w14:textId="77777777">
            <w:pPr>
              <w:rPr>
                <w:color w:val="333333"/>
                <w:szCs w:val="22"/>
              </w:rPr>
            </w:pPr>
            <w:r w:rsidRPr="004418BA">
              <w:rPr>
                <w:color w:val="333333"/>
                <w:szCs w:val="22"/>
              </w:rPr>
              <w:t>Cable</w:t>
            </w:r>
          </w:p>
        </w:tc>
        <w:tc>
          <w:tcPr>
            <w:tcW w:w="3117" w:type="dxa"/>
            <w:vAlign w:val="bottom"/>
          </w:tcPr>
          <w:p w:rsidR="009F1509" w:rsidRPr="004418BA" w:rsidP="00B07C21" w14:paraId="1115EC35" w14:textId="77777777">
            <w:pPr>
              <w:rPr>
                <w:color w:val="333333"/>
                <w:szCs w:val="22"/>
              </w:rPr>
            </w:pPr>
            <w:r w:rsidRPr="004418BA">
              <w:rPr>
                <w:color w:val="333333"/>
                <w:szCs w:val="22"/>
              </w:rPr>
              <w:t>7,500</w:t>
            </w:r>
          </w:p>
        </w:tc>
      </w:tr>
      <w:tr w14:paraId="2B3ECA67" w14:textId="77777777" w:rsidTr="00B07C21">
        <w:tblPrEx>
          <w:tblW w:w="0" w:type="auto"/>
          <w:tblLook w:val="04A0"/>
        </w:tblPrEx>
        <w:tc>
          <w:tcPr>
            <w:tcW w:w="3116" w:type="dxa"/>
            <w:vAlign w:val="bottom"/>
          </w:tcPr>
          <w:p w:rsidR="009F1509" w:rsidRPr="004418BA" w:rsidP="001D3B3A" w14:paraId="3230180D" w14:textId="77777777">
            <w:pPr>
              <w:widowControl/>
              <w:rPr>
                <w:color w:val="333333"/>
                <w:szCs w:val="22"/>
              </w:rPr>
            </w:pPr>
            <w:bookmarkStart w:id="0" w:name="_GoBack"/>
            <w:bookmarkEnd w:id="0"/>
            <w:r w:rsidRPr="004418BA">
              <w:rPr>
                <w:color w:val="333333"/>
                <w:szCs w:val="22"/>
              </w:rPr>
              <w:t xml:space="preserve">Violation of pole attachment </w:t>
            </w:r>
            <w:r w:rsidRPr="004418BA">
              <w:rPr>
                <w:color w:val="333333"/>
                <w:szCs w:val="22"/>
              </w:rPr>
              <w:t>rules</w:t>
            </w:r>
          </w:p>
        </w:tc>
        <w:tc>
          <w:tcPr>
            <w:tcW w:w="3117" w:type="dxa"/>
            <w:vAlign w:val="bottom"/>
          </w:tcPr>
          <w:p w:rsidR="009F1509" w:rsidRPr="004418BA" w:rsidP="00B07C21" w14:paraId="7A177C04" w14:textId="77777777">
            <w:pPr>
              <w:rPr>
                <w:color w:val="333333"/>
                <w:szCs w:val="22"/>
              </w:rPr>
            </w:pPr>
            <w:r w:rsidRPr="004418BA">
              <w:rPr>
                <w:color w:val="333333"/>
                <w:szCs w:val="22"/>
              </w:rPr>
              <w:t>Cable</w:t>
            </w:r>
          </w:p>
        </w:tc>
        <w:tc>
          <w:tcPr>
            <w:tcW w:w="3117" w:type="dxa"/>
            <w:vAlign w:val="bottom"/>
          </w:tcPr>
          <w:p w:rsidR="009F1509" w:rsidRPr="004418BA" w:rsidP="00B07C21" w14:paraId="71FDA8BA" w14:textId="77777777">
            <w:pPr>
              <w:rPr>
                <w:color w:val="333333"/>
                <w:szCs w:val="22"/>
              </w:rPr>
            </w:pPr>
            <w:r w:rsidRPr="004418BA">
              <w:rPr>
                <w:color w:val="333333"/>
                <w:szCs w:val="22"/>
              </w:rPr>
              <w:t>7,500</w:t>
            </w:r>
          </w:p>
        </w:tc>
      </w:tr>
      <w:tr w14:paraId="06B2B8E8" w14:textId="77777777" w:rsidTr="00B07C21">
        <w:tblPrEx>
          <w:tblW w:w="0" w:type="auto"/>
          <w:tblLook w:val="04A0"/>
        </w:tblPrEx>
        <w:tc>
          <w:tcPr>
            <w:tcW w:w="3116" w:type="dxa"/>
            <w:vAlign w:val="bottom"/>
          </w:tcPr>
          <w:p w:rsidR="009F1509" w:rsidRPr="004418BA" w:rsidP="00B07C21" w14:paraId="22E79B60" w14:textId="77777777">
            <w:pPr>
              <w:rPr>
                <w:color w:val="333333"/>
                <w:szCs w:val="22"/>
              </w:rPr>
            </w:pPr>
            <w:r w:rsidRPr="004418BA">
              <w:rPr>
                <w:color w:val="333333"/>
                <w:szCs w:val="22"/>
              </w:rPr>
              <w:t>Failure to maintain directional pattern within prescribed parameters</w:t>
            </w:r>
          </w:p>
        </w:tc>
        <w:tc>
          <w:tcPr>
            <w:tcW w:w="3117" w:type="dxa"/>
            <w:vAlign w:val="bottom"/>
          </w:tcPr>
          <w:p w:rsidR="009F1509" w:rsidRPr="004418BA" w:rsidP="00B07C21" w14:paraId="2A407011" w14:textId="77777777">
            <w:pPr>
              <w:rPr>
                <w:color w:val="333333"/>
                <w:szCs w:val="22"/>
              </w:rPr>
            </w:pPr>
            <w:r w:rsidRPr="004418BA">
              <w:rPr>
                <w:color w:val="333333"/>
                <w:szCs w:val="22"/>
              </w:rPr>
              <w:t>Broadcast</w:t>
            </w:r>
          </w:p>
        </w:tc>
        <w:tc>
          <w:tcPr>
            <w:tcW w:w="3117" w:type="dxa"/>
            <w:vAlign w:val="bottom"/>
          </w:tcPr>
          <w:p w:rsidR="009F1509" w:rsidRPr="004418BA" w:rsidP="00B07C21" w14:paraId="05180CE1" w14:textId="77777777">
            <w:pPr>
              <w:rPr>
                <w:color w:val="333333"/>
                <w:szCs w:val="22"/>
              </w:rPr>
            </w:pPr>
            <w:r w:rsidRPr="004418BA">
              <w:rPr>
                <w:color w:val="333333"/>
                <w:szCs w:val="22"/>
              </w:rPr>
              <w:t>7,000</w:t>
            </w:r>
          </w:p>
        </w:tc>
      </w:tr>
      <w:tr w14:paraId="3ECF641F" w14:textId="77777777" w:rsidTr="00B07C21">
        <w:tblPrEx>
          <w:tblW w:w="0" w:type="auto"/>
          <w:tblLook w:val="04A0"/>
        </w:tblPrEx>
        <w:tc>
          <w:tcPr>
            <w:tcW w:w="3116" w:type="dxa"/>
            <w:vAlign w:val="bottom"/>
          </w:tcPr>
          <w:p w:rsidR="009F1509" w:rsidRPr="004418BA" w:rsidP="00B07C21" w14:paraId="116C535B" w14:textId="77777777">
            <w:pPr>
              <w:rPr>
                <w:color w:val="333333"/>
                <w:szCs w:val="22"/>
              </w:rPr>
            </w:pPr>
            <w:r w:rsidRPr="004418BA">
              <w:rPr>
                <w:color w:val="333333"/>
                <w:szCs w:val="22"/>
              </w:rPr>
              <w:t>Violation of broadcast hoax rule</w:t>
            </w:r>
          </w:p>
        </w:tc>
        <w:tc>
          <w:tcPr>
            <w:tcW w:w="3117" w:type="dxa"/>
            <w:vAlign w:val="bottom"/>
          </w:tcPr>
          <w:p w:rsidR="009F1509" w:rsidRPr="004418BA" w:rsidP="00B07C21" w14:paraId="03C690F2" w14:textId="77777777">
            <w:pPr>
              <w:rPr>
                <w:color w:val="333333"/>
                <w:szCs w:val="22"/>
              </w:rPr>
            </w:pPr>
            <w:r w:rsidRPr="004418BA">
              <w:rPr>
                <w:color w:val="333333"/>
                <w:szCs w:val="22"/>
              </w:rPr>
              <w:t>Broadcast</w:t>
            </w:r>
          </w:p>
        </w:tc>
        <w:tc>
          <w:tcPr>
            <w:tcW w:w="3117" w:type="dxa"/>
            <w:vAlign w:val="bottom"/>
          </w:tcPr>
          <w:p w:rsidR="009F1509" w:rsidRPr="004418BA" w:rsidP="00B07C21" w14:paraId="73B340F1" w14:textId="77777777">
            <w:pPr>
              <w:rPr>
                <w:color w:val="333333"/>
                <w:szCs w:val="22"/>
              </w:rPr>
            </w:pPr>
            <w:r w:rsidRPr="004418BA">
              <w:rPr>
                <w:color w:val="333333"/>
                <w:szCs w:val="22"/>
              </w:rPr>
              <w:t>7,000</w:t>
            </w:r>
          </w:p>
        </w:tc>
      </w:tr>
      <w:tr w14:paraId="3A6002A1" w14:textId="77777777" w:rsidTr="00B07C21">
        <w:tblPrEx>
          <w:tblW w:w="0" w:type="auto"/>
          <w:tblLook w:val="04A0"/>
        </w:tblPrEx>
        <w:tc>
          <w:tcPr>
            <w:tcW w:w="3116" w:type="dxa"/>
            <w:vAlign w:val="bottom"/>
          </w:tcPr>
          <w:p w:rsidR="009F1509" w:rsidRPr="004418BA" w:rsidP="00B07C21" w14:paraId="3540DBCB" w14:textId="77777777">
            <w:pPr>
              <w:rPr>
                <w:color w:val="333333"/>
                <w:szCs w:val="22"/>
              </w:rPr>
            </w:pPr>
            <w:r w:rsidRPr="004418BA">
              <w:rPr>
                <w:color w:val="333333"/>
                <w:szCs w:val="22"/>
              </w:rPr>
              <w:t>AM tower fencing</w:t>
            </w:r>
          </w:p>
        </w:tc>
        <w:tc>
          <w:tcPr>
            <w:tcW w:w="3117" w:type="dxa"/>
            <w:vAlign w:val="bottom"/>
          </w:tcPr>
          <w:p w:rsidR="009F1509" w:rsidRPr="004418BA" w:rsidP="00B07C21" w14:paraId="143CCF1E" w14:textId="77777777">
            <w:pPr>
              <w:rPr>
                <w:color w:val="333333"/>
                <w:szCs w:val="22"/>
              </w:rPr>
            </w:pPr>
            <w:r w:rsidRPr="004418BA">
              <w:rPr>
                <w:color w:val="333333"/>
                <w:szCs w:val="22"/>
              </w:rPr>
              <w:t>Broadcast</w:t>
            </w:r>
          </w:p>
        </w:tc>
        <w:tc>
          <w:tcPr>
            <w:tcW w:w="3117" w:type="dxa"/>
            <w:vAlign w:val="bottom"/>
          </w:tcPr>
          <w:p w:rsidR="009F1509" w:rsidRPr="004418BA" w:rsidP="00B07C21" w14:paraId="7BE2799A" w14:textId="77777777">
            <w:pPr>
              <w:rPr>
                <w:color w:val="333333"/>
                <w:szCs w:val="22"/>
              </w:rPr>
            </w:pPr>
            <w:r w:rsidRPr="004418BA">
              <w:rPr>
                <w:color w:val="333333"/>
                <w:szCs w:val="22"/>
              </w:rPr>
              <w:t>7,000</w:t>
            </w:r>
          </w:p>
        </w:tc>
      </w:tr>
      <w:tr w14:paraId="7380DF9E" w14:textId="77777777" w:rsidTr="00B07C21">
        <w:tblPrEx>
          <w:tblW w:w="0" w:type="auto"/>
          <w:tblLook w:val="04A0"/>
        </w:tblPrEx>
        <w:tc>
          <w:tcPr>
            <w:tcW w:w="3116" w:type="dxa"/>
            <w:vAlign w:val="bottom"/>
          </w:tcPr>
          <w:p w:rsidR="009F1509" w:rsidRPr="004418BA" w:rsidP="00B07C21" w14:paraId="1051B3BB" w14:textId="77777777">
            <w:pPr>
              <w:rPr>
                <w:color w:val="333333"/>
                <w:szCs w:val="22"/>
              </w:rPr>
            </w:pPr>
            <w:r w:rsidRPr="004418BA">
              <w:rPr>
                <w:color w:val="333333"/>
                <w:szCs w:val="22"/>
              </w:rPr>
              <w:t>Broadcasting telephone conversations without authorization</w:t>
            </w:r>
          </w:p>
        </w:tc>
        <w:tc>
          <w:tcPr>
            <w:tcW w:w="3117" w:type="dxa"/>
            <w:vAlign w:val="bottom"/>
          </w:tcPr>
          <w:p w:rsidR="009F1509" w:rsidRPr="004418BA" w:rsidP="00B07C21" w14:paraId="2968CD39" w14:textId="77777777">
            <w:pPr>
              <w:rPr>
                <w:color w:val="333333"/>
                <w:szCs w:val="22"/>
              </w:rPr>
            </w:pPr>
            <w:r w:rsidRPr="004418BA">
              <w:rPr>
                <w:color w:val="333333"/>
                <w:szCs w:val="22"/>
              </w:rPr>
              <w:t>Broadcast</w:t>
            </w:r>
          </w:p>
        </w:tc>
        <w:tc>
          <w:tcPr>
            <w:tcW w:w="3117" w:type="dxa"/>
            <w:vAlign w:val="bottom"/>
          </w:tcPr>
          <w:p w:rsidR="009F1509" w:rsidRPr="004418BA" w:rsidP="00B07C21" w14:paraId="3495D7B4" w14:textId="77777777">
            <w:pPr>
              <w:rPr>
                <w:color w:val="333333"/>
                <w:szCs w:val="22"/>
              </w:rPr>
            </w:pPr>
            <w:r w:rsidRPr="004418BA">
              <w:rPr>
                <w:color w:val="333333"/>
                <w:szCs w:val="22"/>
              </w:rPr>
              <w:t>4,000</w:t>
            </w:r>
          </w:p>
        </w:tc>
      </w:tr>
      <w:tr w14:paraId="1B12E6CE" w14:textId="77777777" w:rsidTr="00B07C21">
        <w:tblPrEx>
          <w:tblW w:w="0" w:type="auto"/>
          <w:tblLook w:val="04A0"/>
        </w:tblPrEx>
        <w:tc>
          <w:tcPr>
            <w:tcW w:w="3116" w:type="dxa"/>
            <w:vAlign w:val="bottom"/>
          </w:tcPr>
          <w:p w:rsidR="009F1509" w:rsidRPr="004418BA" w:rsidP="00B07C21" w14:paraId="320F9853" w14:textId="77777777">
            <w:pPr>
              <w:rPr>
                <w:color w:val="333333"/>
                <w:szCs w:val="22"/>
              </w:rPr>
            </w:pPr>
            <w:r w:rsidRPr="004418BA">
              <w:rPr>
                <w:color w:val="333333"/>
                <w:szCs w:val="22"/>
              </w:rPr>
              <w:t>Violation of enhanced underwriting requirements</w:t>
            </w:r>
          </w:p>
        </w:tc>
        <w:tc>
          <w:tcPr>
            <w:tcW w:w="3117" w:type="dxa"/>
            <w:vAlign w:val="bottom"/>
          </w:tcPr>
          <w:p w:rsidR="009F1509" w:rsidRPr="004418BA" w:rsidP="00B07C21" w14:paraId="1B537F99" w14:textId="77777777">
            <w:pPr>
              <w:rPr>
                <w:color w:val="333333"/>
                <w:szCs w:val="22"/>
              </w:rPr>
            </w:pPr>
            <w:r w:rsidRPr="004418BA">
              <w:rPr>
                <w:color w:val="333333"/>
                <w:szCs w:val="22"/>
              </w:rPr>
              <w:t>Broadcast</w:t>
            </w:r>
          </w:p>
        </w:tc>
        <w:tc>
          <w:tcPr>
            <w:tcW w:w="3117" w:type="dxa"/>
            <w:vAlign w:val="bottom"/>
          </w:tcPr>
          <w:p w:rsidR="009F1509" w:rsidRPr="004418BA" w:rsidP="00B07C21" w14:paraId="6D52C315" w14:textId="77777777">
            <w:pPr>
              <w:rPr>
                <w:color w:val="333333"/>
                <w:szCs w:val="22"/>
              </w:rPr>
            </w:pPr>
            <w:r w:rsidRPr="004418BA">
              <w:rPr>
                <w:color w:val="333333"/>
                <w:szCs w:val="22"/>
              </w:rPr>
              <w:t>2,000</w:t>
            </w:r>
          </w:p>
        </w:tc>
      </w:tr>
    </w:tbl>
    <w:p w:rsidR="009F1509" w:rsidRPr="004418BA" w:rsidP="009F1509" w14:paraId="3F2D2F26" w14:textId="77777777">
      <w:pPr>
        <w:rPr>
          <w:szCs w:val="22"/>
        </w:rPr>
      </w:pPr>
    </w:p>
    <w:p w:rsidR="009F1509" w:rsidRPr="004418BA" w:rsidP="009F1509" w14:paraId="43769521" w14:textId="77777777">
      <w:pPr>
        <w:rPr>
          <w:color w:val="333333"/>
          <w:szCs w:val="22"/>
          <w:shd w:val="clear" w:color="auto" w:fill="F1F1F1"/>
        </w:rPr>
      </w:pPr>
      <w:r w:rsidRPr="004418BA">
        <w:rPr>
          <w:color w:val="333333"/>
          <w:szCs w:val="22"/>
          <w:shd w:val="clear" w:color="auto" w:fill="F1F1F1"/>
        </w:rPr>
        <w:t>Table 3 to Paragraph (b)(10)—Adjustment Criteria for Section 503 Forfeitures</w:t>
      </w:r>
    </w:p>
    <w:p w:rsidR="009F1509" w:rsidRPr="004418BA" w:rsidP="009F1509" w14:paraId="3743E20A" w14:textId="77777777">
      <w:pPr>
        <w:rPr>
          <w:color w:val="333333"/>
          <w:szCs w:val="22"/>
          <w:shd w:val="clear" w:color="auto" w:fill="F1F1F1"/>
        </w:rPr>
      </w:pPr>
    </w:p>
    <w:tbl>
      <w:tblPr>
        <w:tblW w:w="0" w:type="auto"/>
        <w:tblCellSpacing w:w="15" w:type="dxa"/>
        <w:shd w:val="clear" w:color="auto" w:fill="F1F1F1"/>
        <w:tblCellMar>
          <w:top w:w="150" w:type="dxa"/>
          <w:left w:w="150" w:type="dxa"/>
          <w:bottom w:w="150" w:type="dxa"/>
          <w:right w:w="150" w:type="dxa"/>
        </w:tblCellMar>
        <w:tblLook w:val="04A0"/>
      </w:tblPr>
      <w:tblGrid>
        <w:gridCol w:w="5235"/>
      </w:tblGrid>
      <w:tr w14:paraId="2E927313"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9F1509" w:rsidRPr="004418BA" w:rsidP="00B07C21" w14:paraId="42436550" w14:textId="77777777">
            <w:pPr>
              <w:widowControl/>
              <w:rPr>
                <w:snapToGrid/>
                <w:color w:val="333333"/>
                <w:kern w:val="0"/>
                <w:szCs w:val="22"/>
              </w:rPr>
            </w:pPr>
            <w:r w:rsidRPr="004418BA">
              <w:rPr>
                <w:i/>
                <w:iCs/>
                <w:snapToGrid/>
                <w:color w:val="333333"/>
                <w:kern w:val="0"/>
                <w:szCs w:val="22"/>
                <w:bdr w:val="none" w:sz="0" w:space="0" w:color="auto" w:frame="1"/>
              </w:rPr>
              <w:t>Upward Adjustment Criteria:</w:t>
            </w:r>
          </w:p>
        </w:tc>
      </w:tr>
      <w:tr w14:paraId="3D18CEA4"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1200" w:type="dxa"/>
              <w:bottom w:w="90" w:type="dxa"/>
              <w:right w:w="90" w:type="dxa"/>
            </w:tcMar>
            <w:vAlign w:val="bottom"/>
            <w:hideMark/>
          </w:tcPr>
          <w:p w:rsidR="009F1509" w:rsidRPr="004418BA" w:rsidP="00B07C21" w14:paraId="43555E8B" w14:textId="77777777">
            <w:pPr>
              <w:widowControl/>
              <w:ind w:hanging="240"/>
              <w:rPr>
                <w:snapToGrid/>
                <w:color w:val="333333"/>
                <w:kern w:val="0"/>
                <w:szCs w:val="22"/>
              </w:rPr>
            </w:pPr>
            <w:r w:rsidRPr="004418BA">
              <w:rPr>
                <w:snapToGrid/>
                <w:color w:val="333333"/>
                <w:kern w:val="0"/>
                <w:szCs w:val="22"/>
              </w:rPr>
              <w:t>(1) Egregious misconduct.</w:t>
            </w:r>
          </w:p>
        </w:tc>
      </w:tr>
      <w:tr w14:paraId="005952B6"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1200" w:type="dxa"/>
              <w:bottom w:w="90" w:type="dxa"/>
              <w:right w:w="90" w:type="dxa"/>
            </w:tcMar>
            <w:vAlign w:val="bottom"/>
            <w:hideMark/>
          </w:tcPr>
          <w:p w:rsidR="009F1509" w:rsidRPr="004418BA" w:rsidP="00B07C21" w14:paraId="7BBC42BD" w14:textId="77777777">
            <w:pPr>
              <w:widowControl/>
              <w:ind w:hanging="240"/>
              <w:rPr>
                <w:snapToGrid/>
                <w:color w:val="333333"/>
                <w:kern w:val="0"/>
                <w:szCs w:val="22"/>
              </w:rPr>
            </w:pPr>
            <w:r w:rsidRPr="004418BA">
              <w:rPr>
                <w:snapToGrid/>
                <w:color w:val="333333"/>
                <w:kern w:val="0"/>
                <w:szCs w:val="22"/>
              </w:rPr>
              <w:t>(2) Ability to pay/relative disincentive.</w:t>
            </w:r>
          </w:p>
        </w:tc>
      </w:tr>
      <w:tr w14:paraId="4D0B32BD"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1200" w:type="dxa"/>
              <w:bottom w:w="90" w:type="dxa"/>
              <w:right w:w="90" w:type="dxa"/>
            </w:tcMar>
            <w:vAlign w:val="bottom"/>
            <w:hideMark/>
          </w:tcPr>
          <w:p w:rsidR="009F1509" w:rsidRPr="004418BA" w:rsidP="00B07C21" w14:paraId="7DC6C1F1" w14:textId="77777777">
            <w:pPr>
              <w:widowControl/>
              <w:ind w:hanging="240"/>
              <w:rPr>
                <w:snapToGrid/>
                <w:color w:val="333333"/>
                <w:kern w:val="0"/>
                <w:szCs w:val="22"/>
              </w:rPr>
            </w:pPr>
            <w:r w:rsidRPr="004418BA">
              <w:rPr>
                <w:snapToGrid/>
                <w:color w:val="333333"/>
                <w:kern w:val="0"/>
                <w:szCs w:val="22"/>
              </w:rPr>
              <w:t>(3) Intentional violation.</w:t>
            </w:r>
          </w:p>
        </w:tc>
      </w:tr>
      <w:tr w14:paraId="23BED048"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1200" w:type="dxa"/>
              <w:bottom w:w="90" w:type="dxa"/>
              <w:right w:w="90" w:type="dxa"/>
            </w:tcMar>
            <w:vAlign w:val="bottom"/>
            <w:hideMark/>
          </w:tcPr>
          <w:p w:rsidR="009F1509" w:rsidRPr="004418BA" w:rsidP="00B07C21" w14:paraId="41A64C02" w14:textId="77777777">
            <w:pPr>
              <w:widowControl/>
              <w:ind w:hanging="240"/>
              <w:rPr>
                <w:snapToGrid/>
                <w:color w:val="333333"/>
                <w:kern w:val="0"/>
                <w:szCs w:val="22"/>
              </w:rPr>
            </w:pPr>
            <w:r w:rsidRPr="004418BA">
              <w:rPr>
                <w:snapToGrid/>
                <w:color w:val="333333"/>
                <w:kern w:val="0"/>
                <w:szCs w:val="22"/>
              </w:rPr>
              <w:t>(4) Substantial harm.</w:t>
            </w:r>
          </w:p>
        </w:tc>
      </w:tr>
      <w:tr w14:paraId="0FC50FB7"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1200" w:type="dxa"/>
              <w:bottom w:w="90" w:type="dxa"/>
              <w:right w:w="90" w:type="dxa"/>
            </w:tcMar>
            <w:vAlign w:val="bottom"/>
            <w:hideMark/>
          </w:tcPr>
          <w:p w:rsidR="009F1509" w:rsidRPr="004418BA" w:rsidP="00B07C21" w14:paraId="6A490EAE" w14:textId="77777777">
            <w:pPr>
              <w:widowControl/>
              <w:ind w:hanging="240"/>
              <w:rPr>
                <w:snapToGrid/>
                <w:color w:val="333333"/>
                <w:kern w:val="0"/>
                <w:szCs w:val="22"/>
              </w:rPr>
            </w:pPr>
            <w:r w:rsidRPr="004418BA">
              <w:rPr>
                <w:snapToGrid/>
                <w:color w:val="333333"/>
                <w:kern w:val="0"/>
                <w:szCs w:val="22"/>
              </w:rPr>
              <w:t>(5) Prior violations of any FCC requirements.</w:t>
            </w:r>
          </w:p>
        </w:tc>
      </w:tr>
      <w:tr w14:paraId="7EF37299"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1200" w:type="dxa"/>
              <w:bottom w:w="90" w:type="dxa"/>
              <w:right w:w="90" w:type="dxa"/>
            </w:tcMar>
            <w:vAlign w:val="bottom"/>
            <w:hideMark/>
          </w:tcPr>
          <w:p w:rsidR="009F1509" w:rsidRPr="004418BA" w:rsidP="00B07C21" w14:paraId="15F8A58B" w14:textId="77777777">
            <w:pPr>
              <w:widowControl/>
              <w:ind w:hanging="240"/>
              <w:rPr>
                <w:snapToGrid/>
                <w:color w:val="333333"/>
                <w:kern w:val="0"/>
                <w:szCs w:val="22"/>
              </w:rPr>
            </w:pPr>
            <w:r w:rsidRPr="004418BA">
              <w:rPr>
                <w:snapToGrid/>
                <w:color w:val="333333"/>
                <w:kern w:val="0"/>
                <w:szCs w:val="22"/>
              </w:rPr>
              <w:t>(6) Substantial economic gain.</w:t>
            </w:r>
          </w:p>
        </w:tc>
      </w:tr>
      <w:tr w14:paraId="44B434BF"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1200" w:type="dxa"/>
              <w:bottom w:w="90" w:type="dxa"/>
              <w:right w:w="90" w:type="dxa"/>
            </w:tcMar>
            <w:vAlign w:val="bottom"/>
            <w:hideMark/>
          </w:tcPr>
          <w:p w:rsidR="009F1509" w:rsidRPr="004418BA" w:rsidP="00B07C21" w14:paraId="5C80651F" w14:textId="77777777">
            <w:pPr>
              <w:widowControl/>
              <w:ind w:hanging="240"/>
              <w:rPr>
                <w:snapToGrid/>
                <w:color w:val="333333"/>
                <w:kern w:val="0"/>
                <w:szCs w:val="22"/>
              </w:rPr>
            </w:pPr>
            <w:r w:rsidRPr="004418BA">
              <w:rPr>
                <w:snapToGrid/>
                <w:color w:val="333333"/>
                <w:kern w:val="0"/>
                <w:szCs w:val="22"/>
              </w:rPr>
              <w:t>(7) Repeated or continuous violation.</w:t>
            </w:r>
          </w:p>
        </w:tc>
      </w:tr>
      <w:tr w14:paraId="69452882"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rsidR="009F1509" w:rsidRPr="004418BA" w:rsidP="00B07C21" w14:paraId="50585F19" w14:textId="77777777">
            <w:pPr>
              <w:widowControl/>
              <w:rPr>
                <w:snapToGrid/>
                <w:color w:val="333333"/>
                <w:kern w:val="0"/>
                <w:szCs w:val="22"/>
              </w:rPr>
            </w:pPr>
            <w:r w:rsidRPr="004418BA">
              <w:rPr>
                <w:i/>
                <w:iCs/>
                <w:snapToGrid/>
                <w:color w:val="333333"/>
                <w:kern w:val="0"/>
                <w:szCs w:val="22"/>
                <w:bdr w:val="none" w:sz="0" w:space="0" w:color="auto" w:frame="1"/>
              </w:rPr>
              <w:t>Downward Adjustment Criteria:</w:t>
            </w:r>
          </w:p>
        </w:tc>
      </w:tr>
      <w:tr w14:paraId="51FE32CD"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1200" w:type="dxa"/>
              <w:bottom w:w="90" w:type="dxa"/>
              <w:right w:w="90" w:type="dxa"/>
            </w:tcMar>
            <w:vAlign w:val="bottom"/>
            <w:hideMark/>
          </w:tcPr>
          <w:p w:rsidR="009F1509" w:rsidRPr="004418BA" w:rsidP="00B07C21" w14:paraId="1D2FE8AF" w14:textId="77777777">
            <w:pPr>
              <w:widowControl/>
              <w:ind w:hanging="240"/>
              <w:rPr>
                <w:snapToGrid/>
                <w:color w:val="333333"/>
                <w:kern w:val="0"/>
                <w:szCs w:val="22"/>
              </w:rPr>
            </w:pPr>
            <w:r w:rsidRPr="004418BA">
              <w:rPr>
                <w:snapToGrid/>
                <w:color w:val="333333"/>
                <w:kern w:val="0"/>
                <w:szCs w:val="22"/>
              </w:rPr>
              <w:t>(1) Minor violation.</w:t>
            </w:r>
          </w:p>
        </w:tc>
      </w:tr>
      <w:tr w14:paraId="4D09645C"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1200" w:type="dxa"/>
              <w:bottom w:w="90" w:type="dxa"/>
              <w:right w:w="90" w:type="dxa"/>
            </w:tcMar>
            <w:vAlign w:val="bottom"/>
            <w:hideMark/>
          </w:tcPr>
          <w:p w:rsidR="009F1509" w:rsidRPr="004418BA" w:rsidP="00B07C21" w14:paraId="1FEFC947" w14:textId="77777777">
            <w:pPr>
              <w:widowControl/>
              <w:ind w:hanging="240"/>
              <w:rPr>
                <w:snapToGrid/>
                <w:color w:val="333333"/>
                <w:kern w:val="0"/>
                <w:szCs w:val="22"/>
              </w:rPr>
            </w:pPr>
            <w:r w:rsidRPr="004418BA">
              <w:rPr>
                <w:snapToGrid/>
                <w:color w:val="333333"/>
                <w:kern w:val="0"/>
                <w:szCs w:val="22"/>
              </w:rPr>
              <w:t>(2) Good faith or voluntary disclosure.</w:t>
            </w:r>
          </w:p>
        </w:tc>
      </w:tr>
      <w:tr w14:paraId="717C9C3D"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nil"/>
              <w:right w:val="nil"/>
            </w:tcBorders>
            <w:shd w:val="clear" w:color="auto" w:fill="auto"/>
            <w:tcMar>
              <w:top w:w="90" w:type="dxa"/>
              <w:left w:w="1200" w:type="dxa"/>
              <w:bottom w:w="90" w:type="dxa"/>
              <w:right w:w="90" w:type="dxa"/>
            </w:tcMar>
            <w:vAlign w:val="bottom"/>
            <w:hideMark/>
          </w:tcPr>
          <w:p w:rsidR="009F1509" w:rsidRPr="004418BA" w:rsidP="00B07C21" w14:paraId="7C5C06C5" w14:textId="77777777">
            <w:pPr>
              <w:widowControl/>
              <w:ind w:hanging="240"/>
              <w:rPr>
                <w:snapToGrid/>
                <w:color w:val="333333"/>
                <w:kern w:val="0"/>
                <w:szCs w:val="22"/>
              </w:rPr>
            </w:pPr>
            <w:r w:rsidRPr="004418BA">
              <w:rPr>
                <w:snapToGrid/>
                <w:color w:val="333333"/>
                <w:kern w:val="0"/>
                <w:szCs w:val="22"/>
              </w:rPr>
              <w:t>(3) History of overall compliance.</w:t>
            </w:r>
          </w:p>
        </w:tc>
      </w:tr>
      <w:tr w14:paraId="381621D4" w14:textId="77777777" w:rsidTr="00B07C21">
        <w:tblPrEx>
          <w:tblW w:w="0" w:type="auto"/>
          <w:tblCellSpacing w:w="15" w:type="dxa"/>
          <w:shd w:val="clear" w:color="auto" w:fill="F1F1F1"/>
          <w:tblCellMar>
            <w:top w:w="150" w:type="dxa"/>
            <w:left w:w="150" w:type="dxa"/>
            <w:bottom w:w="150" w:type="dxa"/>
            <w:right w:w="150" w:type="dxa"/>
          </w:tblCellMar>
          <w:tblLook w:val="04A0"/>
        </w:tblPrEx>
        <w:trPr>
          <w:tblCellSpacing w:w="15" w:type="dxa"/>
        </w:trPr>
        <w:tc>
          <w:tcPr>
            <w:tcW w:w="0" w:type="auto"/>
            <w:tcBorders>
              <w:top w:val="nil"/>
              <w:left w:val="nil"/>
              <w:bottom w:val="single" w:sz="6" w:space="0" w:color="333333"/>
              <w:right w:val="nil"/>
            </w:tcBorders>
            <w:shd w:val="clear" w:color="auto" w:fill="auto"/>
            <w:tcMar>
              <w:top w:w="90" w:type="dxa"/>
              <w:left w:w="1200" w:type="dxa"/>
              <w:bottom w:w="90" w:type="dxa"/>
              <w:right w:w="90" w:type="dxa"/>
            </w:tcMar>
            <w:vAlign w:val="bottom"/>
            <w:hideMark/>
          </w:tcPr>
          <w:p w:rsidR="009F1509" w:rsidRPr="004418BA" w:rsidP="00B07C21" w14:paraId="5482C6EC" w14:textId="77777777">
            <w:pPr>
              <w:widowControl/>
              <w:ind w:hanging="240"/>
              <w:rPr>
                <w:snapToGrid/>
                <w:color w:val="333333"/>
                <w:kern w:val="0"/>
                <w:szCs w:val="22"/>
              </w:rPr>
            </w:pPr>
            <w:r w:rsidRPr="004418BA">
              <w:rPr>
                <w:snapToGrid/>
                <w:color w:val="333333"/>
                <w:kern w:val="0"/>
                <w:szCs w:val="22"/>
              </w:rPr>
              <w:t>(4) Inability to pay.</w:t>
            </w:r>
          </w:p>
        </w:tc>
      </w:tr>
    </w:tbl>
    <w:p w:rsidR="009F1509" w:rsidRPr="004418BA" w:rsidP="009F1509" w14:paraId="441C908A" w14:textId="77777777">
      <w:pPr>
        <w:rPr>
          <w:szCs w:val="22"/>
        </w:rPr>
      </w:pPr>
    </w:p>
    <w:p w:rsidR="009F1509" w:rsidRPr="004418BA" w:rsidP="009F1509" w14:paraId="16E1E5C3" w14:textId="6E426B03">
      <w:pPr>
        <w:rPr>
          <w:szCs w:val="22"/>
        </w:rPr>
      </w:pPr>
      <w:r w:rsidRPr="004418BA">
        <w:rPr>
          <w:color w:val="333333"/>
          <w:szCs w:val="22"/>
          <w:shd w:val="clear" w:color="auto" w:fill="F1F1F1"/>
        </w:rPr>
        <w:t>Table 4 to Paragraph (b)(10)—Non-Section 503 Forfeitures That Are Affected by the Downward Adjustment Factors </w:t>
      </w:r>
      <w:r w:rsidRPr="004418BA">
        <w:rPr>
          <w:color w:val="333333"/>
          <w:szCs w:val="22"/>
          <w:bdr w:val="none" w:sz="0" w:space="0" w:color="auto" w:frame="1"/>
          <w:shd w:val="clear" w:color="auto" w:fill="F1F1F1"/>
          <w:vertAlign w:val="superscript"/>
        </w:rPr>
        <w:t>1</w:t>
      </w:r>
      <w:r w:rsidR="004418BA">
        <w:rPr>
          <w:color w:val="333333"/>
          <w:szCs w:val="22"/>
          <w:bdr w:val="none" w:sz="0" w:space="0" w:color="auto" w:frame="1"/>
          <w:shd w:val="clear" w:color="auto" w:fill="F1F1F1"/>
          <w:vertAlign w:val="superscript"/>
        </w:rPr>
        <w:br/>
      </w:r>
    </w:p>
    <w:tbl>
      <w:tblPr>
        <w:tblStyle w:val="TableGrid"/>
        <w:tblW w:w="0" w:type="auto"/>
        <w:tblLook w:val="04A0"/>
      </w:tblPr>
      <w:tblGrid>
        <w:gridCol w:w="4675"/>
        <w:gridCol w:w="4675"/>
      </w:tblGrid>
      <w:tr w14:paraId="4665A0D9" w14:textId="77777777" w:rsidTr="00B07C21">
        <w:tblPrEx>
          <w:tblW w:w="0" w:type="auto"/>
          <w:tblLook w:val="04A0"/>
        </w:tblPrEx>
        <w:tc>
          <w:tcPr>
            <w:tcW w:w="4675" w:type="dxa"/>
            <w:vAlign w:val="center"/>
          </w:tcPr>
          <w:p w:rsidR="009F1509" w:rsidRPr="004418BA" w:rsidP="00B07C21" w14:paraId="73382555" w14:textId="77777777">
            <w:pPr>
              <w:rPr>
                <w:szCs w:val="22"/>
              </w:rPr>
            </w:pPr>
            <w:r w:rsidRPr="004418BA">
              <w:rPr>
                <w:b/>
                <w:bCs/>
                <w:color w:val="333333"/>
                <w:szCs w:val="22"/>
              </w:rPr>
              <w:t>Violation</w:t>
            </w:r>
          </w:p>
        </w:tc>
        <w:tc>
          <w:tcPr>
            <w:tcW w:w="4675" w:type="dxa"/>
            <w:vAlign w:val="center"/>
          </w:tcPr>
          <w:p w:rsidR="009F1509" w:rsidRPr="004418BA" w:rsidP="00B07C21" w14:paraId="4BFD1042" w14:textId="77777777">
            <w:pPr>
              <w:rPr>
                <w:szCs w:val="22"/>
              </w:rPr>
            </w:pPr>
            <w:r w:rsidRPr="004418BA">
              <w:rPr>
                <w:b/>
                <w:bCs/>
                <w:color w:val="333333"/>
                <w:szCs w:val="22"/>
              </w:rPr>
              <w:t>Statutory amount after 2021 annual inflation adjustment</w:t>
            </w:r>
          </w:p>
        </w:tc>
      </w:tr>
      <w:tr w14:paraId="01EEDC30" w14:textId="77777777" w:rsidTr="00B07C21">
        <w:tblPrEx>
          <w:tblW w:w="0" w:type="auto"/>
          <w:tblLook w:val="04A0"/>
        </w:tblPrEx>
        <w:tc>
          <w:tcPr>
            <w:tcW w:w="4675" w:type="dxa"/>
            <w:vAlign w:val="bottom"/>
          </w:tcPr>
          <w:p w:rsidR="009F1509" w:rsidRPr="004418BA" w:rsidP="00B07C21" w14:paraId="43D87BC0" w14:textId="77777777">
            <w:pPr>
              <w:rPr>
                <w:szCs w:val="22"/>
              </w:rPr>
            </w:pPr>
            <w:r w:rsidRPr="004418BA">
              <w:rPr>
                <w:color w:val="333333"/>
                <w:szCs w:val="22"/>
              </w:rPr>
              <w:t>Sec. 202(c) Common Carrier Discrimination</w:t>
            </w:r>
          </w:p>
        </w:tc>
        <w:tc>
          <w:tcPr>
            <w:tcW w:w="4675" w:type="dxa"/>
            <w:vAlign w:val="bottom"/>
          </w:tcPr>
          <w:p w:rsidR="009F1509" w:rsidRPr="004418BA" w:rsidP="00B07C21" w14:paraId="63104333" w14:textId="77777777">
            <w:pPr>
              <w:rPr>
                <w:szCs w:val="22"/>
              </w:rPr>
            </w:pPr>
            <w:r w:rsidRPr="004418BA">
              <w:rPr>
                <w:color w:val="333333"/>
                <w:szCs w:val="22"/>
              </w:rPr>
              <w:t>$12,439, $622/day.</w:t>
            </w:r>
          </w:p>
        </w:tc>
      </w:tr>
      <w:tr w14:paraId="67236FE4" w14:textId="77777777" w:rsidTr="00B07C21">
        <w:tblPrEx>
          <w:tblW w:w="0" w:type="auto"/>
          <w:tblLook w:val="04A0"/>
        </w:tblPrEx>
        <w:tc>
          <w:tcPr>
            <w:tcW w:w="4675" w:type="dxa"/>
            <w:vAlign w:val="bottom"/>
          </w:tcPr>
          <w:p w:rsidR="009F1509" w:rsidRPr="004418BA" w:rsidP="00B07C21" w14:paraId="4381DD0D" w14:textId="77777777">
            <w:pPr>
              <w:rPr>
                <w:szCs w:val="22"/>
              </w:rPr>
            </w:pPr>
            <w:r w:rsidRPr="004418BA">
              <w:rPr>
                <w:color w:val="333333"/>
                <w:szCs w:val="22"/>
              </w:rPr>
              <w:t>Sec. 203(e) Common Carrier Tariffs</w:t>
            </w:r>
          </w:p>
        </w:tc>
        <w:tc>
          <w:tcPr>
            <w:tcW w:w="4675" w:type="dxa"/>
            <w:vAlign w:val="bottom"/>
          </w:tcPr>
          <w:p w:rsidR="009F1509" w:rsidRPr="004418BA" w:rsidP="00B07C21" w14:paraId="680A1DBB" w14:textId="77777777">
            <w:pPr>
              <w:rPr>
                <w:szCs w:val="22"/>
              </w:rPr>
            </w:pPr>
            <w:r w:rsidRPr="004418BA">
              <w:rPr>
                <w:color w:val="333333"/>
                <w:szCs w:val="22"/>
              </w:rPr>
              <w:t>$12,439, $622/day.</w:t>
            </w:r>
          </w:p>
        </w:tc>
      </w:tr>
      <w:tr w14:paraId="603CBABA" w14:textId="77777777" w:rsidTr="00B07C21">
        <w:tblPrEx>
          <w:tblW w:w="0" w:type="auto"/>
          <w:tblLook w:val="04A0"/>
        </w:tblPrEx>
        <w:tc>
          <w:tcPr>
            <w:tcW w:w="4675" w:type="dxa"/>
            <w:vAlign w:val="bottom"/>
          </w:tcPr>
          <w:p w:rsidR="009F1509" w:rsidRPr="004418BA" w:rsidP="00B07C21" w14:paraId="55885951" w14:textId="77777777">
            <w:pPr>
              <w:rPr>
                <w:szCs w:val="22"/>
              </w:rPr>
            </w:pPr>
            <w:r w:rsidRPr="004418BA">
              <w:rPr>
                <w:color w:val="333333"/>
                <w:szCs w:val="22"/>
              </w:rPr>
              <w:t>Sec. 205(b) Common Carrier Prescriptions</w:t>
            </w:r>
          </w:p>
        </w:tc>
        <w:tc>
          <w:tcPr>
            <w:tcW w:w="4675" w:type="dxa"/>
            <w:vAlign w:val="bottom"/>
          </w:tcPr>
          <w:p w:rsidR="009F1509" w:rsidRPr="004418BA" w:rsidP="00B07C21" w14:paraId="6AD749F2" w14:textId="77777777">
            <w:pPr>
              <w:rPr>
                <w:szCs w:val="22"/>
              </w:rPr>
            </w:pPr>
            <w:r w:rsidRPr="004418BA">
              <w:rPr>
                <w:color w:val="333333"/>
                <w:szCs w:val="22"/>
              </w:rPr>
              <w:t>$24,877.</w:t>
            </w:r>
          </w:p>
        </w:tc>
      </w:tr>
      <w:tr w14:paraId="5540DC25" w14:textId="77777777" w:rsidTr="00B07C21">
        <w:tblPrEx>
          <w:tblW w:w="0" w:type="auto"/>
          <w:tblLook w:val="04A0"/>
        </w:tblPrEx>
        <w:tc>
          <w:tcPr>
            <w:tcW w:w="4675" w:type="dxa"/>
            <w:vAlign w:val="bottom"/>
          </w:tcPr>
          <w:p w:rsidR="009F1509" w:rsidRPr="004418BA" w:rsidP="0070139C" w14:paraId="14D46E7B" w14:textId="77777777">
            <w:pPr>
              <w:keepNext/>
              <w:rPr>
                <w:szCs w:val="22"/>
              </w:rPr>
            </w:pPr>
            <w:r w:rsidRPr="004418BA">
              <w:rPr>
                <w:color w:val="333333"/>
                <w:szCs w:val="22"/>
              </w:rPr>
              <w:t>Sec. 214(d) Common Carrier Line Extensions</w:t>
            </w:r>
          </w:p>
        </w:tc>
        <w:tc>
          <w:tcPr>
            <w:tcW w:w="4675" w:type="dxa"/>
            <w:vAlign w:val="bottom"/>
          </w:tcPr>
          <w:p w:rsidR="009F1509" w:rsidRPr="004418BA" w:rsidP="00B07C21" w14:paraId="349F104B" w14:textId="77777777">
            <w:pPr>
              <w:rPr>
                <w:szCs w:val="22"/>
              </w:rPr>
            </w:pPr>
            <w:r w:rsidRPr="004418BA">
              <w:rPr>
                <w:color w:val="333333"/>
                <w:szCs w:val="22"/>
              </w:rPr>
              <w:t>$2,487/day.</w:t>
            </w:r>
          </w:p>
        </w:tc>
      </w:tr>
      <w:tr w14:paraId="5297316D" w14:textId="77777777" w:rsidTr="00B07C21">
        <w:tblPrEx>
          <w:tblW w:w="0" w:type="auto"/>
          <w:tblLook w:val="04A0"/>
        </w:tblPrEx>
        <w:tc>
          <w:tcPr>
            <w:tcW w:w="4675" w:type="dxa"/>
            <w:vAlign w:val="bottom"/>
          </w:tcPr>
          <w:p w:rsidR="009F1509" w:rsidRPr="004418BA" w:rsidP="0070139C" w14:paraId="344A5B8C" w14:textId="77777777">
            <w:pPr>
              <w:keepNext/>
              <w:rPr>
                <w:szCs w:val="22"/>
              </w:rPr>
            </w:pPr>
            <w:r w:rsidRPr="004418BA">
              <w:rPr>
                <w:color w:val="333333"/>
                <w:szCs w:val="22"/>
              </w:rPr>
              <w:t>Sec. 219(b) Common Carrier Reports</w:t>
            </w:r>
          </w:p>
        </w:tc>
        <w:tc>
          <w:tcPr>
            <w:tcW w:w="4675" w:type="dxa"/>
            <w:vAlign w:val="bottom"/>
          </w:tcPr>
          <w:p w:rsidR="009F1509" w:rsidRPr="004418BA" w:rsidP="00B07C21" w14:paraId="23A6D71D" w14:textId="77777777">
            <w:pPr>
              <w:rPr>
                <w:szCs w:val="22"/>
              </w:rPr>
            </w:pPr>
            <w:r w:rsidRPr="004418BA">
              <w:rPr>
                <w:color w:val="333333"/>
                <w:szCs w:val="22"/>
              </w:rPr>
              <w:t>$2,487/day.</w:t>
            </w:r>
          </w:p>
        </w:tc>
      </w:tr>
      <w:tr w14:paraId="1F83E2D8" w14:textId="77777777" w:rsidTr="00B07C21">
        <w:tblPrEx>
          <w:tblW w:w="0" w:type="auto"/>
          <w:tblLook w:val="04A0"/>
        </w:tblPrEx>
        <w:tc>
          <w:tcPr>
            <w:tcW w:w="4675" w:type="dxa"/>
            <w:vAlign w:val="bottom"/>
          </w:tcPr>
          <w:p w:rsidR="009F1509" w:rsidRPr="004418BA" w:rsidP="0070139C" w14:paraId="0D4FFDCA" w14:textId="77777777">
            <w:pPr>
              <w:keepNext/>
              <w:rPr>
                <w:szCs w:val="22"/>
              </w:rPr>
            </w:pPr>
            <w:r w:rsidRPr="004418BA">
              <w:rPr>
                <w:color w:val="333333"/>
                <w:szCs w:val="22"/>
              </w:rPr>
              <w:t>Sec. 220(d) Common Carrier Records &amp; Accounts</w:t>
            </w:r>
          </w:p>
        </w:tc>
        <w:tc>
          <w:tcPr>
            <w:tcW w:w="4675" w:type="dxa"/>
            <w:vAlign w:val="bottom"/>
          </w:tcPr>
          <w:p w:rsidR="009F1509" w:rsidRPr="004418BA" w:rsidP="00B07C21" w14:paraId="50C7E408" w14:textId="77777777">
            <w:pPr>
              <w:rPr>
                <w:szCs w:val="22"/>
              </w:rPr>
            </w:pPr>
            <w:r w:rsidRPr="004418BA">
              <w:rPr>
                <w:color w:val="333333"/>
                <w:szCs w:val="22"/>
              </w:rPr>
              <w:t>$12,439/day.</w:t>
            </w:r>
          </w:p>
        </w:tc>
      </w:tr>
      <w:tr w14:paraId="091B9D03" w14:textId="77777777" w:rsidTr="00B07C21">
        <w:tblPrEx>
          <w:tblW w:w="0" w:type="auto"/>
          <w:tblLook w:val="04A0"/>
        </w:tblPrEx>
        <w:tc>
          <w:tcPr>
            <w:tcW w:w="4675" w:type="dxa"/>
            <w:vAlign w:val="bottom"/>
          </w:tcPr>
          <w:p w:rsidR="009F1509" w:rsidRPr="004418BA" w:rsidP="0070139C" w14:paraId="21A24D71" w14:textId="77777777">
            <w:pPr>
              <w:keepNext/>
              <w:rPr>
                <w:szCs w:val="22"/>
              </w:rPr>
            </w:pPr>
            <w:r w:rsidRPr="004418BA">
              <w:rPr>
                <w:color w:val="333333"/>
                <w:szCs w:val="22"/>
              </w:rPr>
              <w:t>Sec. 223(b) Dial-a-Porn</w:t>
            </w:r>
          </w:p>
        </w:tc>
        <w:tc>
          <w:tcPr>
            <w:tcW w:w="4675" w:type="dxa"/>
            <w:vAlign w:val="bottom"/>
          </w:tcPr>
          <w:p w:rsidR="009F1509" w:rsidRPr="004418BA" w:rsidP="00B07C21" w14:paraId="6A819AC6" w14:textId="77777777">
            <w:pPr>
              <w:rPr>
                <w:szCs w:val="22"/>
              </w:rPr>
            </w:pPr>
            <w:r w:rsidRPr="004418BA">
              <w:rPr>
                <w:color w:val="333333"/>
                <w:szCs w:val="22"/>
              </w:rPr>
              <w:t>$128,904/day.</w:t>
            </w:r>
          </w:p>
        </w:tc>
      </w:tr>
      <w:tr w14:paraId="53CF2F39" w14:textId="77777777" w:rsidTr="00B07C21">
        <w:tblPrEx>
          <w:tblW w:w="0" w:type="auto"/>
          <w:tblLook w:val="04A0"/>
        </w:tblPrEx>
        <w:tc>
          <w:tcPr>
            <w:tcW w:w="4675" w:type="dxa"/>
            <w:vAlign w:val="bottom"/>
          </w:tcPr>
          <w:p w:rsidR="009F1509" w:rsidRPr="004418BA" w:rsidP="0070139C" w14:paraId="036331F8" w14:textId="77777777">
            <w:pPr>
              <w:keepNext/>
              <w:rPr>
                <w:color w:val="333333"/>
                <w:szCs w:val="22"/>
              </w:rPr>
            </w:pPr>
            <w:r w:rsidRPr="004418BA">
              <w:rPr>
                <w:color w:val="333333"/>
                <w:szCs w:val="22"/>
              </w:rPr>
              <w:t>Sec. 227(e) Caller Identification</w:t>
            </w:r>
          </w:p>
        </w:tc>
        <w:tc>
          <w:tcPr>
            <w:tcW w:w="4675" w:type="dxa"/>
            <w:vAlign w:val="bottom"/>
          </w:tcPr>
          <w:p w:rsidR="009F1509" w:rsidRPr="004418BA" w:rsidP="00B07C21" w14:paraId="0F809B36" w14:textId="77777777">
            <w:pPr>
              <w:rPr>
                <w:color w:val="333333"/>
                <w:szCs w:val="22"/>
              </w:rPr>
            </w:pPr>
            <w:r w:rsidRPr="004418BA">
              <w:rPr>
                <w:color w:val="333333"/>
                <w:szCs w:val="22"/>
              </w:rPr>
              <w:t>$11,905/violation. *$35,715/day for each day of continuing violation, up to $1,190,546 for any single act or failure to act.</w:t>
            </w:r>
          </w:p>
        </w:tc>
      </w:tr>
      <w:tr w14:paraId="0973D741" w14:textId="77777777" w:rsidTr="00B07C21">
        <w:tblPrEx>
          <w:tblW w:w="0" w:type="auto"/>
          <w:tblLook w:val="04A0"/>
        </w:tblPrEx>
        <w:tc>
          <w:tcPr>
            <w:tcW w:w="4675" w:type="dxa"/>
            <w:vAlign w:val="bottom"/>
          </w:tcPr>
          <w:p w:rsidR="009F1509" w:rsidRPr="004418BA" w:rsidP="00B07C21" w14:paraId="4E5377EC" w14:textId="77777777">
            <w:pPr>
              <w:rPr>
                <w:color w:val="333333"/>
                <w:szCs w:val="22"/>
              </w:rPr>
            </w:pPr>
            <w:r w:rsidRPr="004418BA">
              <w:rPr>
                <w:color w:val="333333"/>
                <w:szCs w:val="22"/>
              </w:rPr>
              <w:t>Sec. 364(a) Forfeitures (Ships)</w:t>
            </w:r>
          </w:p>
        </w:tc>
        <w:tc>
          <w:tcPr>
            <w:tcW w:w="4675" w:type="dxa"/>
            <w:vAlign w:val="bottom"/>
          </w:tcPr>
          <w:p w:rsidR="009F1509" w:rsidRPr="004418BA" w:rsidP="00B07C21" w14:paraId="732C66E2" w14:textId="77777777">
            <w:pPr>
              <w:rPr>
                <w:color w:val="333333"/>
                <w:szCs w:val="22"/>
              </w:rPr>
            </w:pPr>
            <w:r w:rsidRPr="004418BA">
              <w:rPr>
                <w:color w:val="333333"/>
                <w:szCs w:val="22"/>
              </w:rPr>
              <w:t>$10,366/day (owner).</w:t>
            </w:r>
          </w:p>
        </w:tc>
      </w:tr>
      <w:tr w14:paraId="402093EE" w14:textId="77777777" w:rsidTr="00B07C21">
        <w:tblPrEx>
          <w:tblW w:w="0" w:type="auto"/>
          <w:tblLook w:val="04A0"/>
        </w:tblPrEx>
        <w:tc>
          <w:tcPr>
            <w:tcW w:w="4675" w:type="dxa"/>
            <w:vAlign w:val="bottom"/>
          </w:tcPr>
          <w:p w:rsidR="009F1509" w:rsidRPr="004418BA" w:rsidP="00B07C21" w14:paraId="3C158280" w14:textId="77777777">
            <w:pPr>
              <w:rPr>
                <w:color w:val="333333"/>
                <w:szCs w:val="22"/>
              </w:rPr>
            </w:pPr>
            <w:r w:rsidRPr="004418BA">
              <w:rPr>
                <w:color w:val="333333"/>
                <w:szCs w:val="22"/>
              </w:rPr>
              <w:t>Sec. 364(b) Forfeitures (Ships)</w:t>
            </w:r>
          </w:p>
        </w:tc>
        <w:tc>
          <w:tcPr>
            <w:tcW w:w="4675" w:type="dxa"/>
            <w:vAlign w:val="bottom"/>
          </w:tcPr>
          <w:p w:rsidR="009F1509" w:rsidRPr="004418BA" w:rsidP="00B07C21" w14:paraId="203C3095" w14:textId="77777777">
            <w:pPr>
              <w:rPr>
                <w:color w:val="333333"/>
                <w:szCs w:val="22"/>
              </w:rPr>
            </w:pPr>
            <w:r w:rsidRPr="004418BA">
              <w:rPr>
                <w:color w:val="333333"/>
                <w:szCs w:val="22"/>
              </w:rPr>
              <w:t>$2,074 (vessel master).</w:t>
            </w:r>
          </w:p>
        </w:tc>
      </w:tr>
      <w:tr w14:paraId="2BB01646" w14:textId="77777777" w:rsidTr="00B07C21">
        <w:tblPrEx>
          <w:tblW w:w="0" w:type="auto"/>
          <w:tblLook w:val="04A0"/>
        </w:tblPrEx>
        <w:tc>
          <w:tcPr>
            <w:tcW w:w="4675" w:type="dxa"/>
            <w:vAlign w:val="bottom"/>
          </w:tcPr>
          <w:p w:rsidR="009F1509" w:rsidRPr="004418BA" w:rsidP="00B07C21" w14:paraId="3CD7D619" w14:textId="77777777">
            <w:pPr>
              <w:rPr>
                <w:color w:val="333333"/>
                <w:szCs w:val="22"/>
              </w:rPr>
            </w:pPr>
            <w:r w:rsidRPr="004418BA">
              <w:rPr>
                <w:color w:val="333333"/>
                <w:szCs w:val="22"/>
              </w:rPr>
              <w:t>Sec. 386(a) Forfeitures (Ships)</w:t>
            </w:r>
          </w:p>
        </w:tc>
        <w:tc>
          <w:tcPr>
            <w:tcW w:w="4675" w:type="dxa"/>
            <w:vAlign w:val="bottom"/>
          </w:tcPr>
          <w:p w:rsidR="009F1509" w:rsidRPr="004418BA" w:rsidP="00B07C21" w14:paraId="3F3D3F3E" w14:textId="77777777">
            <w:pPr>
              <w:rPr>
                <w:color w:val="333333"/>
                <w:szCs w:val="22"/>
              </w:rPr>
            </w:pPr>
            <w:r w:rsidRPr="004418BA">
              <w:rPr>
                <w:color w:val="333333"/>
                <w:szCs w:val="22"/>
              </w:rPr>
              <w:t>$10,366/day (owner).</w:t>
            </w:r>
          </w:p>
        </w:tc>
      </w:tr>
      <w:tr w14:paraId="345760C5" w14:textId="77777777" w:rsidTr="00B07C21">
        <w:tblPrEx>
          <w:tblW w:w="0" w:type="auto"/>
          <w:tblLook w:val="04A0"/>
        </w:tblPrEx>
        <w:tc>
          <w:tcPr>
            <w:tcW w:w="4675" w:type="dxa"/>
            <w:vAlign w:val="bottom"/>
          </w:tcPr>
          <w:p w:rsidR="009F1509" w:rsidRPr="004418BA" w:rsidP="00B07C21" w14:paraId="1D5352B9" w14:textId="77777777">
            <w:pPr>
              <w:rPr>
                <w:color w:val="333333"/>
                <w:szCs w:val="22"/>
              </w:rPr>
            </w:pPr>
            <w:r w:rsidRPr="004418BA">
              <w:rPr>
                <w:color w:val="333333"/>
                <w:szCs w:val="22"/>
              </w:rPr>
              <w:t>Sec. 386(b) Forfeitures (Ships)</w:t>
            </w:r>
          </w:p>
        </w:tc>
        <w:tc>
          <w:tcPr>
            <w:tcW w:w="4675" w:type="dxa"/>
            <w:vAlign w:val="bottom"/>
          </w:tcPr>
          <w:p w:rsidR="009F1509" w:rsidRPr="004418BA" w:rsidP="00B07C21" w14:paraId="20994E23" w14:textId="77777777">
            <w:pPr>
              <w:rPr>
                <w:color w:val="333333"/>
                <w:szCs w:val="22"/>
              </w:rPr>
            </w:pPr>
            <w:r w:rsidRPr="004418BA">
              <w:rPr>
                <w:color w:val="333333"/>
                <w:szCs w:val="22"/>
              </w:rPr>
              <w:t>$2,074 (vessel master).</w:t>
            </w:r>
          </w:p>
        </w:tc>
      </w:tr>
      <w:tr w14:paraId="1271AF11" w14:textId="77777777" w:rsidTr="00B07C21">
        <w:tblPrEx>
          <w:tblW w:w="0" w:type="auto"/>
          <w:tblLook w:val="04A0"/>
        </w:tblPrEx>
        <w:tc>
          <w:tcPr>
            <w:tcW w:w="4675" w:type="dxa"/>
            <w:vAlign w:val="bottom"/>
          </w:tcPr>
          <w:p w:rsidR="009F1509" w:rsidRPr="004418BA" w:rsidP="00B07C21" w14:paraId="1728270E" w14:textId="77777777">
            <w:pPr>
              <w:rPr>
                <w:color w:val="333333"/>
                <w:szCs w:val="22"/>
              </w:rPr>
            </w:pPr>
            <w:r w:rsidRPr="004418BA">
              <w:rPr>
                <w:color w:val="333333"/>
                <w:szCs w:val="22"/>
              </w:rPr>
              <w:t>Sec. 511 Pirate Radio Broadcasting</w:t>
            </w:r>
          </w:p>
        </w:tc>
        <w:tc>
          <w:tcPr>
            <w:tcW w:w="4675" w:type="dxa"/>
            <w:vAlign w:val="bottom"/>
          </w:tcPr>
          <w:p w:rsidR="009F1509" w:rsidRPr="004418BA" w:rsidP="00B07C21" w14:paraId="7A6F147B" w14:textId="77777777">
            <w:pPr>
              <w:rPr>
                <w:color w:val="333333"/>
                <w:szCs w:val="22"/>
              </w:rPr>
            </w:pPr>
            <w:r w:rsidRPr="004418BA">
              <w:rPr>
                <w:color w:val="333333"/>
                <w:szCs w:val="22"/>
              </w:rPr>
              <w:t>$2,023,640, $101,182/day.</w:t>
            </w:r>
          </w:p>
        </w:tc>
      </w:tr>
      <w:tr w14:paraId="730C17B1" w14:textId="77777777" w:rsidTr="00B07C21">
        <w:tblPrEx>
          <w:tblW w:w="0" w:type="auto"/>
          <w:tblLook w:val="04A0"/>
        </w:tblPrEx>
        <w:tc>
          <w:tcPr>
            <w:tcW w:w="4675" w:type="dxa"/>
            <w:vAlign w:val="bottom"/>
          </w:tcPr>
          <w:p w:rsidR="009F1509" w:rsidRPr="004418BA" w:rsidP="00B07C21" w14:paraId="2E55E6BC" w14:textId="77777777">
            <w:pPr>
              <w:rPr>
                <w:color w:val="333333"/>
                <w:szCs w:val="22"/>
              </w:rPr>
            </w:pPr>
            <w:r w:rsidRPr="004418BA">
              <w:rPr>
                <w:color w:val="333333"/>
                <w:szCs w:val="22"/>
              </w:rPr>
              <w:t>Sec. 634 Cable EEO</w:t>
            </w:r>
          </w:p>
        </w:tc>
        <w:tc>
          <w:tcPr>
            <w:tcW w:w="4675" w:type="dxa"/>
            <w:vAlign w:val="bottom"/>
          </w:tcPr>
          <w:p w:rsidR="009F1509" w:rsidRPr="004418BA" w:rsidP="00B07C21" w14:paraId="30817FAF" w14:textId="77777777">
            <w:pPr>
              <w:rPr>
                <w:color w:val="333333"/>
                <w:szCs w:val="22"/>
              </w:rPr>
            </w:pPr>
            <w:r w:rsidRPr="004418BA">
              <w:rPr>
                <w:color w:val="333333"/>
                <w:szCs w:val="22"/>
              </w:rPr>
              <w:t>$919/day.</w:t>
            </w:r>
          </w:p>
        </w:tc>
      </w:tr>
    </w:tbl>
    <w:p w:rsidR="009F1509" w:rsidRPr="004418BA" w:rsidP="009F1509" w14:paraId="31F5C734" w14:textId="77777777">
      <w:pPr>
        <w:rPr>
          <w:szCs w:val="22"/>
        </w:rPr>
      </w:pPr>
    </w:p>
    <w:p w:rsidR="009F1509" w:rsidRPr="004418BA" w:rsidP="009F1509" w14:paraId="3CE7F0EE" w14:textId="41AAE590">
      <w:pPr>
        <w:rPr>
          <w:i/>
          <w:iCs/>
          <w:color w:val="333333"/>
          <w:szCs w:val="22"/>
          <w:shd w:val="clear" w:color="auto" w:fill="F1F1F1"/>
        </w:rPr>
      </w:pPr>
      <w:r w:rsidRPr="004418BA">
        <w:rPr>
          <w:i/>
          <w:iCs/>
          <w:color w:val="333333"/>
          <w:szCs w:val="22"/>
          <w:bdr w:val="none" w:sz="0" w:space="0" w:color="auto" w:frame="1"/>
          <w:shd w:val="clear" w:color="auto" w:fill="F1F1F1"/>
          <w:vertAlign w:val="superscript"/>
        </w:rPr>
        <w:t>1</w:t>
      </w:r>
      <w:r w:rsidRPr="004418BA">
        <w:rPr>
          <w:i/>
          <w:iCs/>
          <w:color w:val="333333"/>
          <w:szCs w:val="22"/>
          <w:shd w:val="clear" w:color="auto" w:fill="F1F1F1"/>
        </w:rPr>
        <w:t xml:space="preserve"> Unlike section 503 of the Act, which establishes maximum forfeiture amounts, other sections of the Act, with two exceptions, state prescribed amounts of forfeitures for violations of the relevant section. These amounts are then subject to mitigation or remission under section 504 of the Act. One exception is section 223 of the Act, which provides a maximum forfeiture per day. For convenience, the Commission will treat this amount as if it were a prescribed base amount, subject to downward adjustments. The other exception is section 227(e) of the Act, which provides maximum forfeitures per violation, and for continuing violations. The Commission will apply the factors set forth in section 503(b)(2)(E) of the Act and this table 4 to determine the amount of the penalty to assess in any </w:t>
      </w:r>
      <w:r w:rsidRPr="004418BA">
        <w:rPr>
          <w:i/>
          <w:iCs/>
          <w:color w:val="333333"/>
          <w:szCs w:val="22"/>
          <w:shd w:val="clear" w:color="auto" w:fill="F1F1F1"/>
        </w:rPr>
        <w:t>particular situation</w:t>
      </w:r>
      <w:r w:rsidRPr="004418BA">
        <w:rPr>
          <w:i/>
          <w:iCs/>
          <w:color w:val="333333"/>
          <w:szCs w:val="22"/>
          <w:shd w:val="clear" w:color="auto" w:fill="F1F1F1"/>
        </w:rPr>
        <w:t>. The amounts in this table 4 are adjusted for inflation pursuant to the Debt Collection Improvement Act of 1996 (DCIA), </w:t>
      </w:r>
      <w:hyperlink r:id="rId5" w:tgtFrame="_blank" w:history="1">
        <w:r w:rsidRPr="004418BA">
          <w:rPr>
            <w:rStyle w:val="Hyperlink"/>
            <w:i/>
            <w:iCs/>
            <w:color w:val="5797CE"/>
            <w:szCs w:val="22"/>
            <w:bdr w:val="none" w:sz="0" w:space="0" w:color="auto" w:frame="1"/>
            <w:shd w:val="clear" w:color="auto" w:fill="F1F1F1"/>
          </w:rPr>
          <w:t>28 U.S.C. 2461</w:t>
        </w:r>
      </w:hyperlink>
      <w:r w:rsidRPr="004418BA">
        <w:rPr>
          <w:i/>
          <w:iCs/>
          <w:color w:val="333333"/>
          <w:szCs w:val="22"/>
          <w:shd w:val="clear" w:color="auto" w:fill="F1F1F1"/>
        </w:rPr>
        <w:t>. These non-section 503 forfeitures may be adjusted downward using the “Downward Adjustment Criteria” shown for section 503 forfeitures in table 3 to this paragraph (b)(10).</w:t>
      </w:r>
    </w:p>
    <w:p w:rsidR="004418BA" w:rsidRPr="004418BA" w:rsidP="009F1509" w14:paraId="5435A9B7" w14:textId="77777777">
      <w:pPr>
        <w:rPr>
          <w:i/>
          <w:iCs/>
          <w:color w:val="333333"/>
          <w:szCs w:val="22"/>
          <w:shd w:val="clear" w:color="auto" w:fill="F1F1F1"/>
        </w:rPr>
      </w:pPr>
    </w:p>
    <w:p w:rsidR="00482912" w:rsidP="004418BA" w14:paraId="708817D9" w14:textId="07AC1CD3">
      <w:pPr>
        <w:pStyle w:val="ParaNum"/>
        <w:tabs>
          <w:tab w:val="num" w:pos="720"/>
          <w:tab w:val="clear" w:pos="1440"/>
        </w:tabs>
        <w:ind w:firstLine="360"/>
      </w:pPr>
      <w:r>
        <w:t xml:space="preserve">Below paragraph number (10), replace </w:t>
      </w:r>
      <w:r w:rsidRPr="00FC1038" w:rsidR="00261DF6">
        <w:t>“Note to Paragraph (b)(10)”</w:t>
      </w:r>
      <w:r>
        <w:t xml:space="preserve"> with “</w:t>
      </w:r>
      <w:r w:rsidRPr="00FC1038" w:rsidR="00261DF6">
        <w:t>Note 2 to paragraph</w:t>
      </w:r>
      <w:r w:rsidR="00261DF6">
        <w:t xml:space="preserve"> (b)(10)</w:t>
      </w:r>
      <w:r w:rsidR="004418BA">
        <w:t>.</w:t>
      </w:r>
      <w:r w:rsidR="00261DF6">
        <w:t>”</w:t>
      </w:r>
    </w:p>
    <w:p w:rsidR="00491010" w:rsidP="001F7ACD" w14:paraId="41C9681F" w14:textId="64E778BB">
      <w:pPr>
        <w:pStyle w:val="ParaNum"/>
        <w:tabs>
          <w:tab w:val="num" w:pos="720"/>
          <w:tab w:val="clear" w:pos="1440"/>
        </w:tabs>
        <w:ind w:firstLine="360"/>
      </w:pPr>
      <w:r>
        <w:t>Below</w:t>
      </w:r>
      <w:r>
        <w:t xml:space="preserve"> </w:t>
      </w:r>
      <w:r>
        <w:t xml:space="preserve">paragraph </w:t>
      </w:r>
      <w:r w:rsidR="005B6757">
        <w:t>(b)(1</w:t>
      </w:r>
      <w:r w:rsidR="006742ED">
        <w:t>1</w:t>
      </w:r>
      <w:r w:rsidR="005B6757">
        <w:t>)(ii)</w:t>
      </w:r>
      <w:r w:rsidR="008F75BD">
        <w:t xml:space="preserve">, </w:t>
      </w:r>
      <w:r>
        <w:t xml:space="preserve">replace </w:t>
      </w:r>
      <w:r w:rsidR="008F75BD">
        <w:t>“T</w:t>
      </w:r>
      <w:r>
        <w:t>ABLE</w:t>
      </w:r>
      <w:r w:rsidR="008F75BD">
        <w:t xml:space="preserve"> 1 to </w:t>
      </w:r>
      <w:r>
        <w:t xml:space="preserve">PARAGRAPH </w:t>
      </w:r>
      <w:r w:rsidR="008F75BD">
        <w:t>(b)(1</w:t>
      </w:r>
      <w:r w:rsidR="006742ED">
        <w:t>1</w:t>
      </w:r>
      <w:r w:rsidR="008F75BD">
        <w:t>)(ii)”</w:t>
      </w:r>
      <w:r>
        <w:t xml:space="preserve"> with</w:t>
      </w:r>
      <w:r w:rsidR="002C6570">
        <w:t xml:space="preserve"> </w:t>
      </w:r>
      <w:r w:rsidR="00317F09">
        <w:t xml:space="preserve">“Table </w:t>
      </w:r>
      <w:r>
        <w:t>5</w:t>
      </w:r>
      <w:r w:rsidR="00317F09">
        <w:t xml:space="preserve"> to Paragraph (b)(1</w:t>
      </w:r>
      <w:r w:rsidR="006742ED">
        <w:t>1</w:t>
      </w:r>
      <w:r w:rsidR="00317F09">
        <w:t>)(ii)</w:t>
      </w:r>
      <w:r w:rsidR="009103E3">
        <w:t>.</w:t>
      </w:r>
      <w:r w:rsidR="00317F09">
        <w:t>”</w:t>
      </w:r>
    </w:p>
    <w:p w:rsidR="00DE3C91" w:rsidP="001F7ACD" w14:paraId="74B5A89E" w14:textId="3F0F127B">
      <w:pPr>
        <w:pStyle w:val="ParaNum"/>
        <w:tabs>
          <w:tab w:val="num" w:pos="720"/>
          <w:tab w:val="clear" w:pos="1440"/>
        </w:tabs>
        <w:ind w:firstLine="360"/>
      </w:pPr>
      <w:r>
        <w:t>B</w:t>
      </w:r>
      <w:r w:rsidR="00024FC8">
        <w:t>elow the 5 asterisks</w:t>
      </w:r>
      <w:r>
        <w:t>,</w:t>
      </w:r>
      <w:r w:rsidR="00024FC8">
        <w:t xml:space="preserve"> under new title “Table 5 to Paragraph (b)(11)(ii),”</w:t>
      </w:r>
      <w:r w:rsidR="00491010">
        <w:t xml:space="preserve">, </w:t>
      </w:r>
      <w:r w:rsidR="00024FC8">
        <w:t>replace</w:t>
      </w:r>
      <w:r w:rsidR="000C16BC">
        <w:t xml:space="preserve"> “Note to Paragraph (b)(11)</w:t>
      </w:r>
      <w:r w:rsidR="00024FC8">
        <w:t>” with</w:t>
      </w:r>
      <w:r w:rsidR="00491010">
        <w:t xml:space="preserve"> “Note 3</w:t>
      </w:r>
      <w:r w:rsidR="00317F09">
        <w:t xml:space="preserve"> </w:t>
      </w:r>
      <w:r w:rsidR="000C16BC">
        <w:t>to Paragraph (b)(11)</w:t>
      </w:r>
      <w:r>
        <w:t>.</w:t>
      </w:r>
      <w:r w:rsidR="000C16BC">
        <w:t>”</w:t>
      </w:r>
    </w:p>
    <w:p w:rsidR="000C16BC" w:rsidP="00DE3C91" w14:paraId="5424874F" w14:textId="4044DAB1">
      <w:pPr>
        <w:pStyle w:val="ParaNum"/>
        <w:tabs>
          <w:tab w:val="num" w:pos="720"/>
        </w:tabs>
        <w:ind w:firstLine="360"/>
      </w:pPr>
      <w:r>
        <w:t xml:space="preserve">Paragraphs </w:t>
      </w:r>
      <w:r w:rsidR="00971732">
        <w:t>(d)</w:t>
      </w:r>
      <w:r>
        <w:t xml:space="preserve"> and (e) are corrected to read as follows</w:t>
      </w:r>
      <w:r w:rsidR="00971732">
        <w:t>:</w:t>
      </w:r>
    </w:p>
    <w:p w:rsidR="001F7ACD" w:rsidP="0070139C" w14:paraId="692E4F06" w14:textId="77777777">
      <w:pPr>
        <w:pStyle w:val="ParaNum"/>
        <w:numPr>
          <w:ilvl w:val="0"/>
          <w:numId w:val="0"/>
        </w:numPr>
        <w:ind w:left="1080" w:hanging="86"/>
        <w:rPr>
          <w:szCs w:val="24"/>
        </w:rPr>
      </w:pPr>
      <w:r w:rsidRPr="001F7ACD">
        <w:rPr>
          <w:szCs w:val="24"/>
        </w:rPr>
        <w:t>“</w:t>
      </w:r>
      <w:r>
        <w:rPr>
          <w:szCs w:val="24"/>
        </w:rPr>
        <w:t xml:space="preserve">(d) </w:t>
      </w:r>
      <w:r w:rsidRPr="001F7ACD" w:rsidR="00744DA8">
        <w:rPr>
          <w:i/>
          <w:iCs/>
          <w:szCs w:val="24"/>
        </w:rPr>
        <w:t>Preliminary procedure in some cases; citations.</w:t>
      </w:r>
      <w:r w:rsidRPr="001F7ACD" w:rsidR="00744DA8">
        <w:rPr>
          <w:szCs w:val="24"/>
        </w:rPr>
        <w:t xml:space="preserve">  </w:t>
      </w:r>
      <w:r w:rsidRPr="001F7ACD">
        <w:rPr>
          <w:szCs w:val="24"/>
        </w:rPr>
        <w:t>Except for a forfeiture imposed under sections 227(b), 227(e)(5), 511(a), and 511(b) of the Act, no forfeiture penalty shall be imposed upon any person under the preceding sections if such person does not hold a license, permit, certificate, or other authorization issued by the Commission, and if such person is not an applicant for a license, permit, certificate, or other authorization issued by the Commission, unless, prior to the issuance of the appropriate notice, such person:</w:t>
      </w:r>
    </w:p>
    <w:p w:rsidR="00971732" w:rsidP="0070139C" w14:paraId="38EC8030" w14:textId="3F73CB51">
      <w:pPr>
        <w:pStyle w:val="ParaNum"/>
        <w:keepNext/>
        <w:widowControl/>
        <w:numPr>
          <w:ilvl w:val="0"/>
          <w:numId w:val="0"/>
        </w:numPr>
        <w:ind w:left="1080"/>
      </w:pPr>
      <w:r>
        <w:rPr>
          <w:szCs w:val="24"/>
        </w:rPr>
        <w:t>* * * * *</w:t>
      </w:r>
    </w:p>
    <w:p w:rsidR="005B6757" w:rsidP="0070139C" w14:paraId="6788DA01" w14:textId="16D3BE9C">
      <w:pPr>
        <w:pStyle w:val="ParaNum"/>
        <w:keepNext/>
        <w:widowControl/>
        <w:numPr>
          <w:ilvl w:val="0"/>
          <w:numId w:val="0"/>
        </w:numPr>
        <w:ind w:left="1080"/>
      </w:pPr>
      <w:r>
        <w:rPr>
          <w:rFonts w:eastAsia="Calibri"/>
          <w:szCs w:val="24"/>
        </w:rPr>
        <w:t xml:space="preserve">(e) </w:t>
      </w:r>
      <w:r w:rsidRPr="00AD4A1E" w:rsidR="00971732">
        <w:rPr>
          <w:rFonts w:eastAsia="Calibri"/>
          <w:i/>
          <w:iCs/>
          <w:szCs w:val="24"/>
        </w:rPr>
        <w:t xml:space="preserve">Preliminary </w:t>
      </w:r>
      <w:r w:rsidR="00971732">
        <w:rPr>
          <w:rFonts w:eastAsia="Calibri"/>
          <w:i/>
          <w:iCs/>
          <w:szCs w:val="24"/>
        </w:rPr>
        <w:t>p</w:t>
      </w:r>
      <w:r w:rsidRPr="00AD4A1E" w:rsidR="00971732">
        <w:rPr>
          <w:rFonts w:eastAsia="Calibri"/>
          <w:i/>
          <w:iCs/>
          <w:szCs w:val="24"/>
        </w:rPr>
        <w:t xml:space="preserve">rocedure in </w:t>
      </w:r>
      <w:r w:rsidRPr="00F429F7" w:rsidR="00971732">
        <w:rPr>
          <w:rFonts w:eastAsia="Calibri"/>
          <w:i/>
          <w:iCs/>
          <w:szCs w:val="24"/>
        </w:rPr>
        <w:t>Preventing Illegal Radio Abuse Through Enforcement</w:t>
      </w:r>
      <w:r w:rsidR="00971732">
        <w:rPr>
          <w:rFonts w:eastAsia="Calibri"/>
          <w:i/>
          <w:iCs/>
          <w:szCs w:val="24"/>
        </w:rPr>
        <w:t xml:space="preserve"> Act</w:t>
      </w:r>
      <w:r w:rsidRPr="00F429F7" w:rsidR="00971732">
        <w:rPr>
          <w:rFonts w:eastAsia="Calibri"/>
          <w:i/>
          <w:iCs/>
          <w:szCs w:val="24"/>
        </w:rPr>
        <w:t xml:space="preserve"> </w:t>
      </w:r>
      <w:r w:rsidR="00971732">
        <w:rPr>
          <w:rFonts w:eastAsia="Calibri"/>
          <w:i/>
          <w:iCs/>
          <w:szCs w:val="24"/>
        </w:rPr>
        <w:t>(</w:t>
      </w:r>
      <w:r w:rsidRPr="00AD4A1E" w:rsidR="00971732">
        <w:rPr>
          <w:rFonts w:eastAsia="Calibri"/>
          <w:i/>
          <w:iCs/>
          <w:szCs w:val="24"/>
        </w:rPr>
        <w:t>PIRATE Act</w:t>
      </w:r>
      <w:r w:rsidR="00971732">
        <w:rPr>
          <w:rFonts w:eastAsia="Calibri"/>
          <w:i/>
          <w:iCs/>
          <w:szCs w:val="24"/>
        </w:rPr>
        <w:t>)</w:t>
      </w:r>
      <w:r w:rsidRPr="00AD4A1E" w:rsidR="00971732">
        <w:rPr>
          <w:rFonts w:eastAsia="Calibri"/>
          <w:i/>
          <w:iCs/>
          <w:szCs w:val="24"/>
        </w:rPr>
        <w:t xml:space="preserve"> cases.</w:t>
      </w:r>
      <w:r w:rsidR="00971732">
        <w:rPr>
          <w:rFonts w:eastAsia="Calibri"/>
          <w:szCs w:val="24"/>
        </w:rPr>
        <w:t>”</w:t>
      </w:r>
    </w:p>
    <w:p w:rsidR="00140C6A" w:rsidRPr="00A32859" w:rsidP="0070139C" w14:paraId="1C3F2FAB" w14:textId="669EC9EE">
      <w:pPr>
        <w:pStyle w:val="ParaNum"/>
        <w:keepNext/>
        <w:widowControl/>
        <w:numPr>
          <w:ilvl w:val="0"/>
          <w:numId w:val="0"/>
        </w:numPr>
        <w:spacing w:after="0"/>
        <w:rPr>
          <w:szCs w:val="22"/>
        </w:rPr>
      </w:pPr>
    </w:p>
    <w:p w:rsidR="00140C6A" w:rsidRPr="00A32859" w:rsidP="0070139C" w14:paraId="3F147F53" w14:textId="77777777">
      <w:pPr>
        <w:keepNext/>
        <w:widowControl/>
      </w:pPr>
      <w:r w:rsidRPr="00A32859">
        <w:tab/>
      </w:r>
      <w:r w:rsidRPr="00A32859">
        <w:tab/>
      </w:r>
      <w:r w:rsidRPr="00A32859">
        <w:tab/>
      </w:r>
      <w:r w:rsidRPr="00A32859">
        <w:tab/>
      </w:r>
      <w:r w:rsidRPr="00A32859">
        <w:tab/>
      </w:r>
      <w:r w:rsidRPr="00A32859">
        <w:tab/>
        <w:t>FEDERAL COMMUNICATIONS COMMISSION</w:t>
      </w:r>
    </w:p>
    <w:p w:rsidR="00140C6A" w:rsidRPr="00A32859" w:rsidP="0070139C" w14:paraId="10656294" w14:textId="77777777">
      <w:pPr>
        <w:keepNext/>
        <w:widowControl/>
      </w:pPr>
    </w:p>
    <w:p w:rsidR="00140C6A" w:rsidRPr="00A32859" w:rsidP="0070139C" w14:paraId="1C838FED" w14:textId="77777777">
      <w:pPr>
        <w:keepNext/>
        <w:widowControl/>
      </w:pPr>
    </w:p>
    <w:p w:rsidR="00140C6A" w:rsidRPr="00A32859" w:rsidP="0070139C" w14:paraId="7E35277F" w14:textId="77777777">
      <w:pPr>
        <w:keepNext/>
        <w:widowControl/>
      </w:pPr>
    </w:p>
    <w:p w:rsidR="00140C6A" w:rsidRPr="00A32859" w:rsidP="0070139C" w14:paraId="58394060" w14:textId="77777777">
      <w:pPr>
        <w:keepNext/>
        <w:widowControl/>
      </w:pPr>
    </w:p>
    <w:p w:rsidR="006742ED" w:rsidP="0070139C" w14:paraId="4D16D28A" w14:textId="77777777">
      <w:pPr>
        <w:keepNext/>
        <w:widowControl/>
      </w:pPr>
      <w:r w:rsidRPr="00A32859">
        <w:tab/>
      </w:r>
      <w:r w:rsidRPr="00A32859">
        <w:tab/>
      </w:r>
      <w:r w:rsidRPr="00A32859">
        <w:tab/>
      </w:r>
      <w:r w:rsidRPr="00A32859">
        <w:tab/>
      </w:r>
      <w:r w:rsidRPr="00A32859">
        <w:tab/>
      </w:r>
      <w:r w:rsidRPr="00A32859">
        <w:tab/>
      </w:r>
      <w:r>
        <w:t>Rosemary C. Harold</w:t>
      </w:r>
    </w:p>
    <w:p w:rsidR="006742ED" w:rsidP="0070139C" w14:paraId="7F97CF92" w14:textId="77777777">
      <w:pPr>
        <w:keepNext/>
        <w:widowControl/>
      </w:pPr>
      <w:r>
        <w:tab/>
      </w:r>
      <w:r>
        <w:tab/>
      </w:r>
      <w:r>
        <w:tab/>
      </w:r>
      <w:r>
        <w:tab/>
      </w:r>
      <w:r>
        <w:tab/>
      </w:r>
      <w:r>
        <w:tab/>
        <w:t>Chief</w:t>
      </w:r>
    </w:p>
    <w:p w:rsidR="006742ED" w:rsidP="0070139C" w14:paraId="7E031344" w14:textId="77777777">
      <w:pPr>
        <w:keepNext/>
        <w:widowControl/>
      </w:pPr>
      <w:r>
        <w:tab/>
      </w:r>
      <w:r>
        <w:tab/>
      </w:r>
      <w:r>
        <w:tab/>
      </w:r>
      <w:r>
        <w:tab/>
      </w:r>
      <w:r>
        <w:tab/>
      </w:r>
      <w:r>
        <w:tab/>
        <w:t>Enforcement Bureau</w:t>
      </w:r>
    </w:p>
    <w:p w:rsidR="006742ED" w:rsidP="0070139C" w14:paraId="57070206" w14:textId="77777777">
      <w:pPr>
        <w:keepNext/>
        <w:widowControl/>
      </w:pPr>
    </w:p>
    <w:p w:rsidR="006742ED" w:rsidP="0070139C" w14:paraId="42E596CB" w14:textId="77777777">
      <w:pPr>
        <w:keepNext/>
        <w:widowControl/>
      </w:pPr>
    </w:p>
    <w:p w:rsidR="006742ED" w:rsidP="0070139C" w14:paraId="7CD6B1D3" w14:textId="77777777">
      <w:pPr>
        <w:keepNext/>
        <w:widowControl/>
      </w:pPr>
    </w:p>
    <w:p w:rsidR="006742ED" w:rsidP="0070139C" w14:paraId="5370E1D0" w14:textId="77777777">
      <w:pPr>
        <w:keepNext/>
        <w:widowControl/>
      </w:pPr>
    </w:p>
    <w:p w:rsidR="006742ED" w:rsidP="0070139C" w14:paraId="2C93D3A3" w14:textId="77777777">
      <w:pPr>
        <w:keepNext/>
        <w:widowControl/>
      </w:pPr>
    </w:p>
    <w:p w:rsidR="00B61D02" w:rsidRPr="00B61D02" w:rsidP="0070139C" w14:paraId="42D3E4E9" w14:textId="3BFCDB75">
      <w:pPr>
        <w:keepNext/>
        <w:widowControl/>
      </w:pPr>
      <w:r>
        <w:tab/>
      </w:r>
      <w:r>
        <w:tab/>
      </w:r>
      <w:r>
        <w:tab/>
      </w:r>
      <w:r>
        <w:tab/>
      </w:r>
      <w:r>
        <w:tab/>
      </w:r>
      <w:r>
        <w:tab/>
        <w:t>Mark Stephens</w:t>
      </w:r>
      <w:r>
        <w:br/>
      </w:r>
      <w:r>
        <w:tab/>
      </w:r>
      <w:r>
        <w:tab/>
      </w:r>
      <w:r>
        <w:tab/>
      </w:r>
      <w:r>
        <w:tab/>
      </w:r>
      <w:r>
        <w:tab/>
      </w:r>
      <w:r>
        <w:tab/>
        <w:t>Managing Director</w:t>
      </w:r>
    </w:p>
    <w:sectPr w:rsidSect="00AA29E6">
      <w:headerReference w:type="default" r:id="rId6"/>
      <w:footerReference w:type="even"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14:paraId="2F841C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FB724F" w14:paraId="7A47D1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1A2E" w14:paraId="0F92439F" w14:textId="77777777">
      <w:r>
        <w:separator/>
      </w:r>
    </w:p>
  </w:footnote>
  <w:footnote w:type="continuationSeparator" w:id="1">
    <w:p w:rsidR="00251A2E" w14:paraId="194A7273" w14:textId="77777777">
      <w:pPr>
        <w:rPr>
          <w:sz w:val="20"/>
        </w:rPr>
      </w:pPr>
      <w:r>
        <w:rPr>
          <w:sz w:val="20"/>
        </w:rPr>
        <w:t xml:space="preserve">(Continued from previous page)  </w:t>
      </w:r>
      <w:r>
        <w:rPr>
          <w:sz w:val="20"/>
        </w:rPr>
        <w:separator/>
      </w:r>
    </w:p>
  </w:footnote>
  <w:footnote w:type="continuationNotice" w:id="2">
    <w:p w:rsidR="00251A2E" w14:paraId="499A3B6B" w14:textId="77777777">
      <w:pPr>
        <w:rPr>
          <w:sz w:val="20"/>
        </w:rPr>
      </w:pPr>
    </w:p>
  </w:footnote>
  <w:footnote w:id="3">
    <w:p w:rsidR="003657C4" w:rsidRPr="0058504C" w:rsidP="00BD7761" w14:paraId="085134F9" w14:textId="1A3B892B">
      <w:pPr>
        <w:pStyle w:val="FootnoteText"/>
        <w:rPr>
          <w:i/>
          <w:iCs/>
        </w:rPr>
      </w:pPr>
      <w:r>
        <w:rPr>
          <w:rStyle w:val="FootnoteReference"/>
        </w:rPr>
        <w:footnoteRef/>
      </w:r>
      <w:r>
        <w:t xml:space="preserve"> </w:t>
      </w:r>
      <w:r w:rsidRPr="00BD7761" w:rsidR="0058504C">
        <w:rPr>
          <w:i/>
          <w:iCs/>
        </w:rPr>
        <w:t>Amendment of Section 1.80 of the Commission's Rules, Implementing Section 2 of the Preventing Illegal Radio Abuse Through Enforcement Act (PIRATE Act)</w:t>
      </w:r>
      <w:r w:rsidRPr="00BD7761" w:rsidR="0058504C">
        <w:t>, Order, 35 FCC Rcd 14591 (EB 2020)</w:t>
      </w:r>
      <w:r w:rsidR="0043040F">
        <w:t>,</w:t>
      </w:r>
      <w:r w:rsidRPr="00BD7761" w:rsidR="0017339D">
        <w:t xml:space="preserve"> 86 Fed. Reg. 15796 (Mar. 25, 2021)</w:t>
      </w:r>
      <w:r w:rsidRPr="00BD7761" w:rsidR="005850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F76" w:rsidRPr="001B048F" w:rsidP="00DE3F76" w14:paraId="7ADE692E" w14:textId="1977AA7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t xml:space="preserve">DA </w:t>
    </w:r>
    <w:r w:rsidR="00FB18CC">
      <w:t>21</w:t>
    </w:r>
    <w:r>
      <w:t>-</w:t>
    </w:r>
    <w:r w:rsidR="001D3B3A">
      <w:t>388</w:t>
    </w:r>
  </w:p>
  <w:p w:rsidR="00FB724F" w:rsidRPr="001B048F" w:rsidP="001B048F" w14:paraId="7E035586" w14:textId="4175FAEE">
    <w:pPr>
      <w:pStyle w:val="Header"/>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24F" w:rsidRPr="001B048F" w:rsidP="001B048F" w14:paraId="5DA2EF25" w14:textId="65E18CDA">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DE3F76">
      <w:t xml:space="preserve">DA </w:t>
    </w:r>
    <w:r w:rsidR="00FB18CC">
      <w:t>21</w:t>
    </w:r>
    <w:r w:rsidR="00DE3F76">
      <w:t>-</w:t>
    </w:r>
    <w:r w:rsidR="001D3B3A">
      <w:t>388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77A5918"/>
    <w:multiLevelType w:val="hybridMultilevel"/>
    <w:tmpl w:val="26C0ED0A"/>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C3A211C"/>
    <w:multiLevelType w:val="hybridMultilevel"/>
    <w:tmpl w:val="E690D6BC"/>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811A5A"/>
    <w:multiLevelType w:val="hybridMultilevel"/>
    <w:tmpl w:val="6DF235CA"/>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8">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7">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8">
    <w:nsid w:val="60CA7FC3"/>
    <w:multiLevelType w:val="hybridMultilevel"/>
    <w:tmpl w:val="04687D48"/>
    <w:lvl w:ilvl="0">
      <w:start w:val="7"/>
      <w:numFmt w:val="bullet"/>
      <w:lvlText w:val=""/>
      <w:lvlJc w:val="left"/>
      <w:pPr>
        <w:ind w:left="1350" w:hanging="360"/>
      </w:pPr>
      <w:rPr>
        <w:rFonts w:ascii="Symbol" w:eastAsia="Times New Roman" w:hAnsi="Symbol" w:cs="Times New Roman"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9"/>
  </w:num>
  <w:num w:numId="2">
    <w:abstractNumId w:val="10"/>
  </w:num>
  <w:num w:numId="3">
    <w:abstractNumId w:val="0"/>
    <w:lvlOverride w:ilvl="0">
      <w:lvl w:ilvl="0">
        <w:start w:val="0"/>
        <w:numFmt w:val="bullet"/>
        <w:pStyle w:val="par1"/>
        <w:lvlText w:val=""/>
        <w:legacy w:legacy="1" w:legacySpace="0" w:legacyIndent="360"/>
        <w:lvlJc w:val="left"/>
        <w:rPr>
          <w:rFonts w:ascii="Symbol" w:hAnsi="Symbol" w:hint="default"/>
        </w:rPr>
      </w:lvl>
    </w:lvlOverride>
  </w:num>
  <w:num w:numId="4">
    <w:abstractNumId w:val="11"/>
  </w:num>
  <w:num w:numId="5">
    <w:abstractNumId w:val="6"/>
  </w:num>
  <w:num w:numId="6">
    <w:abstractNumId w:val="23"/>
  </w:num>
  <w:num w:numId="7">
    <w:abstractNumId w:val="29"/>
  </w:num>
  <w:num w:numId="8">
    <w:abstractNumId w:val="29"/>
  </w:num>
  <w:num w:numId="9">
    <w:abstractNumId w:val="29"/>
  </w:num>
  <w:num w:numId="10">
    <w:abstractNumId w:val="30"/>
  </w:num>
  <w:num w:numId="11">
    <w:abstractNumId w:val="31"/>
  </w:num>
  <w:num w:numId="12">
    <w:abstractNumId w:val="7"/>
  </w:num>
  <w:num w:numId="13">
    <w:abstractNumId w:val="24"/>
  </w:num>
  <w:num w:numId="14">
    <w:abstractNumId w:val="12"/>
  </w:num>
  <w:num w:numId="15">
    <w:abstractNumId w:val="27"/>
  </w:num>
  <w:num w:numId="16">
    <w:abstractNumId w:val="20"/>
  </w:num>
  <w:num w:numId="17">
    <w:abstractNumId w:val="13"/>
  </w:num>
  <w:num w:numId="18">
    <w:abstractNumId w:val="26"/>
  </w:num>
  <w:num w:numId="19">
    <w:abstractNumId w:val="18"/>
  </w:num>
  <w:num w:numId="20">
    <w:abstractNumId w:val="17"/>
  </w:num>
  <w:num w:numId="21">
    <w:abstractNumId w:val="14"/>
  </w:num>
  <w:num w:numId="22">
    <w:abstractNumId w:val="19"/>
  </w:num>
  <w:num w:numId="23">
    <w:abstractNumId w:val="25"/>
  </w:num>
  <w:num w:numId="24">
    <w:abstractNumId w:val="4"/>
  </w:num>
  <w:num w:numId="25">
    <w:abstractNumId w:val="5"/>
  </w:num>
  <w:num w:numId="26">
    <w:abstractNumId w:val="15"/>
  </w:num>
  <w:num w:numId="27">
    <w:abstractNumId w:val="2"/>
  </w:num>
  <w:num w:numId="28">
    <w:abstractNumId w:val="16"/>
  </w:num>
  <w:num w:numId="29">
    <w:abstractNumId w:val="21"/>
  </w:num>
  <w:num w:numId="30">
    <w:abstractNumId w:val="8"/>
  </w:num>
  <w:num w:numId="31">
    <w:abstractNumId w:val="22"/>
  </w:num>
  <w:num w:numId="32">
    <w:abstractNumId w:val="9"/>
  </w:num>
  <w:num w:numId="33">
    <w:abstractNumId w:val="1"/>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3"/>
  </w:num>
  <w:num w:numId="43">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0768"/>
    <w:rsid w:val="000024CA"/>
    <w:rsid w:val="00004FE5"/>
    <w:rsid w:val="00005148"/>
    <w:rsid w:val="0000624E"/>
    <w:rsid w:val="00006915"/>
    <w:rsid w:val="00012CA5"/>
    <w:rsid w:val="00014462"/>
    <w:rsid w:val="000145C6"/>
    <w:rsid w:val="00014C08"/>
    <w:rsid w:val="000174F9"/>
    <w:rsid w:val="00023B56"/>
    <w:rsid w:val="00024FC8"/>
    <w:rsid w:val="000264B4"/>
    <w:rsid w:val="00027841"/>
    <w:rsid w:val="000309E4"/>
    <w:rsid w:val="00031AE8"/>
    <w:rsid w:val="00034556"/>
    <w:rsid w:val="00034E73"/>
    <w:rsid w:val="000352C0"/>
    <w:rsid w:val="00036D58"/>
    <w:rsid w:val="00037CBA"/>
    <w:rsid w:val="000411BC"/>
    <w:rsid w:val="00041961"/>
    <w:rsid w:val="00041EDE"/>
    <w:rsid w:val="00043671"/>
    <w:rsid w:val="00043C9B"/>
    <w:rsid w:val="00046801"/>
    <w:rsid w:val="000475D4"/>
    <w:rsid w:val="0005543D"/>
    <w:rsid w:val="0005640B"/>
    <w:rsid w:val="000578A2"/>
    <w:rsid w:val="000604EB"/>
    <w:rsid w:val="00060C2C"/>
    <w:rsid w:val="00062C44"/>
    <w:rsid w:val="000649FE"/>
    <w:rsid w:val="00067B0D"/>
    <w:rsid w:val="00067FB7"/>
    <w:rsid w:val="00070C61"/>
    <w:rsid w:val="000717FA"/>
    <w:rsid w:val="000719E3"/>
    <w:rsid w:val="00071E3F"/>
    <w:rsid w:val="000727DB"/>
    <w:rsid w:val="00072A5F"/>
    <w:rsid w:val="00072D7D"/>
    <w:rsid w:val="0007308B"/>
    <w:rsid w:val="000745F3"/>
    <w:rsid w:val="00074717"/>
    <w:rsid w:val="000751E8"/>
    <w:rsid w:val="0007571D"/>
    <w:rsid w:val="000765D1"/>
    <w:rsid w:val="00080490"/>
    <w:rsid w:val="00080535"/>
    <w:rsid w:val="000814A2"/>
    <w:rsid w:val="000818FB"/>
    <w:rsid w:val="00082744"/>
    <w:rsid w:val="00082931"/>
    <w:rsid w:val="00084705"/>
    <w:rsid w:val="0008506F"/>
    <w:rsid w:val="000853AD"/>
    <w:rsid w:val="00086824"/>
    <w:rsid w:val="00090FC9"/>
    <w:rsid w:val="00091AE4"/>
    <w:rsid w:val="00092506"/>
    <w:rsid w:val="00092603"/>
    <w:rsid w:val="000951D8"/>
    <w:rsid w:val="0009522B"/>
    <w:rsid w:val="000962DF"/>
    <w:rsid w:val="0009737E"/>
    <w:rsid w:val="00097F4B"/>
    <w:rsid w:val="00097F82"/>
    <w:rsid w:val="000A002B"/>
    <w:rsid w:val="000A3E68"/>
    <w:rsid w:val="000A425A"/>
    <w:rsid w:val="000A46B4"/>
    <w:rsid w:val="000A4776"/>
    <w:rsid w:val="000B14C3"/>
    <w:rsid w:val="000B1C2B"/>
    <w:rsid w:val="000B29ED"/>
    <w:rsid w:val="000B436D"/>
    <w:rsid w:val="000B4933"/>
    <w:rsid w:val="000B4B3B"/>
    <w:rsid w:val="000B7657"/>
    <w:rsid w:val="000B7A71"/>
    <w:rsid w:val="000C092B"/>
    <w:rsid w:val="000C16BC"/>
    <w:rsid w:val="000C1786"/>
    <w:rsid w:val="000C1ABA"/>
    <w:rsid w:val="000C6050"/>
    <w:rsid w:val="000C74B0"/>
    <w:rsid w:val="000D03AE"/>
    <w:rsid w:val="000D1391"/>
    <w:rsid w:val="000D18CD"/>
    <w:rsid w:val="000D4742"/>
    <w:rsid w:val="000D48D6"/>
    <w:rsid w:val="000D497D"/>
    <w:rsid w:val="000D5F38"/>
    <w:rsid w:val="000D6B76"/>
    <w:rsid w:val="000E1951"/>
    <w:rsid w:val="000E2707"/>
    <w:rsid w:val="000E4892"/>
    <w:rsid w:val="000F1155"/>
    <w:rsid w:val="000F1EAD"/>
    <w:rsid w:val="000F1F38"/>
    <w:rsid w:val="000F5EB0"/>
    <w:rsid w:val="00100646"/>
    <w:rsid w:val="00104C2C"/>
    <w:rsid w:val="00105A35"/>
    <w:rsid w:val="001067B6"/>
    <w:rsid w:val="00111866"/>
    <w:rsid w:val="00112B3F"/>
    <w:rsid w:val="0011337B"/>
    <w:rsid w:val="001156AB"/>
    <w:rsid w:val="001161E5"/>
    <w:rsid w:val="0011687C"/>
    <w:rsid w:val="00116E12"/>
    <w:rsid w:val="001175E1"/>
    <w:rsid w:val="00120299"/>
    <w:rsid w:val="001205FE"/>
    <w:rsid w:val="00121FB4"/>
    <w:rsid w:val="001235F0"/>
    <w:rsid w:val="001236A7"/>
    <w:rsid w:val="0012427E"/>
    <w:rsid w:val="00126C88"/>
    <w:rsid w:val="00127B1B"/>
    <w:rsid w:val="00130659"/>
    <w:rsid w:val="00130B32"/>
    <w:rsid w:val="00135E6C"/>
    <w:rsid w:val="00135F7F"/>
    <w:rsid w:val="00136476"/>
    <w:rsid w:val="00136E59"/>
    <w:rsid w:val="00137CE2"/>
    <w:rsid w:val="00140A01"/>
    <w:rsid w:val="00140ABB"/>
    <w:rsid w:val="00140C6A"/>
    <w:rsid w:val="001426F0"/>
    <w:rsid w:val="00143DA6"/>
    <w:rsid w:val="00145E08"/>
    <w:rsid w:val="00151BD8"/>
    <w:rsid w:val="001532B1"/>
    <w:rsid w:val="00153904"/>
    <w:rsid w:val="00153CE0"/>
    <w:rsid w:val="00153F98"/>
    <w:rsid w:val="00154A5C"/>
    <w:rsid w:val="00156205"/>
    <w:rsid w:val="00157B59"/>
    <w:rsid w:val="00162161"/>
    <w:rsid w:val="00163F9C"/>
    <w:rsid w:val="00164D9B"/>
    <w:rsid w:val="00165C20"/>
    <w:rsid w:val="00167B0A"/>
    <w:rsid w:val="001709C5"/>
    <w:rsid w:val="00171471"/>
    <w:rsid w:val="001715BD"/>
    <w:rsid w:val="00172581"/>
    <w:rsid w:val="0017339D"/>
    <w:rsid w:val="001740AF"/>
    <w:rsid w:val="001740BB"/>
    <w:rsid w:val="00175D51"/>
    <w:rsid w:val="00177C4A"/>
    <w:rsid w:val="00180026"/>
    <w:rsid w:val="001819AF"/>
    <w:rsid w:val="0018343F"/>
    <w:rsid w:val="00185F76"/>
    <w:rsid w:val="001922CB"/>
    <w:rsid w:val="00192446"/>
    <w:rsid w:val="00193C1D"/>
    <w:rsid w:val="00195B40"/>
    <w:rsid w:val="0019601B"/>
    <w:rsid w:val="00196E93"/>
    <w:rsid w:val="001A29EF"/>
    <w:rsid w:val="001A2F40"/>
    <w:rsid w:val="001A3300"/>
    <w:rsid w:val="001A38ED"/>
    <w:rsid w:val="001A4573"/>
    <w:rsid w:val="001A69BA"/>
    <w:rsid w:val="001A79FB"/>
    <w:rsid w:val="001B048F"/>
    <w:rsid w:val="001B2D0C"/>
    <w:rsid w:val="001B3869"/>
    <w:rsid w:val="001B60D4"/>
    <w:rsid w:val="001C14E2"/>
    <w:rsid w:val="001C3156"/>
    <w:rsid w:val="001C3B35"/>
    <w:rsid w:val="001C42B3"/>
    <w:rsid w:val="001C6C6F"/>
    <w:rsid w:val="001D1CEF"/>
    <w:rsid w:val="001D3B3A"/>
    <w:rsid w:val="001D584E"/>
    <w:rsid w:val="001D5A8F"/>
    <w:rsid w:val="001E10E3"/>
    <w:rsid w:val="001E135C"/>
    <w:rsid w:val="001E1906"/>
    <w:rsid w:val="001E202B"/>
    <w:rsid w:val="001E24AE"/>
    <w:rsid w:val="001E3174"/>
    <w:rsid w:val="001E401B"/>
    <w:rsid w:val="001E5B66"/>
    <w:rsid w:val="001F2B76"/>
    <w:rsid w:val="001F570A"/>
    <w:rsid w:val="001F5AA4"/>
    <w:rsid w:val="001F7ACD"/>
    <w:rsid w:val="001F7EE0"/>
    <w:rsid w:val="002017C4"/>
    <w:rsid w:val="002027D3"/>
    <w:rsid w:val="002037C2"/>
    <w:rsid w:val="002062DC"/>
    <w:rsid w:val="00206CE6"/>
    <w:rsid w:val="0021002E"/>
    <w:rsid w:val="0021103C"/>
    <w:rsid w:val="00212D11"/>
    <w:rsid w:val="0021315C"/>
    <w:rsid w:val="0021358A"/>
    <w:rsid w:val="002146E2"/>
    <w:rsid w:val="00214862"/>
    <w:rsid w:val="0021488E"/>
    <w:rsid w:val="00215429"/>
    <w:rsid w:val="00215B84"/>
    <w:rsid w:val="00215D1C"/>
    <w:rsid w:val="00215F25"/>
    <w:rsid w:val="00216277"/>
    <w:rsid w:val="00223173"/>
    <w:rsid w:val="00225854"/>
    <w:rsid w:val="00225C1A"/>
    <w:rsid w:val="00226191"/>
    <w:rsid w:val="0022665A"/>
    <w:rsid w:val="00234291"/>
    <w:rsid w:val="0023549E"/>
    <w:rsid w:val="00236820"/>
    <w:rsid w:val="00236D2C"/>
    <w:rsid w:val="00237137"/>
    <w:rsid w:val="00240740"/>
    <w:rsid w:val="0024547E"/>
    <w:rsid w:val="00246222"/>
    <w:rsid w:val="00250EDF"/>
    <w:rsid w:val="00251A2E"/>
    <w:rsid w:val="002523B2"/>
    <w:rsid w:val="00252799"/>
    <w:rsid w:val="00256431"/>
    <w:rsid w:val="00256763"/>
    <w:rsid w:val="00256904"/>
    <w:rsid w:val="00256B42"/>
    <w:rsid w:val="00261538"/>
    <w:rsid w:val="00261DF6"/>
    <w:rsid w:val="00264450"/>
    <w:rsid w:val="002659F3"/>
    <w:rsid w:val="00265FC9"/>
    <w:rsid w:val="002670D9"/>
    <w:rsid w:val="00270CD1"/>
    <w:rsid w:val="002710C5"/>
    <w:rsid w:val="002718D7"/>
    <w:rsid w:val="00275DAC"/>
    <w:rsid w:val="002800BF"/>
    <w:rsid w:val="00282AAD"/>
    <w:rsid w:val="00283E59"/>
    <w:rsid w:val="00287564"/>
    <w:rsid w:val="00287B03"/>
    <w:rsid w:val="00291D82"/>
    <w:rsid w:val="00293ACC"/>
    <w:rsid w:val="002966A1"/>
    <w:rsid w:val="00296A55"/>
    <w:rsid w:val="00297424"/>
    <w:rsid w:val="002A1963"/>
    <w:rsid w:val="002A1F48"/>
    <w:rsid w:val="002A3239"/>
    <w:rsid w:val="002A65EF"/>
    <w:rsid w:val="002B13BA"/>
    <w:rsid w:val="002B17E2"/>
    <w:rsid w:val="002B37C9"/>
    <w:rsid w:val="002B479B"/>
    <w:rsid w:val="002B6B03"/>
    <w:rsid w:val="002B7493"/>
    <w:rsid w:val="002C079C"/>
    <w:rsid w:val="002C0FE2"/>
    <w:rsid w:val="002C12AD"/>
    <w:rsid w:val="002C2A79"/>
    <w:rsid w:val="002C350F"/>
    <w:rsid w:val="002C42B9"/>
    <w:rsid w:val="002C6570"/>
    <w:rsid w:val="002C66A2"/>
    <w:rsid w:val="002C70F7"/>
    <w:rsid w:val="002D2163"/>
    <w:rsid w:val="002D3A88"/>
    <w:rsid w:val="002D4CD9"/>
    <w:rsid w:val="002D6A81"/>
    <w:rsid w:val="002D74C4"/>
    <w:rsid w:val="002E046E"/>
    <w:rsid w:val="002E1671"/>
    <w:rsid w:val="002E3856"/>
    <w:rsid w:val="002E43B6"/>
    <w:rsid w:val="002E6027"/>
    <w:rsid w:val="002F23D1"/>
    <w:rsid w:val="002F2ACB"/>
    <w:rsid w:val="002F3419"/>
    <w:rsid w:val="002F375B"/>
    <w:rsid w:val="00302A8A"/>
    <w:rsid w:val="003034C0"/>
    <w:rsid w:val="003050F8"/>
    <w:rsid w:val="0030535C"/>
    <w:rsid w:val="00305794"/>
    <w:rsid w:val="00306C34"/>
    <w:rsid w:val="00306C50"/>
    <w:rsid w:val="003110E4"/>
    <w:rsid w:val="00312ED2"/>
    <w:rsid w:val="00314869"/>
    <w:rsid w:val="003163CF"/>
    <w:rsid w:val="00317F09"/>
    <w:rsid w:val="00317F0D"/>
    <w:rsid w:val="0032053D"/>
    <w:rsid w:val="00320E07"/>
    <w:rsid w:val="0032244D"/>
    <w:rsid w:val="00325463"/>
    <w:rsid w:val="00331B47"/>
    <w:rsid w:val="00331D4E"/>
    <w:rsid w:val="00332312"/>
    <w:rsid w:val="00332ECF"/>
    <w:rsid w:val="003330E9"/>
    <w:rsid w:val="003343CA"/>
    <w:rsid w:val="00335814"/>
    <w:rsid w:val="003365A8"/>
    <w:rsid w:val="003368A3"/>
    <w:rsid w:val="003368E2"/>
    <w:rsid w:val="003400E9"/>
    <w:rsid w:val="00340246"/>
    <w:rsid w:val="00341916"/>
    <w:rsid w:val="003433A9"/>
    <w:rsid w:val="00344871"/>
    <w:rsid w:val="00344C0B"/>
    <w:rsid w:val="00345F40"/>
    <w:rsid w:val="00346DCB"/>
    <w:rsid w:val="00346FBC"/>
    <w:rsid w:val="003472A7"/>
    <w:rsid w:val="00347397"/>
    <w:rsid w:val="003502E0"/>
    <w:rsid w:val="00350478"/>
    <w:rsid w:val="00353A74"/>
    <w:rsid w:val="00353BAA"/>
    <w:rsid w:val="00353E9D"/>
    <w:rsid w:val="00354AE0"/>
    <w:rsid w:val="00354BA1"/>
    <w:rsid w:val="003563C1"/>
    <w:rsid w:val="00361300"/>
    <w:rsid w:val="00361B43"/>
    <w:rsid w:val="003623B1"/>
    <w:rsid w:val="00362AFA"/>
    <w:rsid w:val="003644DB"/>
    <w:rsid w:val="003657C4"/>
    <w:rsid w:val="003661AB"/>
    <w:rsid w:val="00367F07"/>
    <w:rsid w:val="0037232B"/>
    <w:rsid w:val="003737C0"/>
    <w:rsid w:val="00374069"/>
    <w:rsid w:val="00377954"/>
    <w:rsid w:val="0038136A"/>
    <w:rsid w:val="00387141"/>
    <w:rsid w:val="00390E69"/>
    <w:rsid w:val="003918B8"/>
    <w:rsid w:val="00393C65"/>
    <w:rsid w:val="00394B51"/>
    <w:rsid w:val="00394DA1"/>
    <w:rsid w:val="0039768C"/>
    <w:rsid w:val="003A07BF"/>
    <w:rsid w:val="003A1412"/>
    <w:rsid w:val="003A1EB9"/>
    <w:rsid w:val="003A341A"/>
    <w:rsid w:val="003A4346"/>
    <w:rsid w:val="003A4767"/>
    <w:rsid w:val="003A5530"/>
    <w:rsid w:val="003A5869"/>
    <w:rsid w:val="003A6F0A"/>
    <w:rsid w:val="003A7EBD"/>
    <w:rsid w:val="003B14CC"/>
    <w:rsid w:val="003B4544"/>
    <w:rsid w:val="003B5341"/>
    <w:rsid w:val="003B5EF6"/>
    <w:rsid w:val="003B6421"/>
    <w:rsid w:val="003B6F75"/>
    <w:rsid w:val="003C0BCF"/>
    <w:rsid w:val="003C3013"/>
    <w:rsid w:val="003C48C8"/>
    <w:rsid w:val="003C5E8C"/>
    <w:rsid w:val="003C5EF1"/>
    <w:rsid w:val="003C6559"/>
    <w:rsid w:val="003C7211"/>
    <w:rsid w:val="003C744D"/>
    <w:rsid w:val="003D5B63"/>
    <w:rsid w:val="003D5BD6"/>
    <w:rsid w:val="003E36EC"/>
    <w:rsid w:val="003E4BA1"/>
    <w:rsid w:val="003E5AAA"/>
    <w:rsid w:val="003E5CB1"/>
    <w:rsid w:val="003E6724"/>
    <w:rsid w:val="003E7003"/>
    <w:rsid w:val="003E720E"/>
    <w:rsid w:val="003E7421"/>
    <w:rsid w:val="003E7992"/>
    <w:rsid w:val="003F2F66"/>
    <w:rsid w:val="003F502D"/>
    <w:rsid w:val="003F787D"/>
    <w:rsid w:val="004016AD"/>
    <w:rsid w:val="00403291"/>
    <w:rsid w:val="00403B86"/>
    <w:rsid w:val="0040410A"/>
    <w:rsid w:val="00405796"/>
    <w:rsid w:val="0041472F"/>
    <w:rsid w:val="0041491A"/>
    <w:rsid w:val="0041676B"/>
    <w:rsid w:val="00416F51"/>
    <w:rsid w:val="00417933"/>
    <w:rsid w:val="004200CE"/>
    <w:rsid w:val="0042056B"/>
    <w:rsid w:val="0042240C"/>
    <w:rsid w:val="004268C7"/>
    <w:rsid w:val="0042695A"/>
    <w:rsid w:val="00426BC0"/>
    <w:rsid w:val="0043040F"/>
    <w:rsid w:val="00431572"/>
    <w:rsid w:val="004323CF"/>
    <w:rsid w:val="004345C3"/>
    <w:rsid w:val="00435B05"/>
    <w:rsid w:val="00436A9E"/>
    <w:rsid w:val="004418BA"/>
    <w:rsid w:val="00441CED"/>
    <w:rsid w:val="004438E9"/>
    <w:rsid w:val="00443921"/>
    <w:rsid w:val="0044510A"/>
    <w:rsid w:val="004466CA"/>
    <w:rsid w:val="00446AB0"/>
    <w:rsid w:val="00451E15"/>
    <w:rsid w:val="00452C14"/>
    <w:rsid w:val="00454EFD"/>
    <w:rsid w:val="004562C0"/>
    <w:rsid w:val="00457AE7"/>
    <w:rsid w:val="00457B6C"/>
    <w:rsid w:val="00461B46"/>
    <w:rsid w:val="00462CCC"/>
    <w:rsid w:val="00465A2F"/>
    <w:rsid w:val="00466CC6"/>
    <w:rsid w:val="004705E1"/>
    <w:rsid w:val="00471289"/>
    <w:rsid w:val="00471705"/>
    <w:rsid w:val="00472750"/>
    <w:rsid w:val="004736A1"/>
    <w:rsid w:val="004754D9"/>
    <w:rsid w:val="00476743"/>
    <w:rsid w:val="0048180C"/>
    <w:rsid w:val="00482912"/>
    <w:rsid w:val="004876D5"/>
    <w:rsid w:val="00490DBC"/>
    <w:rsid w:val="00491010"/>
    <w:rsid w:val="00493B4A"/>
    <w:rsid w:val="00493B9B"/>
    <w:rsid w:val="00493EB0"/>
    <w:rsid w:val="00494346"/>
    <w:rsid w:val="00494DA2"/>
    <w:rsid w:val="00495D13"/>
    <w:rsid w:val="004A2B03"/>
    <w:rsid w:val="004A3DD5"/>
    <w:rsid w:val="004A60E8"/>
    <w:rsid w:val="004B029E"/>
    <w:rsid w:val="004B5304"/>
    <w:rsid w:val="004C0831"/>
    <w:rsid w:val="004C1903"/>
    <w:rsid w:val="004C3EDB"/>
    <w:rsid w:val="004C4957"/>
    <w:rsid w:val="004C7C5C"/>
    <w:rsid w:val="004D0639"/>
    <w:rsid w:val="004D3EEF"/>
    <w:rsid w:val="004E218D"/>
    <w:rsid w:val="004E326C"/>
    <w:rsid w:val="004E4FD9"/>
    <w:rsid w:val="004E5D01"/>
    <w:rsid w:val="004E6EE5"/>
    <w:rsid w:val="004F0990"/>
    <w:rsid w:val="004F187C"/>
    <w:rsid w:val="004F1D43"/>
    <w:rsid w:val="004F66E9"/>
    <w:rsid w:val="00502A74"/>
    <w:rsid w:val="005035AB"/>
    <w:rsid w:val="00505616"/>
    <w:rsid w:val="00506D4C"/>
    <w:rsid w:val="00510D10"/>
    <w:rsid w:val="005117B1"/>
    <w:rsid w:val="0051199D"/>
    <w:rsid w:val="00512A5C"/>
    <w:rsid w:val="00514466"/>
    <w:rsid w:val="0051478D"/>
    <w:rsid w:val="00514B5F"/>
    <w:rsid w:val="005150A8"/>
    <w:rsid w:val="00517579"/>
    <w:rsid w:val="0052001A"/>
    <w:rsid w:val="00521043"/>
    <w:rsid w:val="005214C9"/>
    <w:rsid w:val="00522727"/>
    <w:rsid w:val="00524A5A"/>
    <w:rsid w:val="00526086"/>
    <w:rsid w:val="00526174"/>
    <w:rsid w:val="00526BD6"/>
    <w:rsid w:val="0052737A"/>
    <w:rsid w:val="00527656"/>
    <w:rsid w:val="00534A58"/>
    <w:rsid w:val="00535D18"/>
    <w:rsid w:val="0053754D"/>
    <w:rsid w:val="00537EE6"/>
    <w:rsid w:val="005414AB"/>
    <w:rsid w:val="005415C8"/>
    <w:rsid w:val="0054220C"/>
    <w:rsid w:val="005440C1"/>
    <w:rsid w:val="0054413C"/>
    <w:rsid w:val="00545EF8"/>
    <w:rsid w:val="00546764"/>
    <w:rsid w:val="00547654"/>
    <w:rsid w:val="00552923"/>
    <w:rsid w:val="00553717"/>
    <w:rsid w:val="00553AA9"/>
    <w:rsid w:val="00556449"/>
    <w:rsid w:val="0055677C"/>
    <w:rsid w:val="00557BF1"/>
    <w:rsid w:val="00560703"/>
    <w:rsid w:val="00564C42"/>
    <w:rsid w:val="00565160"/>
    <w:rsid w:val="0056704D"/>
    <w:rsid w:val="00567C95"/>
    <w:rsid w:val="00567D8D"/>
    <w:rsid w:val="0057063D"/>
    <w:rsid w:val="005707A0"/>
    <w:rsid w:val="0057106C"/>
    <w:rsid w:val="0057107F"/>
    <w:rsid w:val="00573DA6"/>
    <w:rsid w:val="005777CF"/>
    <w:rsid w:val="00582C24"/>
    <w:rsid w:val="00584EAE"/>
    <w:rsid w:val="0058504C"/>
    <w:rsid w:val="00585C79"/>
    <w:rsid w:val="00596645"/>
    <w:rsid w:val="0059732E"/>
    <w:rsid w:val="005A5412"/>
    <w:rsid w:val="005A5615"/>
    <w:rsid w:val="005A72DD"/>
    <w:rsid w:val="005A7B01"/>
    <w:rsid w:val="005B3158"/>
    <w:rsid w:val="005B402E"/>
    <w:rsid w:val="005B4196"/>
    <w:rsid w:val="005B4BB7"/>
    <w:rsid w:val="005B4CEA"/>
    <w:rsid w:val="005B6757"/>
    <w:rsid w:val="005B67ED"/>
    <w:rsid w:val="005B7E05"/>
    <w:rsid w:val="005C2A5A"/>
    <w:rsid w:val="005C30D4"/>
    <w:rsid w:val="005C488E"/>
    <w:rsid w:val="005D250F"/>
    <w:rsid w:val="005D364B"/>
    <w:rsid w:val="005D4F7D"/>
    <w:rsid w:val="005D77A6"/>
    <w:rsid w:val="005E1CE9"/>
    <w:rsid w:val="005E3D9F"/>
    <w:rsid w:val="005E612F"/>
    <w:rsid w:val="005E6AFE"/>
    <w:rsid w:val="005F6FE0"/>
    <w:rsid w:val="0060171A"/>
    <w:rsid w:val="006020E8"/>
    <w:rsid w:val="00602329"/>
    <w:rsid w:val="00603106"/>
    <w:rsid w:val="006057C0"/>
    <w:rsid w:val="00610873"/>
    <w:rsid w:val="00612375"/>
    <w:rsid w:val="00613DF4"/>
    <w:rsid w:val="00614BBE"/>
    <w:rsid w:val="00615726"/>
    <w:rsid w:val="006168A4"/>
    <w:rsid w:val="00617286"/>
    <w:rsid w:val="00622396"/>
    <w:rsid w:val="00624EEA"/>
    <w:rsid w:val="0063026F"/>
    <w:rsid w:val="0063038A"/>
    <w:rsid w:val="006318F7"/>
    <w:rsid w:val="00631B0D"/>
    <w:rsid w:val="00631D7C"/>
    <w:rsid w:val="00633963"/>
    <w:rsid w:val="00634F84"/>
    <w:rsid w:val="0063734B"/>
    <w:rsid w:val="00637BCB"/>
    <w:rsid w:val="00637D3F"/>
    <w:rsid w:val="00640EAA"/>
    <w:rsid w:val="006427AB"/>
    <w:rsid w:val="00644983"/>
    <w:rsid w:val="0064498D"/>
    <w:rsid w:val="006472F4"/>
    <w:rsid w:val="00650C92"/>
    <w:rsid w:val="006522DC"/>
    <w:rsid w:val="00653DFB"/>
    <w:rsid w:val="00654BBF"/>
    <w:rsid w:val="006557D7"/>
    <w:rsid w:val="00655845"/>
    <w:rsid w:val="00655B5D"/>
    <w:rsid w:val="00655D1B"/>
    <w:rsid w:val="0065677C"/>
    <w:rsid w:val="00657963"/>
    <w:rsid w:val="006606A3"/>
    <w:rsid w:val="0066179B"/>
    <w:rsid w:val="00661DE5"/>
    <w:rsid w:val="00662DA5"/>
    <w:rsid w:val="006650FD"/>
    <w:rsid w:val="00665162"/>
    <w:rsid w:val="0066537F"/>
    <w:rsid w:val="006661EB"/>
    <w:rsid w:val="00671666"/>
    <w:rsid w:val="0067184C"/>
    <w:rsid w:val="00672014"/>
    <w:rsid w:val="006733A8"/>
    <w:rsid w:val="00673674"/>
    <w:rsid w:val="006742ED"/>
    <w:rsid w:val="00674B18"/>
    <w:rsid w:val="00681EE9"/>
    <w:rsid w:val="00683E53"/>
    <w:rsid w:val="00684B62"/>
    <w:rsid w:val="00685F2C"/>
    <w:rsid w:val="00686968"/>
    <w:rsid w:val="00686DE5"/>
    <w:rsid w:val="0068736A"/>
    <w:rsid w:val="006877E7"/>
    <w:rsid w:val="006908E6"/>
    <w:rsid w:val="00691F6C"/>
    <w:rsid w:val="00693530"/>
    <w:rsid w:val="0069586A"/>
    <w:rsid w:val="006A0976"/>
    <w:rsid w:val="006A3429"/>
    <w:rsid w:val="006A6FD0"/>
    <w:rsid w:val="006B080E"/>
    <w:rsid w:val="006B464B"/>
    <w:rsid w:val="006B481A"/>
    <w:rsid w:val="006B4985"/>
    <w:rsid w:val="006B683C"/>
    <w:rsid w:val="006B685D"/>
    <w:rsid w:val="006B70BE"/>
    <w:rsid w:val="006B7204"/>
    <w:rsid w:val="006B73E8"/>
    <w:rsid w:val="006C0109"/>
    <w:rsid w:val="006C20E0"/>
    <w:rsid w:val="006C67D9"/>
    <w:rsid w:val="006D2212"/>
    <w:rsid w:val="006D3524"/>
    <w:rsid w:val="006D550A"/>
    <w:rsid w:val="006D7FF3"/>
    <w:rsid w:val="006E37C9"/>
    <w:rsid w:val="006E3B0D"/>
    <w:rsid w:val="006E4521"/>
    <w:rsid w:val="006E51E0"/>
    <w:rsid w:val="006E6868"/>
    <w:rsid w:val="006E728E"/>
    <w:rsid w:val="006E78CE"/>
    <w:rsid w:val="006F1F13"/>
    <w:rsid w:val="0070139C"/>
    <w:rsid w:val="007023D3"/>
    <w:rsid w:val="00704843"/>
    <w:rsid w:val="00706065"/>
    <w:rsid w:val="00706084"/>
    <w:rsid w:val="00710F66"/>
    <w:rsid w:val="00711232"/>
    <w:rsid w:val="007112FE"/>
    <w:rsid w:val="007115F7"/>
    <w:rsid w:val="00713B37"/>
    <w:rsid w:val="00714FD7"/>
    <w:rsid w:val="00715666"/>
    <w:rsid w:val="0071634D"/>
    <w:rsid w:val="0071714A"/>
    <w:rsid w:val="007171A3"/>
    <w:rsid w:val="00720733"/>
    <w:rsid w:val="0072250E"/>
    <w:rsid w:val="007230BE"/>
    <w:rsid w:val="00723CF2"/>
    <w:rsid w:val="00726A2F"/>
    <w:rsid w:val="0072776E"/>
    <w:rsid w:val="00731211"/>
    <w:rsid w:val="007325C3"/>
    <w:rsid w:val="0073326F"/>
    <w:rsid w:val="00734135"/>
    <w:rsid w:val="007358CE"/>
    <w:rsid w:val="00742D7D"/>
    <w:rsid w:val="00743531"/>
    <w:rsid w:val="00743885"/>
    <w:rsid w:val="00743CDB"/>
    <w:rsid w:val="00744DA8"/>
    <w:rsid w:val="00745AB4"/>
    <w:rsid w:val="007470E1"/>
    <w:rsid w:val="007479D6"/>
    <w:rsid w:val="00750AE6"/>
    <w:rsid w:val="00752D0E"/>
    <w:rsid w:val="00753CC6"/>
    <w:rsid w:val="0075485E"/>
    <w:rsid w:val="00755564"/>
    <w:rsid w:val="00755F3F"/>
    <w:rsid w:val="00756B79"/>
    <w:rsid w:val="00757E63"/>
    <w:rsid w:val="007625C0"/>
    <w:rsid w:val="00765619"/>
    <w:rsid w:val="00765BED"/>
    <w:rsid w:val="0077103F"/>
    <w:rsid w:val="0077291E"/>
    <w:rsid w:val="00775725"/>
    <w:rsid w:val="00781BFC"/>
    <w:rsid w:val="00782257"/>
    <w:rsid w:val="00783045"/>
    <w:rsid w:val="00784579"/>
    <w:rsid w:val="00785772"/>
    <w:rsid w:val="0078649E"/>
    <w:rsid w:val="00787DBC"/>
    <w:rsid w:val="00790B4B"/>
    <w:rsid w:val="00791577"/>
    <w:rsid w:val="00792AD9"/>
    <w:rsid w:val="007A1D03"/>
    <w:rsid w:val="007A2AF2"/>
    <w:rsid w:val="007A400F"/>
    <w:rsid w:val="007A414A"/>
    <w:rsid w:val="007A510A"/>
    <w:rsid w:val="007A6E47"/>
    <w:rsid w:val="007A7D89"/>
    <w:rsid w:val="007B0B4A"/>
    <w:rsid w:val="007B1239"/>
    <w:rsid w:val="007B1B20"/>
    <w:rsid w:val="007B2282"/>
    <w:rsid w:val="007B25BE"/>
    <w:rsid w:val="007B456A"/>
    <w:rsid w:val="007B5955"/>
    <w:rsid w:val="007B60DE"/>
    <w:rsid w:val="007B63EF"/>
    <w:rsid w:val="007C057E"/>
    <w:rsid w:val="007C18B2"/>
    <w:rsid w:val="007C197B"/>
    <w:rsid w:val="007C3802"/>
    <w:rsid w:val="007C3FB4"/>
    <w:rsid w:val="007C416C"/>
    <w:rsid w:val="007C487A"/>
    <w:rsid w:val="007C5D56"/>
    <w:rsid w:val="007C676A"/>
    <w:rsid w:val="007D13FC"/>
    <w:rsid w:val="007D1E92"/>
    <w:rsid w:val="007D1F18"/>
    <w:rsid w:val="007D2786"/>
    <w:rsid w:val="007D53BD"/>
    <w:rsid w:val="007D5BA0"/>
    <w:rsid w:val="007D7B06"/>
    <w:rsid w:val="007E10B6"/>
    <w:rsid w:val="007E10E7"/>
    <w:rsid w:val="007E39BB"/>
    <w:rsid w:val="007E56ED"/>
    <w:rsid w:val="007E7E2E"/>
    <w:rsid w:val="007F20EF"/>
    <w:rsid w:val="007F26E5"/>
    <w:rsid w:val="007F29BF"/>
    <w:rsid w:val="007F3C22"/>
    <w:rsid w:val="0080144D"/>
    <w:rsid w:val="008015A6"/>
    <w:rsid w:val="0080200D"/>
    <w:rsid w:val="00804316"/>
    <w:rsid w:val="00804AA7"/>
    <w:rsid w:val="00806AEF"/>
    <w:rsid w:val="00810253"/>
    <w:rsid w:val="00813F43"/>
    <w:rsid w:val="00816788"/>
    <w:rsid w:val="00817123"/>
    <w:rsid w:val="008206DF"/>
    <w:rsid w:val="008218CC"/>
    <w:rsid w:val="00823395"/>
    <w:rsid w:val="008251D0"/>
    <w:rsid w:val="00830D60"/>
    <w:rsid w:val="00836DF6"/>
    <w:rsid w:val="00840103"/>
    <w:rsid w:val="008469B5"/>
    <w:rsid w:val="00854197"/>
    <w:rsid w:val="0085755F"/>
    <w:rsid w:val="008579A2"/>
    <w:rsid w:val="00862B6D"/>
    <w:rsid w:val="00862E26"/>
    <w:rsid w:val="008635E6"/>
    <w:rsid w:val="008635E7"/>
    <w:rsid w:val="00865531"/>
    <w:rsid w:val="008666BC"/>
    <w:rsid w:val="00866D8F"/>
    <w:rsid w:val="00867A33"/>
    <w:rsid w:val="008731D2"/>
    <w:rsid w:val="008742A5"/>
    <w:rsid w:val="00874CFC"/>
    <w:rsid w:val="008756E6"/>
    <w:rsid w:val="008761D6"/>
    <w:rsid w:val="0087692B"/>
    <w:rsid w:val="00876FA4"/>
    <w:rsid w:val="00890DC3"/>
    <w:rsid w:val="00893627"/>
    <w:rsid w:val="00894233"/>
    <w:rsid w:val="008951C1"/>
    <w:rsid w:val="008A0636"/>
    <w:rsid w:val="008A0B16"/>
    <w:rsid w:val="008A1A2C"/>
    <w:rsid w:val="008A1E81"/>
    <w:rsid w:val="008A3602"/>
    <w:rsid w:val="008A759A"/>
    <w:rsid w:val="008A7E4B"/>
    <w:rsid w:val="008B09DA"/>
    <w:rsid w:val="008B170F"/>
    <w:rsid w:val="008B1964"/>
    <w:rsid w:val="008B25EE"/>
    <w:rsid w:val="008B2AB9"/>
    <w:rsid w:val="008B5BA5"/>
    <w:rsid w:val="008B7E7C"/>
    <w:rsid w:val="008C2DA4"/>
    <w:rsid w:val="008C66D4"/>
    <w:rsid w:val="008C6706"/>
    <w:rsid w:val="008D1BE7"/>
    <w:rsid w:val="008D30E7"/>
    <w:rsid w:val="008D4D32"/>
    <w:rsid w:val="008D6AFE"/>
    <w:rsid w:val="008D7157"/>
    <w:rsid w:val="008E0D87"/>
    <w:rsid w:val="008E20C2"/>
    <w:rsid w:val="008E323B"/>
    <w:rsid w:val="008E3D57"/>
    <w:rsid w:val="008E4411"/>
    <w:rsid w:val="008E4E13"/>
    <w:rsid w:val="008F02D7"/>
    <w:rsid w:val="008F0F79"/>
    <w:rsid w:val="008F22D2"/>
    <w:rsid w:val="008F2B3D"/>
    <w:rsid w:val="008F345D"/>
    <w:rsid w:val="008F5BE9"/>
    <w:rsid w:val="008F75BD"/>
    <w:rsid w:val="008F7FFA"/>
    <w:rsid w:val="00901145"/>
    <w:rsid w:val="009012DC"/>
    <w:rsid w:val="00901EA9"/>
    <w:rsid w:val="00902D79"/>
    <w:rsid w:val="009035FF"/>
    <w:rsid w:val="00904D8F"/>
    <w:rsid w:val="009053C9"/>
    <w:rsid w:val="00910008"/>
    <w:rsid w:val="009103E3"/>
    <w:rsid w:val="0091234F"/>
    <w:rsid w:val="00913674"/>
    <w:rsid w:val="00913D43"/>
    <w:rsid w:val="00914F36"/>
    <w:rsid w:val="009150E9"/>
    <w:rsid w:val="00916A3A"/>
    <w:rsid w:val="00916E94"/>
    <w:rsid w:val="00920FB9"/>
    <w:rsid w:val="00921A2F"/>
    <w:rsid w:val="00922692"/>
    <w:rsid w:val="00922BC7"/>
    <w:rsid w:val="00924198"/>
    <w:rsid w:val="009244F0"/>
    <w:rsid w:val="00925E7D"/>
    <w:rsid w:val="00932902"/>
    <w:rsid w:val="00932FF9"/>
    <w:rsid w:val="00935232"/>
    <w:rsid w:val="0093638C"/>
    <w:rsid w:val="0093709D"/>
    <w:rsid w:val="00937758"/>
    <w:rsid w:val="0093782D"/>
    <w:rsid w:val="00937A4E"/>
    <w:rsid w:val="00946B85"/>
    <w:rsid w:val="0095552E"/>
    <w:rsid w:val="00955661"/>
    <w:rsid w:val="009558C2"/>
    <w:rsid w:val="00957805"/>
    <w:rsid w:val="00957948"/>
    <w:rsid w:val="00965CE6"/>
    <w:rsid w:val="00966093"/>
    <w:rsid w:val="009708B5"/>
    <w:rsid w:val="0097139C"/>
    <w:rsid w:val="009714F0"/>
    <w:rsid w:val="00971732"/>
    <w:rsid w:val="00974A8A"/>
    <w:rsid w:val="0097633D"/>
    <w:rsid w:val="00977906"/>
    <w:rsid w:val="009802B9"/>
    <w:rsid w:val="00980476"/>
    <w:rsid w:val="00980606"/>
    <w:rsid w:val="00980AA0"/>
    <w:rsid w:val="00980C98"/>
    <w:rsid w:val="009812BC"/>
    <w:rsid w:val="00981A39"/>
    <w:rsid w:val="009847FB"/>
    <w:rsid w:val="00985084"/>
    <w:rsid w:val="00986A45"/>
    <w:rsid w:val="0098700B"/>
    <w:rsid w:val="00987756"/>
    <w:rsid w:val="00990196"/>
    <w:rsid w:val="00992A29"/>
    <w:rsid w:val="00994033"/>
    <w:rsid w:val="00994260"/>
    <w:rsid w:val="009A09C6"/>
    <w:rsid w:val="009A0DF6"/>
    <w:rsid w:val="009A21CB"/>
    <w:rsid w:val="009A2403"/>
    <w:rsid w:val="009A323D"/>
    <w:rsid w:val="009A34F7"/>
    <w:rsid w:val="009A3AE5"/>
    <w:rsid w:val="009A4C09"/>
    <w:rsid w:val="009A5554"/>
    <w:rsid w:val="009A595A"/>
    <w:rsid w:val="009B0223"/>
    <w:rsid w:val="009B0A49"/>
    <w:rsid w:val="009B1061"/>
    <w:rsid w:val="009B2C59"/>
    <w:rsid w:val="009B3E58"/>
    <w:rsid w:val="009B5289"/>
    <w:rsid w:val="009B6F4E"/>
    <w:rsid w:val="009B6F55"/>
    <w:rsid w:val="009B7748"/>
    <w:rsid w:val="009C2411"/>
    <w:rsid w:val="009C3321"/>
    <w:rsid w:val="009C3CDC"/>
    <w:rsid w:val="009C46AB"/>
    <w:rsid w:val="009C57F4"/>
    <w:rsid w:val="009C6AD9"/>
    <w:rsid w:val="009D0C63"/>
    <w:rsid w:val="009D17B9"/>
    <w:rsid w:val="009D1907"/>
    <w:rsid w:val="009D23CB"/>
    <w:rsid w:val="009D30C2"/>
    <w:rsid w:val="009D3BB9"/>
    <w:rsid w:val="009D4B3E"/>
    <w:rsid w:val="009D5355"/>
    <w:rsid w:val="009D7681"/>
    <w:rsid w:val="009E096B"/>
    <w:rsid w:val="009E3F25"/>
    <w:rsid w:val="009E44EE"/>
    <w:rsid w:val="009E708F"/>
    <w:rsid w:val="009F1509"/>
    <w:rsid w:val="009F24FC"/>
    <w:rsid w:val="009F4322"/>
    <w:rsid w:val="009F557F"/>
    <w:rsid w:val="00A002F4"/>
    <w:rsid w:val="00A00AE0"/>
    <w:rsid w:val="00A01D1A"/>
    <w:rsid w:val="00A020A9"/>
    <w:rsid w:val="00A02148"/>
    <w:rsid w:val="00A02EE5"/>
    <w:rsid w:val="00A0422F"/>
    <w:rsid w:val="00A047AF"/>
    <w:rsid w:val="00A049D8"/>
    <w:rsid w:val="00A0567A"/>
    <w:rsid w:val="00A068A8"/>
    <w:rsid w:val="00A0699E"/>
    <w:rsid w:val="00A07289"/>
    <w:rsid w:val="00A10460"/>
    <w:rsid w:val="00A11D30"/>
    <w:rsid w:val="00A14DFE"/>
    <w:rsid w:val="00A14E35"/>
    <w:rsid w:val="00A153C3"/>
    <w:rsid w:val="00A158A2"/>
    <w:rsid w:val="00A174D4"/>
    <w:rsid w:val="00A17E01"/>
    <w:rsid w:val="00A20325"/>
    <w:rsid w:val="00A204BA"/>
    <w:rsid w:val="00A20570"/>
    <w:rsid w:val="00A223C9"/>
    <w:rsid w:val="00A230E1"/>
    <w:rsid w:val="00A24324"/>
    <w:rsid w:val="00A24336"/>
    <w:rsid w:val="00A24CD1"/>
    <w:rsid w:val="00A26C54"/>
    <w:rsid w:val="00A32859"/>
    <w:rsid w:val="00A336ED"/>
    <w:rsid w:val="00A34096"/>
    <w:rsid w:val="00A341CE"/>
    <w:rsid w:val="00A3796D"/>
    <w:rsid w:val="00A40637"/>
    <w:rsid w:val="00A41565"/>
    <w:rsid w:val="00A42341"/>
    <w:rsid w:val="00A45420"/>
    <w:rsid w:val="00A45E90"/>
    <w:rsid w:val="00A47DE3"/>
    <w:rsid w:val="00A52CEE"/>
    <w:rsid w:val="00A547A0"/>
    <w:rsid w:val="00A60BEE"/>
    <w:rsid w:val="00A67221"/>
    <w:rsid w:val="00A7079E"/>
    <w:rsid w:val="00A727A7"/>
    <w:rsid w:val="00A76356"/>
    <w:rsid w:val="00A76611"/>
    <w:rsid w:val="00A76632"/>
    <w:rsid w:val="00A808B1"/>
    <w:rsid w:val="00A8102E"/>
    <w:rsid w:val="00A823D7"/>
    <w:rsid w:val="00A8332D"/>
    <w:rsid w:val="00A8461B"/>
    <w:rsid w:val="00A87550"/>
    <w:rsid w:val="00A90B52"/>
    <w:rsid w:val="00A94073"/>
    <w:rsid w:val="00A95983"/>
    <w:rsid w:val="00A965E2"/>
    <w:rsid w:val="00A96B7C"/>
    <w:rsid w:val="00A979AA"/>
    <w:rsid w:val="00AA19E7"/>
    <w:rsid w:val="00AA1C42"/>
    <w:rsid w:val="00AA2670"/>
    <w:rsid w:val="00AA29E6"/>
    <w:rsid w:val="00AA2EB9"/>
    <w:rsid w:val="00AA2FEA"/>
    <w:rsid w:val="00AA614F"/>
    <w:rsid w:val="00AA7E17"/>
    <w:rsid w:val="00AB2A27"/>
    <w:rsid w:val="00AB2A81"/>
    <w:rsid w:val="00AB3FF0"/>
    <w:rsid w:val="00AB64C3"/>
    <w:rsid w:val="00AB7398"/>
    <w:rsid w:val="00AC08EF"/>
    <w:rsid w:val="00AC0A30"/>
    <w:rsid w:val="00AC1491"/>
    <w:rsid w:val="00AC3601"/>
    <w:rsid w:val="00AC6009"/>
    <w:rsid w:val="00AC6048"/>
    <w:rsid w:val="00AC7682"/>
    <w:rsid w:val="00AC7905"/>
    <w:rsid w:val="00AC7F5C"/>
    <w:rsid w:val="00AD35D3"/>
    <w:rsid w:val="00AD4673"/>
    <w:rsid w:val="00AD4A1E"/>
    <w:rsid w:val="00AD525D"/>
    <w:rsid w:val="00AD77A2"/>
    <w:rsid w:val="00AE1BCE"/>
    <w:rsid w:val="00AE2651"/>
    <w:rsid w:val="00AE2AE1"/>
    <w:rsid w:val="00AE2CF2"/>
    <w:rsid w:val="00AE2F65"/>
    <w:rsid w:val="00AE4E71"/>
    <w:rsid w:val="00AE5183"/>
    <w:rsid w:val="00AE6CDF"/>
    <w:rsid w:val="00AE751A"/>
    <w:rsid w:val="00AE7E55"/>
    <w:rsid w:val="00AF2223"/>
    <w:rsid w:val="00AF2483"/>
    <w:rsid w:val="00AF6122"/>
    <w:rsid w:val="00AF79A5"/>
    <w:rsid w:val="00B0093E"/>
    <w:rsid w:val="00B0140F"/>
    <w:rsid w:val="00B02296"/>
    <w:rsid w:val="00B02AFF"/>
    <w:rsid w:val="00B03A3A"/>
    <w:rsid w:val="00B046DF"/>
    <w:rsid w:val="00B0601B"/>
    <w:rsid w:val="00B06CA0"/>
    <w:rsid w:val="00B074CA"/>
    <w:rsid w:val="00B07C21"/>
    <w:rsid w:val="00B102D9"/>
    <w:rsid w:val="00B106C6"/>
    <w:rsid w:val="00B13BCE"/>
    <w:rsid w:val="00B1643A"/>
    <w:rsid w:val="00B17C46"/>
    <w:rsid w:val="00B20811"/>
    <w:rsid w:val="00B208D1"/>
    <w:rsid w:val="00B21753"/>
    <w:rsid w:val="00B225EA"/>
    <w:rsid w:val="00B22E25"/>
    <w:rsid w:val="00B246DD"/>
    <w:rsid w:val="00B26603"/>
    <w:rsid w:val="00B307A4"/>
    <w:rsid w:val="00B32A34"/>
    <w:rsid w:val="00B34443"/>
    <w:rsid w:val="00B37975"/>
    <w:rsid w:val="00B37C31"/>
    <w:rsid w:val="00B42F1B"/>
    <w:rsid w:val="00B43934"/>
    <w:rsid w:val="00B44002"/>
    <w:rsid w:val="00B44569"/>
    <w:rsid w:val="00B509C3"/>
    <w:rsid w:val="00B5182F"/>
    <w:rsid w:val="00B525E1"/>
    <w:rsid w:val="00B52F5E"/>
    <w:rsid w:val="00B53C3A"/>
    <w:rsid w:val="00B611EA"/>
    <w:rsid w:val="00B61BD4"/>
    <w:rsid w:val="00B61D02"/>
    <w:rsid w:val="00B65EF7"/>
    <w:rsid w:val="00B661C1"/>
    <w:rsid w:val="00B70908"/>
    <w:rsid w:val="00B70A0B"/>
    <w:rsid w:val="00B7385F"/>
    <w:rsid w:val="00B74FA4"/>
    <w:rsid w:val="00B76C9E"/>
    <w:rsid w:val="00B77E3B"/>
    <w:rsid w:val="00B8072F"/>
    <w:rsid w:val="00B80EC8"/>
    <w:rsid w:val="00B83678"/>
    <w:rsid w:val="00B842D2"/>
    <w:rsid w:val="00B84DAA"/>
    <w:rsid w:val="00B868C8"/>
    <w:rsid w:val="00B86B94"/>
    <w:rsid w:val="00B91F92"/>
    <w:rsid w:val="00B971F9"/>
    <w:rsid w:val="00BA0DEA"/>
    <w:rsid w:val="00BA3E58"/>
    <w:rsid w:val="00BA44AF"/>
    <w:rsid w:val="00BA5BEA"/>
    <w:rsid w:val="00BA5F4B"/>
    <w:rsid w:val="00BB0AFF"/>
    <w:rsid w:val="00BB18C9"/>
    <w:rsid w:val="00BB2B10"/>
    <w:rsid w:val="00BB47D7"/>
    <w:rsid w:val="00BB4888"/>
    <w:rsid w:val="00BB61BD"/>
    <w:rsid w:val="00BB6D6F"/>
    <w:rsid w:val="00BB73C7"/>
    <w:rsid w:val="00BB7541"/>
    <w:rsid w:val="00BB7C52"/>
    <w:rsid w:val="00BC042E"/>
    <w:rsid w:val="00BC1DAB"/>
    <w:rsid w:val="00BC3C88"/>
    <w:rsid w:val="00BC3FB6"/>
    <w:rsid w:val="00BC4F98"/>
    <w:rsid w:val="00BC65BA"/>
    <w:rsid w:val="00BC735D"/>
    <w:rsid w:val="00BD36E4"/>
    <w:rsid w:val="00BD5C10"/>
    <w:rsid w:val="00BD747D"/>
    <w:rsid w:val="00BD7761"/>
    <w:rsid w:val="00BE5365"/>
    <w:rsid w:val="00BE53D9"/>
    <w:rsid w:val="00BE57A6"/>
    <w:rsid w:val="00BF0CB5"/>
    <w:rsid w:val="00BF105F"/>
    <w:rsid w:val="00BF689C"/>
    <w:rsid w:val="00C01C61"/>
    <w:rsid w:val="00C01CC1"/>
    <w:rsid w:val="00C0227F"/>
    <w:rsid w:val="00C02572"/>
    <w:rsid w:val="00C03F28"/>
    <w:rsid w:val="00C058CE"/>
    <w:rsid w:val="00C063BE"/>
    <w:rsid w:val="00C07EE9"/>
    <w:rsid w:val="00C11CF4"/>
    <w:rsid w:val="00C11E14"/>
    <w:rsid w:val="00C12126"/>
    <w:rsid w:val="00C135FF"/>
    <w:rsid w:val="00C138D9"/>
    <w:rsid w:val="00C14EBB"/>
    <w:rsid w:val="00C15231"/>
    <w:rsid w:val="00C15447"/>
    <w:rsid w:val="00C16C03"/>
    <w:rsid w:val="00C211BD"/>
    <w:rsid w:val="00C23262"/>
    <w:rsid w:val="00C23391"/>
    <w:rsid w:val="00C2400C"/>
    <w:rsid w:val="00C2483C"/>
    <w:rsid w:val="00C25702"/>
    <w:rsid w:val="00C25EAE"/>
    <w:rsid w:val="00C26770"/>
    <w:rsid w:val="00C26850"/>
    <w:rsid w:val="00C26E70"/>
    <w:rsid w:val="00C274EE"/>
    <w:rsid w:val="00C30B5C"/>
    <w:rsid w:val="00C32B5E"/>
    <w:rsid w:val="00C339C4"/>
    <w:rsid w:val="00C37DEA"/>
    <w:rsid w:val="00C42817"/>
    <w:rsid w:val="00C4441E"/>
    <w:rsid w:val="00C471D9"/>
    <w:rsid w:val="00C5156A"/>
    <w:rsid w:val="00C52F97"/>
    <w:rsid w:val="00C53862"/>
    <w:rsid w:val="00C5575E"/>
    <w:rsid w:val="00C56E39"/>
    <w:rsid w:val="00C579CC"/>
    <w:rsid w:val="00C710A4"/>
    <w:rsid w:val="00C7583B"/>
    <w:rsid w:val="00C7593B"/>
    <w:rsid w:val="00C771F0"/>
    <w:rsid w:val="00C80AB7"/>
    <w:rsid w:val="00C81248"/>
    <w:rsid w:val="00C81DFC"/>
    <w:rsid w:val="00C8260A"/>
    <w:rsid w:val="00C82A24"/>
    <w:rsid w:val="00C835A2"/>
    <w:rsid w:val="00C85518"/>
    <w:rsid w:val="00C855E5"/>
    <w:rsid w:val="00C90207"/>
    <w:rsid w:val="00C91AF1"/>
    <w:rsid w:val="00C92588"/>
    <w:rsid w:val="00C9559E"/>
    <w:rsid w:val="00C9673A"/>
    <w:rsid w:val="00C97F25"/>
    <w:rsid w:val="00CA199C"/>
    <w:rsid w:val="00CA3B0A"/>
    <w:rsid w:val="00CA60E2"/>
    <w:rsid w:val="00CA705F"/>
    <w:rsid w:val="00CA719B"/>
    <w:rsid w:val="00CA74A0"/>
    <w:rsid w:val="00CB2B26"/>
    <w:rsid w:val="00CB6E37"/>
    <w:rsid w:val="00CB7648"/>
    <w:rsid w:val="00CC13F1"/>
    <w:rsid w:val="00CC3496"/>
    <w:rsid w:val="00CC3E7E"/>
    <w:rsid w:val="00CC4883"/>
    <w:rsid w:val="00CC48B6"/>
    <w:rsid w:val="00CC660D"/>
    <w:rsid w:val="00CC6B2D"/>
    <w:rsid w:val="00CC6CA6"/>
    <w:rsid w:val="00CD01AA"/>
    <w:rsid w:val="00CD1677"/>
    <w:rsid w:val="00CD3EC9"/>
    <w:rsid w:val="00CD692D"/>
    <w:rsid w:val="00CD7A1B"/>
    <w:rsid w:val="00CE45E8"/>
    <w:rsid w:val="00CE4E82"/>
    <w:rsid w:val="00CE57A9"/>
    <w:rsid w:val="00CE6412"/>
    <w:rsid w:val="00CE7874"/>
    <w:rsid w:val="00CF0BCD"/>
    <w:rsid w:val="00CF1109"/>
    <w:rsid w:val="00CF2340"/>
    <w:rsid w:val="00CF39ED"/>
    <w:rsid w:val="00CF537E"/>
    <w:rsid w:val="00CF6719"/>
    <w:rsid w:val="00CF6B67"/>
    <w:rsid w:val="00CF6ED4"/>
    <w:rsid w:val="00D04240"/>
    <w:rsid w:val="00D04481"/>
    <w:rsid w:val="00D05548"/>
    <w:rsid w:val="00D06CBE"/>
    <w:rsid w:val="00D137D5"/>
    <w:rsid w:val="00D15C2F"/>
    <w:rsid w:val="00D17BBB"/>
    <w:rsid w:val="00D20BAB"/>
    <w:rsid w:val="00D2256B"/>
    <w:rsid w:val="00D22E7E"/>
    <w:rsid w:val="00D23943"/>
    <w:rsid w:val="00D249F3"/>
    <w:rsid w:val="00D2697B"/>
    <w:rsid w:val="00D31052"/>
    <w:rsid w:val="00D34FA2"/>
    <w:rsid w:val="00D3643A"/>
    <w:rsid w:val="00D417DA"/>
    <w:rsid w:val="00D43840"/>
    <w:rsid w:val="00D504C0"/>
    <w:rsid w:val="00D50A21"/>
    <w:rsid w:val="00D51382"/>
    <w:rsid w:val="00D55192"/>
    <w:rsid w:val="00D60EA8"/>
    <w:rsid w:val="00D62D9A"/>
    <w:rsid w:val="00D65FD0"/>
    <w:rsid w:val="00D70FC6"/>
    <w:rsid w:val="00D72D3B"/>
    <w:rsid w:val="00D72EE1"/>
    <w:rsid w:val="00D75D1C"/>
    <w:rsid w:val="00D76464"/>
    <w:rsid w:val="00D77881"/>
    <w:rsid w:val="00D827CF"/>
    <w:rsid w:val="00D82B21"/>
    <w:rsid w:val="00D8390B"/>
    <w:rsid w:val="00D8782E"/>
    <w:rsid w:val="00D9018E"/>
    <w:rsid w:val="00D910C7"/>
    <w:rsid w:val="00D913ED"/>
    <w:rsid w:val="00D94243"/>
    <w:rsid w:val="00D96CA9"/>
    <w:rsid w:val="00DA1C41"/>
    <w:rsid w:val="00DA26C1"/>
    <w:rsid w:val="00DA28D9"/>
    <w:rsid w:val="00DA2B19"/>
    <w:rsid w:val="00DA4A80"/>
    <w:rsid w:val="00DA67BE"/>
    <w:rsid w:val="00DA7691"/>
    <w:rsid w:val="00DB04B0"/>
    <w:rsid w:val="00DB110F"/>
    <w:rsid w:val="00DB11ED"/>
    <w:rsid w:val="00DB209B"/>
    <w:rsid w:val="00DB2376"/>
    <w:rsid w:val="00DB54FA"/>
    <w:rsid w:val="00DB55C5"/>
    <w:rsid w:val="00DB6E88"/>
    <w:rsid w:val="00DB7C1F"/>
    <w:rsid w:val="00DC29C7"/>
    <w:rsid w:val="00DC3F6E"/>
    <w:rsid w:val="00DC4D5A"/>
    <w:rsid w:val="00DC68F5"/>
    <w:rsid w:val="00DC6B41"/>
    <w:rsid w:val="00DD01E9"/>
    <w:rsid w:val="00DD066D"/>
    <w:rsid w:val="00DD17B4"/>
    <w:rsid w:val="00DD24D9"/>
    <w:rsid w:val="00DD26C3"/>
    <w:rsid w:val="00DD355E"/>
    <w:rsid w:val="00DD4BF7"/>
    <w:rsid w:val="00DD7B34"/>
    <w:rsid w:val="00DE2206"/>
    <w:rsid w:val="00DE2C94"/>
    <w:rsid w:val="00DE3C91"/>
    <w:rsid w:val="00DE3F76"/>
    <w:rsid w:val="00DE5BE5"/>
    <w:rsid w:val="00DF2FC3"/>
    <w:rsid w:val="00DF3333"/>
    <w:rsid w:val="00DF49C5"/>
    <w:rsid w:val="00DF6853"/>
    <w:rsid w:val="00DF75AD"/>
    <w:rsid w:val="00E03C5E"/>
    <w:rsid w:val="00E03D76"/>
    <w:rsid w:val="00E0401A"/>
    <w:rsid w:val="00E05861"/>
    <w:rsid w:val="00E05DD3"/>
    <w:rsid w:val="00E07222"/>
    <w:rsid w:val="00E07B18"/>
    <w:rsid w:val="00E125BC"/>
    <w:rsid w:val="00E1271D"/>
    <w:rsid w:val="00E136B4"/>
    <w:rsid w:val="00E20614"/>
    <w:rsid w:val="00E207F4"/>
    <w:rsid w:val="00E216B3"/>
    <w:rsid w:val="00E271E5"/>
    <w:rsid w:val="00E273E3"/>
    <w:rsid w:val="00E278B2"/>
    <w:rsid w:val="00E32B89"/>
    <w:rsid w:val="00E36923"/>
    <w:rsid w:val="00E40344"/>
    <w:rsid w:val="00E41348"/>
    <w:rsid w:val="00E44BA5"/>
    <w:rsid w:val="00E44BAF"/>
    <w:rsid w:val="00E4687E"/>
    <w:rsid w:val="00E479AA"/>
    <w:rsid w:val="00E51553"/>
    <w:rsid w:val="00E51C92"/>
    <w:rsid w:val="00E51F9F"/>
    <w:rsid w:val="00E562EA"/>
    <w:rsid w:val="00E56E0F"/>
    <w:rsid w:val="00E57ED1"/>
    <w:rsid w:val="00E6009E"/>
    <w:rsid w:val="00E61780"/>
    <w:rsid w:val="00E6226A"/>
    <w:rsid w:val="00E62309"/>
    <w:rsid w:val="00E62D10"/>
    <w:rsid w:val="00E650AE"/>
    <w:rsid w:val="00E65BD0"/>
    <w:rsid w:val="00E668C8"/>
    <w:rsid w:val="00E672A5"/>
    <w:rsid w:val="00E6792A"/>
    <w:rsid w:val="00E705AB"/>
    <w:rsid w:val="00E73070"/>
    <w:rsid w:val="00E73693"/>
    <w:rsid w:val="00E74600"/>
    <w:rsid w:val="00E74C38"/>
    <w:rsid w:val="00E84862"/>
    <w:rsid w:val="00E85C68"/>
    <w:rsid w:val="00E85E97"/>
    <w:rsid w:val="00E9402D"/>
    <w:rsid w:val="00E95342"/>
    <w:rsid w:val="00E977F1"/>
    <w:rsid w:val="00EA0026"/>
    <w:rsid w:val="00EA16F8"/>
    <w:rsid w:val="00EA3AE5"/>
    <w:rsid w:val="00EA5230"/>
    <w:rsid w:val="00EA7BC5"/>
    <w:rsid w:val="00EB15E6"/>
    <w:rsid w:val="00EB18E8"/>
    <w:rsid w:val="00EB4D90"/>
    <w:rsid w:val="00EB5C8E"/>
    <w:rsid w:val="00EB610D"/>
    <w:rsid w:val="00EC01C8"/>
    <w:rsid w:val="00EC389E"/>
    <w:rsid w:val="00EC59F7"/>
    <w:rsid w:val="00EC6192"/>
    <w:rsid w:val="00ED001A"/>
    <w:rsid w:val="00ED50F4"/>
    <w:rsid w:val="00ED56D9"/>
    <w:rsid w:val="00ED7F11"/>
    <w:rsid w:val="00EE05DB"/>
    <w:rsid w:val="00EE194C"/>
    <w:rsid w:val="00EE1A22"/>
    <w:rsid w:val="00EE5771"/>
    <w:rsid w:val="00EE69A8"/>
    <w:rsid w:val="00EE7218"/>
    <w:rsid w:val="00EF05FE"/>
    <w:rsid w:val="00EF0720"/>
    <w:rsid w:val="00EF0FA7"/>
    <w:rsid w:val="00EF23E9"/>
    <w:rsid w:val="00EF2D22"/>
    <w:rsid w:val="00EF3412"/>
    <w:rsid w:val="00EF49F0"/>
    <w:rsid w:val="00EF5AF0"/>
    <w:rsid w:val="00EF5B91"/>
    <w:rsid w:val="00EF6311"/>
    <w:rsid w:val="00EF7D46"/>
    <w:rsid w:val="00F0262C"/>
    <w:rsid w:val="00F03DF9"/>
    <w:rsid w:val="00F07C8E"/>
    <w:rsid w:val="00F122FD"/>
    <w:rsid w:val="00F14577"/>
    <w:rsid w:val="00F156C3"/>
    <w:rsid w:val="00F15E74"/>
    <w:rsid w:val="00F16485"/>
    <w:rsid w:val="00F167BF"/>
    <w:rsid w:val="00F1681D"/>
    <w:rsid w:val="00F210F9"/>
    <w:rsid w:val="00F21865"/>
    <w:rsid w:val="00F21DEF"/>
    <w:rsid w:val="00F23F1E"/>
    <w:rsid w:val="00F25F5C"/>
    <w:rsid w:val="00F2615F"/>
    <w:rsid w:val="00F30CE4"/>
    <w:rsid w:val="00F33853"/>
    <w:rsid w:val="00F34554"/>
    <w:rsid w:val="00F35991"/>
    <w:rsid w:val="00F368C8"/>
    <w:rsid w:val="00F42488"/>
    <w:rsid w:val="00F4270E"/>
    <w:rsid w:val="00F429F7"/>
    <w:rsid w:val="00F44C9F"/>
    <w:rsid w:val="00F45139"/>
    <w:rsid w:val="00F51AF3"/>
    <w:rsid w:val="00F52406"/>
    <w:rsid w:val="00F53C26"/>
    <w:rsid w:val="00F55C84"/>
    <w:rsid w:val="00F66D09"/>
    <w:rsid w:val="00F72F5C"/>
    <w:rsid w:val="00F75907"/>
    <w:rsid w:val="00F75F18"/>
    <w:rsid w:val="00F77065"/>
    <w:rsid w:val="00F80BCB"/>
    <w:rsid w:val="00F83951"/>
    <w:rsid w:val="00F84343"/>
    <w:rsid w:val="00F84C24"/>
    <w:rsid w:val="00F8540F"/>
    <w:rsid w:val="00F8613C"/>
    <w:rsid w:val="00F8742F"/>
    <w:rsid w:val="00F87B3A"/>
    <w:rsid w:val="00F902FF"/>
    <w:rsid w:val="00F90362"/>
    <w:rsid w:val="00F93126"/>
    <w:rsid w:val="00F9326A"/>
    <w:rsid w:val="00F93E08"/>
    <w:rsid w:val="00F968BB"/>
    <w:rsid w:val="00F9726C"/>
    <w:rsid w:val="00F9742F"/>
    <w:rsid w:val="00FA1C9B"/>
    <w:rsid w:val="00FA2BC9"/>
    <w:rsid w:val="00FA3463"/>
    <w:rsid w:val="00FA449B"/>
    <w:rsid w:val="00FA51F2"/>
    <w:rsid w:val="00FA581C"/>
    <w:rsid w:val="00FA750D"/>
    <w:rsid w:val="00FB18CC"/>
    <w:rsid w:val="00FB450C"/>
    <w:rsid w:val="00FB6E41"/>
    <w:rsid w:val="00FB724F"/>
    <w:rsid w:val="00FB7EE4"/>
    <w:rsid w:val="00FC1038"/>
    <w:rsid w:val="00FC1C58"/>
    <w:rsid w:val="00FD12DE"/>
    <w:rsid w:val="00FD256A"/>
    <w:rsid w:val="00FD2585"/>
    <w:rsid w:val="00FD4738"/>
    <w:rsid w:val="00FE0192"/>
    <w:rsid w:val="00FE3890"/>
    <w:rsid w:val="00FE3E28"/>
    <w:rsid w:val="00FE57D0"/>
    <w:rsid w:val="00FE74AF"/>
    <w:rsid w:val="00FF0865"/>
    <w:rsid w:val="00FF10F5"/>
    <w:rsid w:val="00FF2B16"/>
    <w:rsid w:val="00FF2CBB"/>
    <w:rsid w:val="00FF3C13"/>
    <w:rsid w:val="00FF4B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6E1215BD-3EFA-45EB-9CA3-EEC9FC4C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9C"/>
    <w:pPr>
      <w:widowControl w:val="0"/>
    </w:pPr>
    <w:rPr>
      <w:snapToGrid w:val="0"/>
      <w:kern w:val="28"/>
      <w:szCs w:val="20"/>
    </w:rPr>
  </w:style>
  <w:style w:type="paragraph" w:styleId="Heading1">
    <w:name w:val="heading 1"/>
    <w:basedOn w:val="Normal"/>
    <w:next w:val="ParaNum"/>
    <w:link w:val="Heading1Char"/>
    <w:qFormat/>
    <w:rsid w:val="0070139C"/>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0139C"/>
    <w:pPr>
      <w:keepNext/>
      <w:numPr>
        <w:ilvl w:val="1"/>
        <w:numId w:val="2"/>
      </w:numPr>
      <w:spacing w:after="120"/>
      <w:outlineLvl w:val="1"/>
    </w:pPr>
    <w:rPr>
      <w:b/>
    </w:rPr>
  </w:style>
  <w:style w:type="paragraph" w:styleId="Heading3">
    <w:name w:val="heading 3"/>
    <w:basedOn w:val="Normal"/>
    <w:next w:val="ParaNum"/>
    <w:link w:val="Heading3Char"/>
    <w:qFormat/>
    <w:rsid w:val="0070139C"/>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70139C"/>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70139C"/>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70139C"/>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70139C"/>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70139C"/>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0139C"/>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013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39C"/>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70139C"/>
    <w:pPr>
      <w:numPr>
        <w:numId w:val="1"/>
      </w:numPr>
      <w:tabs>
        <w:tab w:val="clear" w:pos="1080"/>
        <w:tab w:val="num" w:pos="1440"/>
      </w:tabs>
      <w:spacing w:after="120"/>
    </w:pPr>
  </w:style>
  <w:style w:type="paragraph" w:styleId="EndnoteText">
    <w:name w:val="endnote text"/>
    <w:basedOn w:val="Normal"/>
    <w:link w:val="EndnoteTextChar"/>
    <w:rsid w:val="0070139C"/>
    <w:rPr>
      <w:sz w:val="20"/>
    </w:rPr>
  </w:style>
  <w:style w:type="character" w:customStyle="1" w:styleId="EndnoteTextChar">
    <w:name w:val="Endnote Text Char"/>
    <w:basedOn w:val="DefaultParagraphFont"/>
    <w:link w:val="EndnoteText"/>
    <w:locked/>
    <w:rsid w:val="0070139C"/>
    <w:rPr>
      <w:snapToGrid w:val="0"/>
      <w:kern w:val="28"/>
      <w:sz w:val="20"/>
      <w:szCs w:val="20"/>
    </w:rPr>
  </w:style>
  <w:style w:type="character" w:styleId="EndnoteReference">
    <w:name w:val="endnote reference"/>
    <w:rsid w:val="0070139C"/>
    <w:rPr>
      <w:vertAlign w:val="superscript"/>
    </w:rPr>
  </w:style>
  <w:style w:type="paragraph" w:styleId="FootnoteText">
    <w:name w:val="footnote text"/>
    <w:aliases w:val="ALTS FOOTNOTE,ALTS FOOTNOTE Char Char,ALTS FOOTNOTE Char1,Footnote Text Char Char,Footnote Text Char Char Char Char,Footnote Text Char1 Char Char,Footnote Text Char2,Footnote Text Char2 Char Char Char Char,f,fn,fn ,fn Char Char,fn Char1"/>
    <w:link w:val="FootnoteTextChar"/>
    <w:rsid w:val="0070139C"/>
    <w:pPr>
      <w:spacing w:after="120"/>
    </w:pPr>
    <w:rPr>
      <w:sz w:val="20"/>
      <w:szCs w:val="20"/>
    </w:rPr>
  </w:style>
  <w:style w:type="character" w:customStyle="1" w:styleId="FootnoteTextChar">
    <w:name w:val="Footnote Text Char"/>
    <w:aliases w:val="ALTS FOOTNOTE Char,ALTS FOOTNOTE Char Char Char,ALTS FOOTNOTE Char1 Char,Footnote Text Char Char Char,Footnote Text Char Char Char Char Char,Footnote Text Char1 Char Char Char,Footnote Text Char2 Char,f Char,fn  Char,fn Char"/>
    <w:basedOn w:val="DefaultParagraphFont"/>
    <w:link w:val="FootnoteText"/>
    <w:locked/>
    <w:rsid w:val="009B2C59"/>
    <w:rPr>
      <w:sz w:val="20"/>
      <w:szCs w:val="20"/>
    </w:rPr>
  </w:style>
  <w:style w:type="character" w:styleId="FootnoteReference">
    <w:name w:val="footnote reference"/>
    <w:rsid w:val="0070139C"/>
    <w:rPr>
      <w:rFonts w:ascii="Times New Roman" w:hAnsi="Times New Roman"/>
      <w:dstrike w:val="0"/>
      <w:color w:val="auto"/>
      <w:sz w:val="20"/>
      <w:vertAlign w:val="superscript"/>
    </w:rPr>
  </w:style>
  <w:style w:type="paragraph" w:styleId="TOC1">
    <w:name w:val="toc 1"/>
    <w:basedOn w:val="Normal"/>
    <w:next w:val="Normal"/>
    <w:rsid w:val="007013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0139C"/>
    <w:pPr>
      <w:tabs>
        <w:tab w:val="left" w:pos="720"/>
        <w:tab w:val="right" w:leader="dot" w:pos="9360"/>
      </w:tabs>
      <w:suppressAutoHyphens/>
      <w:ind w:left="720" w:right="720" w:hanging="360"/>
    </w:pPr>
    <w:rPr>
      <w:noProof/>
    </w:rPr>
  </w:style>
  <w:style w:type="paragraph" w:styleId="TOC3">
    <w:name w:val="toc 3"/>
    <w:basedOn w:val="Normal"/>
    <w:next w:val="Normal"/>
    <w:semiHidden/>
    <w:rsid w:val="007013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013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13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13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13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13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139C"/>
    <w:pPr>
      <w:tabs>
        <w:tab w:val="left" w:pos="3240"/>
        <w:tab w:val="right" w:leader="dot" w:pos="9360"/>
      </w:tabs>
      <w:suppressAutoHyphens/>
      <w:ind w:left="3240" w:hanging="360"/>
    </w:pPr>
    <w:rPr>
      <w:noProof/>
    </w:rPr>
  </w:style>
  <w:style w:type="paragraph" w:styleId="TOAHeading">
    <w:name w:val="toa heading"/>
    <w:basedOn w:val="Normal"/>
    <w:next w:val="Normal"/>
    <w:rsid w:val="0070139C"/>
    <w:pPr>
      <w:tabs>
        <w:tab w:val="right" w:pos="9360"/>
      </w:tabs>
      <w:suppressAutoHyphens/>
    </w:pPr>
  </w:style>
  <w:style w:type="character" w:customStyle="1" w:styleId="EquationCaption">
    <w:name w:val="_Equation Caption"/>
    <w:rsid w:val="0070139C"/>
  </w:style>
  <w:style w:type="paragraph" w:styleId="Header">
    <w:name w:val="header"/>
    <w:basedOn w:val="Normal"/>
    <w:link w:val="HeaderChar"/>
    <w:autoRedefine/>
    <w:rsid w:val="0070139C"/>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70139C"/>
    <w:pPr>
      <w:tabs>
        <w:tab w:val="center" w:pos="4320"/>
        <w:tab w:val="right" w:pos="8640"/>
      </w:tabs>
    </w:pPr>
  </w:style>
  <w:style w:type="character" w:customStyle="1" w:styleId="FooterChar">
    <w:name w:val="Footer Char"/>
    <w:link w:val="Footer"/>
    <w:locked/>
    <w:rsid w:val="008761D6"/>
    <w:rPr>
      <w:snapToGrid w:val="0"/>
      <w:kern w:val="28"/>
      <w:szCs w:val="20"/>
    </w:rPr>
  </w:style>
  <w:style w:type="character" w:styleId="PageNumber">
    <w:name w:val="page number"/>
    <w:basedOn w:val="DefaultParagraphFont"/>
    <w:rsid w:val="0070139C"/>
  </w:style>
  <w:style w:type="paragraph" w:styleId="BlockText">
    <w:name w:val="Block Text"/>
    <w:basedOn w:val="Normal"/>
    <w:rsid w:val="0070139C"/>
    <w:pPr>
      <w:spacing w:after="240"/>
      <w:ind w:left="1440" w:right="1440"/>
    </w:pPr>
  </w:style>
  <w:style w:type="paragraph" w:customStyle="1" w:styleId="Paratitle">
    <w:name w:val="Para title"/>
    <w:basedOn w:val="Normal"/>
    <w:rsid w:val="0070139C"/>
    <w:pPr>
      <w:tabs>
        <w:tab w:val="center" w:pos="9270"/>
      </w:tabs>
      <w:spacing w:after="240"/>
    </w:pPr>
    <w:rPr>
      <w:spacing w:val="-2"/>
    </w:rPr>
  </w:style>
  <w:style w:type="paragraph" w:customStyle="1" w:styleId="Bullet">
    <w:name w:val="Bullet"/>
    <w:basedOn w:val="Normal"/>
    <w:rsid w:val="0070139C"/>
    <w:pPr>
      <w:tabs>
        <w:tab w:val="left" w:pos="2160"/>
      </w:tabs>
      <w:spacing w:after="220"/>
      <w:ind w:left="2160" w:hanging="720"/>
    </w:pPr>
  </w:style>
  <w:style w:type="paragraph" w:customStyle="1" w:styleId="TableFormat">
    <w:name w:val="TableFormat"/>
    <w:basedOn w:val="Bullet"/>
    <w:rsid w:val="0070139C"/>
    <w:pPr>
      <w:tabs>
        <w:tab w:val="clear" w:pos="2160"/>
        <w:tab w:val="left" w:pos="5040"/>
      </w:tabs>
      <w:ind w:left="5040" w:hanging="3600"/>
    </w:pPr>
  </w:style>
  <w:style w:type="paragraph" w:customStyle="1" w:styleId="TOCTitle">
    <w:name w:val="TOC Title"/>
    <w:basedOn w:val="Normal"/>
    <w:rsid w:val="007013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0139C"/>
    <w:pPr>
      <w:jc w:val="center"/>
    </w:pPr>
    <w:rPr>
      <w:rFonts w:ascii="Times New Roman Bold" w:hAnsi="Times New Roman Bold"/>
      <w:b/>
      <w:bCs/>
      <w:caps/>
      <w:szCs w:val="22"/>
    </w:rPr>
  </w:style>
  <w:style w:type="character" w:styleId="Hyperlink">
    <w:name w:val="Hyperlink"/>
    <w:rsid w:val="0070139C"/>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34"/>
    <w:qFormat/>
    <w:rsid w:val="003343CA"/>
    <w:pPr>
      <w:ind w:left="720"/>
      <w:contextualSpacing/>
    </w:pPr>
    <w:rPr>
      <w:snapToGrid/>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table" w:styleId="TableGrid">
    <w:name w:val="Table Grid"/>
    <w:basedOn w:val="TableNormal"/>
    <w:locked/>
    <w:rsid w:val="006C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2C94"/>
  </w:style>
  <w:style w:type="character" w:customStyle="1" w:styleId="li">
    <w:name w:val="li"/>
    <w:basedOn w:val="DefaultParagraphFont"/>
    <w:rsid w:val="00DE2C94"/>
  </w:style>
  <w:style w:type="character" w:customStyle="1" w:styleId="enumxml">
    <w:name w:val="enumxml"/>
    <w:basedOn w:val="DefaultParagraphFont"/>
    <w:rsid w:val="00DE2C94"/>
  </w:style>
  <w:style w:type="character" w:styleId="Emphasis">
    <w:name w:val="Emphasis"/>
    <w:basedOn w:val="DefaultParagraphFont"/>
    <w:uiPriority w:val="20"/>
    <w:qFormat/>
    <w:locked/>
    <w:rsid w:val="00DE2C94"/>
    <w:rPr>
      <w:i/>
      <w:iCs/>
    </w:rPr>
  </w:style>
  <w:style w:type="character" w:customStyle="1" w:styleId="ptext-3">
    <w:name w:val="ptext-3"/>
    <w:basedOn w:val="DefaultParagraphFont"/>
    <w:rsid w:val="00DE2C94"/>
  </w:style>
  <w:style w:type="character" w:customStyle="1" w:styleId="ptext-4">
    <w:name w:val="ptext-4"/>
    <w:basedOn w:val="DefaultParagraphFont"/>
    <w:rsid w:val="00DE2C94"/>
  </w:style>
  <w:style w:type="table" w:customStyle="1" w:styleId="TableGridLight1">
    <w:name w:val="Table Grid Light1"/>
    <w:basedOn w:val="TableNormal"/>
    <w:uiPriority w:val="40"/>
    <w:rsid w:val="00965C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965C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65C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65C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65C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DD26C3"/>
    <w:rPr>
      <w:color w:val="808080"/>
      <w:shd w:val="clear" w:color="auto" w:fill="E6E6E6"/>
    </w:rPr>
  </w:style>
  <w:style w:type="paragraph" w:customStyle="1" w:styleId="Default">
    <w:name w:val="Default"/>
    <w:rsid w:val="00631D7C"/>
    <w:pPr>
      <w:autoSpaceDE w:val="0"/>
      <w:autoSpaceDN w:val="0"/>
      <w:adjustRightInd w:val="0"/>
    </w:pPr>
    <w:rPr>
      <w:rFonts w:ascii="Verdana" w:hAnsi="Verdana" w:eastAsiaTheme="minorHAnsi" w:cs="Verdana"/>
      <w:color w:val="000000"/>
      <w:sz w:val="24"/>
      <w:szCs w:val="24"/>
    </w:rPr>
  </w:style>
  <w:style w:type="character" w:customStyle="1" w:styleId="UnresolvedMention">
    <w:name w:val="Unresolved Mention"/>
    <w:basedOn w:val="DefaultParagraphFont"/>
    <w:uiPriority w:val="99"/>
    <w:semiHidden/>
    <w:unhideWhenUsed/>
    <w:rsid w:val="00237137"/>
    <w:rPr>
      <w:color w:val="605E5C"/>
      <w:shd w:val="clear" w:color="auto" w:fill="E1DFDD"/>
    </w:rPr>
  </w:style>
  <w:style w:type="paragraph" w:styleId="Caption">
    <w:name w:val="caption"/>
    <w:basedOn w:val="Normal"/>
    <w:next w:val="Normal"/>
    <w:qFormat/>
    <w:locked/>
    <w:rsid w:val="0070139C"/>
    <w:pPr>
      <w:spacing w:before="120" w:after="120"/>
    </w:pPr>
    <w:rPr>
      <w:b/>
    </w:rPr>
  </w:style>
  <w:style w:type="paragraph" w:customStyle="1" w:styleId="NumberedList">
    <w:name w:val="Numbered List"/>
    <w:basedOn w:val="Normal"/>
    <w:rsid w:val="0070139C"/>
    <w:pPr>
      <w:numPr>
        <w:numId w:val="6"/>
      </w:numPr>
      <w:tabs>
        <w:tab w:val="clear" w:pos="1080"/>
      </w:tabs>
      <w:spacing w:after="220"/>
      <w:ind w:firstLine="0"/>
    </w:pPr>
  </w:style>
  <w:style w:type="paragraph" w:styleId="Title">
    <w:name w:val="Title"/>
    <w:basedOn w:val="Normal"/>
    <w:link w:val="TitleChar"/>
    <w:qFormat/>
    <w:locked/>
    <w:rsid w:val="0070139C"/>
    <w:pPr>
      <w:jc w:val="center"/>
    </w:pPr>
    <w:rPr>
      <w:b/>
    </w:rPr>
  </w:style>
  <w:style w:type="character" w:customStyle="1" w:styleId="TitleChar">
    <w:name w:val="Title Char"/>
    <w:basedOn w:val="DefaultParagraphFont"/>
    <w:link w:val="Title"/>
    <w:rsid w:val="00A76632"/>
    <w:rPr>
      <w:b/>
      <w:snapToGrid w:val="0"/>
      <w:kern w:val="28"/>
      <w:szCs w:val="20"/>
    </w:rPr>
  </w:style>
  <w:style w:type="character" w:customStyle="1" w:styleId="ParaNumCharChar1">
    <w:name w:val="ParaNum Char Char1"/>
    <w:locked/>
    <w:rsid w:val="00D8390B"/>
    <w:rPr>
      <w:snapToGrid w:val="0"/>
      <w:kern w:val="28"/>
      <w:sz w:val="22"/>
    </w:rPr>
  </w:style>
  <w:style w:type="character" w:customStyle="1" w:styleId="item-value">
    <w:name w:val="item-value"/>
    <w:basedOn w:val="DefaultParagraphFont"/>
    <w:rsid w:val="0058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govinfo.gov/link/uscode/28/2461?type=usc&amp;year=mostrecent&amp;link-type=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