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BB3BEF" w14:paraId="36F47B2E" w14:textId="77777777">
      <w:pPr>
        <w:jc w:val="center"/>
        <w:rPr>
          <w:b/>
        </w:rPr>
      </w:pPr>
      <w:r w:rsidRPr="00BB3BEF">
        <w:rPr>
          <w:rFonts w:ascii="Times New Roman Bold" w:hAnsi="Times New Roman Bold"/>
          <w:b/>
          <w:kern w:val="0"/>
          <w:szCs w:val="22"/>
        </w:rPr>
        <w:t>Before</w:t>
      </w:r>
      <w:r w:rsidRPr="00BB3BEF">
        <w:rPr>
          <w:b/>
        </w:rPr>
        <w:t xml:space="preserve"> the</w:t>
      </w:r>
    </w:p>
    <w:p w:rsidR="00921803" w:rsidRPr="00BB3BEF" w:rsidP="00921803" w14:paraId="5C266276" w14:textId="77777777">
      <w:pPr>
        <w:pStyle w:val="StyleBoldCentered"/>
      </w:pPr>
      <w:r w:rsidRPr="00BB3BEF">
        <w:t>F</w:t>
      </w:r>
      <w:r w:rsidRPr="00BB3BEF">
        <w:rPr>
          <w:caps w:val="0"/>
        </w:rPr>
        <w:t>ederal Communications Commission</w:t>
      </w:r>
    </w:p>
    <w:p w:rsidR="004C2EE3" w:rsidRPr="00BB3BEF" w:rsidP="00096D8C" w14:paraId="479C1F09" w14:textId="77777777">
      <w:pPr>
        <w:pStyle w:val="StyleBoldCentered"/>
      </w:pPr>
      <w:r w:rsidRPr="00BB3BEF">
        <w:rPr>
          <w:caps w:val="0"/>
        </w:rPr>
        <w:t>Washington, D.C. 20554</w:t>
      </w:r>
    </w:p>
    <w:p w:rsidR="004C2EE3" w:rsidRPr="00BB3BEF" w:rsidP="0070224F" w14:paraId="4B5F71C3" w14:textId="77777777"/>
    <w:p w:rsidR="007213D7" w:rsidRPr="00BB3BEF" w:rsidP="0070224F" w14:paraId="279C2959" w14:textId="77777777"/>
    <w:tbl>
      <w:tblPr>
        <w:tblW w:w="9576" w:type="dxa"/>
        <w:tblLayout w:type="fixed"/>
        <w:tblLook w:val="0000"/>
      </w:tblPr>
      <w:tblGrid>
        <w:gridCol w:w="4698"/>
        <w:gridCol w:w="630"/>
        <w:gridCol w:w="4248"/>
      </w:tblGrid>
      <w:tr w14:paraId="32D09347" w14:textId="77777777" w:rsidTr="00186EFB">
        <w:tblPrEx>
          <w:tblW w:w="9576" w:type="dxa"/>
          <w:tblLayout w:type="fixed"/>
          <w:tblLook w:val="0000"/>
        </w:tblPrEx>
        <w:tc>
          <w:tcPr>
            <w:tcW w:w="4698" w:type="dxa"/>
          </w:tcPr>
          <w:p w:rsidR="00186EFB" w:rsidRPr="00BB3BEF" w:rsidP="00186EFB" w14:paraId="40164389" w14:textId="77777777">
            <w:pPr>
              <w:tabs>
                <w:tab w:val="center" w:pos="4680"/>
              </w:tabs>
              <w:suppressAutoHyphens/>
              <w:rPr>
                <w:spacing w:val="-2"/>
              </w:rPr>
            </w:pPr>
            <w:r w:rsidRPr="00BB3BEF">
              <w:rPr>
                <w:spacing w:val="-2"/>
              </w:rPr>
              <w:t xml:space="preserve">In the Matter of </w:t>
            </w:r>
          </w:p>
          <w:p w:rsidR="00186EFB" w:rsidRPr="00BB3BEF" w:rsidP="00186EFB" w14:paraId="3129A5E1" w14:textId="77777777">
            <w:pPr>
              <w:tabs>
                <w:tab w:val="center" w:pos="4680"/>
              </w:tabs>
              <w:suppressAutoHyphens/>
              <w:rPr>
                <w:spacing w:val="-2"/>
              </w:rPr>
            </w:pPr>
          </w:p>
          <w:p w:rsidR="00186EFB" w:rsidRPr="00BB3BEF" w:rsidP="00186EFB" w14:paraId="25CD6AAD" w14:textId="77777777">
            <w:pPr>
              <w:tabs>
                <w:tab w:val="center" w:pos="4680"/>
              </w:tabs>
              <w:suppressAutoHyphens/>
              <w:rPr>
                <w:spacing w:val="-2"/>
              </w:rPr>
            </w:pPr>
            <w:r w:rsidRPr="00BB3BEF">
              <w:rPr>
                <w:spacing w:val="-2"/>
              </w:rPr>
              <w:t>Rural Health Care Support Mechanism</w:t>
            </w:r>
          </w:p>
          <w:p w:rsidR="00186EFB" w:rsidRPr="00BB3BEF" w:rsidP="00186EFB" w14:paraId="548242B1" w14:textId="77777777">
            <w:pPr>
              <w:tabs>
                <w:tab w:val="center" w:pos="4680"/>
              </w:tabs>
              <w:suppressAutoHyphens/>
              <w:rPr>
                <w:spacing w:val="-2"/>
              </w:rPr>
            </w:pPr>
          </w:p>
          <w:p w:rsidR="00186EFB" w:rsidRPr="00BB3BEF" w:rsidP="00186EFB" w14:paraId="02D83429" w14:textId="244563F5">
            <w:pPr>
              <w:tabs>
                <w:tab w:val="center" w:pos="4680"/>
              </w:tabs>
              <w:suppressAutoHyphens/>
              <w:rPr>
                <w:spacing w:val="-2"/>
              </w:rPr>
            </w:pPr>
            <w:r w:rsidRPr="00BB3BEF">
              <w:rPr>
                <w:spacing w:val="-2"/>
              </w:rPr>
              <w:t>Promoting Telehealth in Rural America</w:t>
            </w:r>
          </w:p>
        </w:tc>
        <w:tc>
          <w:tcPr>
            <w:tcW w:w="630" w:type="dxa"/>
          </w:tcPr>
          <w:p w:rsidR="00186EFB" w:rsidRPr="00BB3BEF" w:rsidP="00186EFB" w14:paraId="66B916D0" w14:textId="77777777">
            <w:pPr>
              <w:tabs>
                <w:tab w:val="center" w:pos="4680"/>
              </w:tabs>
              <w:suppressAutoHyphens/>
              <w:rPr>
                <w:b/>
                <w:spacing w:val="-2"/>
              </w:rPr>
            </w:pPr>
            <w:r w:rsidRPr="00BB3BEF">
              <w:rPr>
                <w:b/>
                <w:spacing w:val="-2"/>
              </w:rPr>
              <w:t>)</w:t>
            </w:r>
          </w:p>
          <w:p w:rsidR="00186EFB" w:rsidRPr="00BB3BEF" w:rsidP="00186EFB" w14:paraId="65AD28DD" w14:textId="77777777">
            <w:pPr>
              <w:tabs>
                <w:tab w:val="center" w:pos="4680"/>
              </w:tabs>
              <w:suppressAutoHyphens/>
              <w:rPr>
                <w:b/>
                <w:spacing w:val="-2"/>
              </w:rPr>
            </w:pPr>
            <w:r w:rsidRPr="00BB3BEF">
              <w:rPr>
                <w:b/>
                <w:spacing w:val="-2"/>
              </w:rPr>
              <w:t>)</w:t>
            </w:r>
          </w:p>
          <w:p w:rsidR="00186EFB" w:rsidRPr="00BB3BEF" w:rsidP="00186EFB" w14:paraId="3F05976D" w14:textId="77777777">
            <w:pPr>
              <w:tabs>
                <w:tab w:val="center" w:pos="4680"/>
              </w:tabs>
              <w:suppressAutoHyphens/>
              <w:rPr>
                <w:b/>
                <w:spacing w:val="-2"/>
              </w:rPr>
            </w:pPr>
            <w:r w:rsidRPr="00BB3BEF">
              <w:rPr>
                <w:b/>
                <w:spacing w:val="-2"/>
              </w:rPr>
              <w:t>)</w:t>
            </w:r>
          </w:p>
          <w:p w:rsidR="00186EFB" w:rsidRPr="00BB3BEF" w:rsidP="00186EFB" w14:paraId="548F1513" w14:textId="77777777">
            <w:pPr>
              <w:tabs>
                <w:tab w:val="center" w:pos="4680"/>
              </w:tabs>
              <w:suppressAutoHyphens/>
              <w:rPr>
                <w:b/>
                <w:spacing w:val="-2"/>
              </w:rPr>
            </w:pPr>
            <w:r w:rsidRPr="00BB3BEF">
              <w:rPr>
                <w:b/>
                <w:spacing w:val="-2"/>
              </w:rPr>
              <w:t>)</w:t>
            </w:r>
          </w:p>
          <w:p w:rsidR="00186EFB" w:rsidRPr="00BB3BEF" w:rsidP="00186EFB" w14:paraId="10286A00" w14:textId="77777777">
            <w:pPr>
              <w:tabs>
                <w:tab w:val="center" w:pos="4680"/>
              </w:tabs>
              <w:suppressAutoHyphens/>
              <w:rPr>
                <w:b/>
                <w:spacing w:val="-2"/>
              </w:rPr>
            </w:pPr>
            <w:r w:rsidRPr="00BB3BEF">
              <w:rPr>
                <w:b/>
                <w:spacing w:val="-2"/>
              </w:rPr>
              <w:t>)</w:t>
            </w:r>
          </w:p>
          <w:p w:rsidR="00186EFB" w:rsidRPr="00BB3BEF" w:rsidP="00186EFB" w14:paraId="06AA6B2B" w14:textId="151877D0">
            <w:pPr>
              <w:tabs>
                <w:tab w:val="center" w:pos="4680"/>
              </w:tabs>
              <w:suppressAutoHyphens/>
              <w:rPr>
                <w:b/>
                <w:spacing w:val="-2"/>
              </w:rPr>
            </w:pPr>
          </w:p>
        </w:tc>
        <w:tc>
          <w:tcPr>
            <w:tcW w:w="4248" w:type="dxa"/>
          </w:tcPr>
          <w:p w:rsidR="00186EFB" w:rsidRPr="00BB3BEF" w:rsidP="00186EFB" w14:paraId="6BC46C94" w14:textId="77777777">
            <w:pPr>
              <w:tabs>
                <w:tab w:val="center" w:pos="4680"/>
              </w:tabs>
              <w:suppressAutoHyphens/>
              <w:rPr>
                <w:spacing w:val="-2"/>
              </w:rPr>
            </w:pPr>
          </w:p>
          <w:p w:rsidR="00186EFB" w:rsidRPr="00BB3BEF" w:rsidP="00186EFB" w14:paraId="69865AAE" w14:textId="77777777">
            <w:pPr>
              <w:pStyle w:val="TOAHeading"/>
              <w:tabs>
                <w:tab w:val="center" w:pos="4680"/>
                <w:tab w:val="clear" w:pos="9360"/>
              </w:tabs>
              <w:rPr>
                <w:spacing w:val="-2"/>
              </w:rPr>
            </w:pPr>
          </w:p>
          <w:p w:rsidR="00186EFB" w:rsidRPr="00BB3BEF" w:rsidP="00186EFB" w14:paraId="6251BB39" w14:textId="77777777">
            <w:pPr>
              <w:tabs>
                <w:tab w:val="center" w:pos="4680"/>
              </w:tabs>
              <w:suppressAutoHyphens/>
              <w:rPr>
                <w:spacing w:val="-2"/>
              </w:rPr>
            </w:pPr>
            <w:r w:rsidRPr="00BB3BEF">
              <w:rPr>
                <w:spacing w:val="-2"/>
              </w:rPr>
              <w:t>WC Docket No. 02-60</w:t>
            </w:r>
          </w:p>
          <w:p w:rsidR="00186EFB" w:rsidRPr="00BB3BEF" w:rsidP="00186EFB" w14:paraId="748856C4" w14:textId="77777777">
            <w:pPr>
              <w:tabs>
                <w:tab w:val="center" w:pos="4680"/>
              </w:tabs>
              <w:suppressAutoHyphens/>
              <w:rPr>
                <w:spacing w:val="-2"/>
              </w:rPr>
            </w:pPr>
          </w:p>
          <w:p w:rsidR="00186EFB" w:rsidRPr="00BB3BEF" w:rsidP="00186EFB" w14:paraId="1B695437" w14:textId="2D758DF9">
            <w:pPr>
              <w:tabs>
                <w:tab w:val="center" w:pos="4680"/>
              </w:tabs>
              <w:suppressAutoHyphens/>
              <w:rPr>
                <w:spacing w:val="-2"/>
              </w:rPr>
            </w:pPr>
            <w:r w:rsidRPr="00BB3BEF">
              <w:rPr>
                <w:spacing w:val="-2"/>
              </w:rPr>
              <w:t>WC Docket No. 17-310</w:t>
            </w:r>
          </w:p>
        </w:tc>
      </w:tr>
    </w:tbl>
    <w:p w:rsidR="004C2EE3" w:rsidRPr="00BB3BEF" w:rsidP="0070224F" w14:paraId="06AEE7B5" w14:textId="77777777"/>
    <w:p w:rsidR="00841AB1" w:rsidRPr="00BB3BEF" w:rsidP="00F021FA" w14:paraId="7EFBC738" w14:textId="77777777">
      <w:pPr>
        <w:pStyle w:val="StyleBoldCentered"/>
      </w:pPr>
      <w:r w:rsidRPr="00BB3BEF">
        <w:t>order</w:t>
      </w:r>
    </w:p>
    <w:p w:rsidR="004C2EE3" w:rsidRPr="00BB3BEF" w14:paraId="1C169F97" w14:textId="77777777">
      <w:pPr>
        <w:tabs>
          <w:tab w:val="left" w:pos="-720"/>
        </w:tabs>
        <w:suppressAutoHyphens/>
        <w:spacing w:line="227" w:lineRule="auto"/>
        <w:rPr>
          <w:spacing w:val="-2"/>
        </w:rPr>
      </w:pPr>
    </w:p>
    <w:p w:rsidR="004C2EE3" w:rsidRPr="00BB3BEF" w:rsidP="00133F79" w14:paraId="2AF51B3B" w14:textId="1B8F3BA1">
      <w:pPr>
        <w:tabs>
          <w:tab w:val="left" w:pos="720"/>
          <w:tab w:val="right" w:pos="9360"/>
        </w:tabs>
        <w:suppressAutoHyphens/>
        <w:spacing w:line="227" w:lineRule="auto"/>
        <w:rPr>
          <w:spacing w:val="-2"/>
        </w:rPr>
      </w:pPr>
      <w:r w:rsidRPr="00BB3BEF">
        <w:rPr>
          <w:b/>
          <w:spacing w:val="-2"/>
        </w:rPr>
        <w:t xml:space="preserve">Adopted:  </w:t>
      </w:r>
      <w:r w:rsidR="00836384">
        <w:rPr>
          <w:b/>
          <w:spacing w:val="-2"/>
        </w:rPr>
        <w:t>April</w:t>
      </w:r>
      <w:r w:rsidRPr="00BB3BEF" w:rsidR="00437F11">
        <w:rPr>
          <w:b/>
          <w:spacing w:val="-2"/>
        </w:rPr>
        <w:t xml:space="preserve"> </w:t>
      </w:r>
      <w:r w:rsidR="00D061D5">
        <w:rPr>
          <w:b/>
          <w:spacing w:val="-2"/>
        </w:rPr>
        <w:t>8</w:t>
      </w:r>
      <w:r w:rsidRPr="00BB3BEF" w:rsidR="00A5756F">
        <w:rPr>
          <w:b/>
          <w:spacing w:val="-2"/>
        </w:rPr>
        <w:t>, 2021</w:t>
      </w:r>
      <w:r w:rsidRPr="00BB3BEF">
        <w:rPr>
          <w:b/>
          <w:spacing w:val="-2"/>
        </w:rPr>
        <w:tab/>
      </w:r>
      <w:r w:rsidRPr="00BB3BEF" w:rsidR="00822CE0">
        <w:rPr>
          <w:b/>
          <w:spacing w:val="-2"/>
        </w:rPr>
        <w:t>Released</w:t>
      </w:r>
      <w:r w:rsidRPr="00BB3BEF">
        <w:rPr>
          <w:b/>
          <w:spacing w:val="-2"/>
        </w:rPr>
        <w:t>:</w:t>
      </w:r>
      <w:r w:rsidRPr="00BB3BEF" w:rsidR="00822CE0">
        <w:rPr>
          <w:b/>
          <w:spacing w:val="-2"/>
        </w:rPr>
        <w:t xml:space="preserve"> </w:t>
      </w:r>
      <w:r w:rsidRPr="00BB3BEF">
        <w:rPr>
          <w:b/>
          <w:spacing w:val="-2"/>
        </w:rPr>
        <w:t xml:space="preserve"> </w:t>
      </w:r>
      <w:r w:rsidR="005220CB">
        <w:rPr>
          <w:b/>
          <w:spacing w:val="-2"/>
        </w:rPr>
        <w:t>April</w:t>
      </w:r>
      <w:r w:rsidRPr="00BB3BEF" w:rsidR="00437F11">
        <w:rPr>
          <w:b/>
          <w:spacing w:val="-2"/>
        </w:rPr>
        <w:t xml:space="preserve"> </w:t>
      </w:r>
      <w:r w:rsidR="00D061D5">
        <w:rPr>
          <w:b/>
          <w:spacing w:val="-2"/>
        </w:rPr>
        <w:t>8</w:t>
      </w:r>
      <w:r w:rsidRPr="00BB3BEF" w:rsidR="00A5756F">
        <w:rPr>
          <w:b/>
          <w:spacing w:val="-2"/>
        </w:rPr>
        <w:t>, 2021</w:t>
      </w:r>
    </w:p>
    <w:p w:rsidR="00822CE0" w:rsidRPr="00BB3BEF" w14:paraId="182262D4" w14:textId="77777777"/>
    <w:p w:rsidR="004C2EE3" w:rsidRPr="00BB3BEF" w14:paraId="7A3621EC" w14:textId="77777777">
      <w:pPr>
        <w:rPr>
          <w:spacing w:val="-2"/>
        </w:rPr>
      </w:pPr>
      <w:r w:rsidRPr="00BB3BEF">
        <w:t xml:space="preserve">By </w:t>
      </w:r>
      <w:r w:rsidRPr="00BB3BEF" w:rsidR="004E4A22">
        <w:t>the</w:t>
      </w:r>
      <w:r w:rsidRPr="00BB3BEF" w:rsidR="000C0142">
        <w:t xml:space="preserve"> Chief,</w:t>
      </w:r>
      <w:r w:rsidRPr="00BB3BEF" w:rsidR="002A2D2E">
        <w:t xml:space="preserve"> </w:t>
      </w:r>
      <w:r w:rsidRPr="00BB3BEF" w:rsidR="00E305DF">
        <w:rPr>
          <w:spacing w:val="-2"/>
        </w:rPr>
        <w:t>Wireline Competition Bureau</w:t>
      </w:r>
      <w:r w:rsidRPr="00BB3BEF">
        <w:rPr>
          <w:spacing w:val="-2"/>
        </w:rPr>
        <w:t>:</w:t>
      </w:r>
    </w:p>
    <w:p w:rsidR="0007107C" w:rsidRPr="00BB3BEF" w14:paraId="09C062CF" w14:textId="77777777">
      <w:pPr>
        <w:rPr>
          <w:spacing w:val="-2"/>
        </w:rPr>
      </w:pPr>
    </w:p>
    <w:p w:rsidR="00437F11" w:rsidRPr="00BB3BEF" w:rsidP="00BC2449" w14:paraId="6DEBFBDA" w14:textId="4957E86B">
      <w:pPr>
        <w:pStyle w:val="ParaNum"/>
      </w:pPr>
      <w:r>
        <w:t>By</w:t>
      </w:r>
      <w:r w:rsidRPr="00BB3BEF">
        <w:t xml:space="preserve"> </w:t>
      </w:r>
      <w:r w:rsidRPr="00BB3BEF">
        <w:t>this Order</w:t>
      </w:r>
      <w:r w:rsidR="00A02EFA">
        <w:t>,</w:t>
      </w:r>
      <w:r w:rsidRPr="00BB3BEF">
        <w:t xml:space="preserve"> the </w:t>
      </w:r>
      <w:r w:rsidRPr="00BB3BEF" w:rsidR="006052CE">
        <w:t xml:space="preserve">Wireline Competition Bureau (Bureau) </w:t>
      </w:r>
      <w:r w:rsidR="002E4A42">
        <w:t>waives</w:t>
      </w:r>
      <w:r w:rsidR="004976C1">
        <w:t xml:space="preserve"> </w:t>
      </w:r>
      <w:r w:rsidR="002E4A42">
        <w:t>section</w:t>
      </w:r>
      <w:r w:rsidR="000D50AD">
        <w:t>s 54.604(a) and</w:t>
      </w:r>
      <w:r w:rsidR="002E4A42">
        <w:t xml:space="preserve"> 54.605(a) of the Commission’s rules,</w:t>
      </w:r>
      <w:r>
        <w:rPr>
          <w:rStyle w:val="FootnoteReference"/>
        </w:rPr>
        <w:footnoteReference w:id="3"/>
      </w:r>
      <w:r w:rsidR="002E4A42">
        <w:t xml:space="preserve"> </w:t>
      </w:r>
      <w:r w:rsidR="004976C1">
        <w:t>the requirement</w:t>
      </w:r>
      <w:r w:rsidR="000D50AD">
        <w:t>s</w:t>
      </w:r>
      <w:r w:rsidR="004976C1">
        <w:t xml:space="preserve"> that health care providers and service providers </w:t>
      </w:r>
      <w:r w:rsidR="002E4A42">
        <w:t>participating in the Telecommunications (Telecom) Program of the Rural Health Care (</w:t>
      </w:r>
      <w:r w:rsidR="002E4A42">
        <w:t>RHC</w:t>
      </w:r>
      <w:r w:rsidR="002E4A42">
        <w:t xml:space="preserve">) Program </w:t>
      </w:r>
      <w:r w:rsidR="004976C1">
        <w:t>us</w:t>
      </w:r>
      <w:r w:rsidR="00345BC2">
        <w:t>e</w:t>
      </w:r>
      <w:r w:rsidR="004976C1">
        <w:t xml:space="preserve"> the </w:t>
      </w:r>
      <w:r w:rsidR="008C49BD">
        <w:t>database of rates (</w:t>
      </w:r>
      <w:bookmarkStart w:id="0" w:name="_Hlk68511754"/>
      <w:r w:rsidR="008C49BD">
        <w:t xml:space="preserve">Rates Database) to calculate </w:t>
      </w:r>
      <w:r w:rsidR="000D50AD">
        <w:t xml:space="preserve">urban and </w:t>
      </w:r>
      <w:r w:rsidR="008C49BD">
        <w:t>rural rates</w:t>
      </w:r>
      <w:r w:rsidR="00FF5ED0">
        <w:t xml:space="preserve"> for funding year</w:t>
      </w:r>
      <w:r w:rsidR="00D732F7">
        <w:t>s</w:t>
      </w:r>
      <w:r w:rsidR="00FF5ED0">
        <w:t xml:space="preserve"> 2021 and 2022</w:t>
      </w:r>
      <w:bookmarkEnd w:id="0"/>
      <w:r w:rsidR="002E4A42">
        <w:t xml:space="preserve">.  We also </w:t>
      </w:r>
      <w:r w:rsidR="00CC3DA3">
        <w:t>wa</w:t>
      </w:r>
      <w:r w:rsidR="001E3FBD">
        <w:t>ive</w:t>
      </w:r>
      <w:r w:rsidR="002E4A42">
        <w:t xml:space="preserve"> section </w:t>
      </w:r>
      <w:r>
        <w:t>54.626(a)</w:t>
      </w:r>
      <w:r w:rsidR="002E4A42">
        <w:t>,</w:t>
      </w:r>
      <w:r>
        <w:rPr>
          <w:rStyle w:val="FootnoteReference"/>
        </w:rPr>
        <w:footnoteReference w:id="4"/>
      </w:r>
      <w:r w:rsidR="001E3FBD">
        <w:t xml:space="preserve"> the </w:t>
      </w:r>
      <w:r w:rsidR="001E3FBD">
        <w:t>RHC</w:t>
      </w:r>
      <w:r w:rsidR="001E3FBD">
        <w:t xml:space="preserve"> Program </w:t>
      </w:r>
      <w:r w:rsidR="0078508A">
        <w:t>service delivery deadline</w:t>
      </w:r>
      <w:r w:rsidR="002E4A42">
        <w:t xml:space="preserve">, and section </w:t>
      </w:r>
      <w:r>
        <w:t>54.627(a)</w:t>
      </w:r>
      <w:r w:rsidR="002E4A42">
        <w:t>,</w:t>
      </w:r>
      <w:r>
        <w:rPr>
          <w:rStyle w:val="FootnoteReference"/>
        </w:rPr>
        <w:footnoteReference w:id="5"/>
      </w:r>
      <w:r w:rsidR="0078508A">
        <w:t xml:space="preserve"> the </w:t>
      </w:r>
      <w:r w:rsidR="00116DE6">
        <w:t>invoice filing deadline</w:t>
      </w:r>
      <w:r w:rsidR="0078508A">
        <w:t>,</w:t>
      </w:r>
      <w:r w:rsidR="002E4A42">
        <w:t xml:space="preserve"> in</w:t>
      </w:r>
      <w:r w:rsidR="0078508A">
        <w:t xml:space="preserve"> ad</w:t>
      </w:r>
      <w:r w:rsidR="002E4A42">
        <w:t>dition to</w:t>
      </w:r>
      <w:r w:rsidR="0078508A">
        <w:t xml:space="preserve"> </w:t>
      </w:r>
      <w:r w:rsidR="00BD2865">
        <w:t>provid</w:t>
      </w:r>
      <w:r w:rsidR="002E4A42">
        <w:t>ing</w:t>
      </w:r>
      <w:r w:rsidR="00BD2865">
        <w:t xml:space="preserve"> relief </w:t>
      </w:r>
      <w:r w:rsidR="000326D5">
        <w:t>with respect to</w:t>
      </w:r>
      <w:r w:rsidR="0078508A">
        <w:t xml:space="preserve"> the deadline to respond to information requests</w:t>
      </w:r>
      <w:r w:rsidR="002E4A42">
        <w:t xml:space="preserve"> from the Universal Administrative Service Company (USAC)</w:t>
      </w:r>
      <w:r w:rsidR="0078508A">
        <w:t>.  Our action</w:t>
      </w:r>
      <w:r w:rsidR="00171549">
        <w:t>s</w:t>
      </w:r>
      <w:r w:rsidR="0078508A">
        <w:t xml:space="preserve"> </w:t>
      </w:r>
      <w:r w:rsidR="002E4A42">
        <w:t xml:space="preserve">are intended to ensure </w:t>
      </w:r>
      <w:r w:rsidR="00DE1DFD">
        <w:t xml:space="preserve">that telecommunications service providers nationwide will receive </w:t>
      </w:r>
      <w:bookmarkStart w:id="1" w:name="_Hlk68511931"/>
      <w:r w:rsidR="00DE1DFD">
        <w:t>sufficient</w:t>
      </w:r>
      <w:r w:rsidR="00DE1DFD">
        <w:t xml:space="preserve"> Telecom Program support </w:t>
      </w:r>
      <w:r w:rsidR="0056096A">
        <w:t>for funding year</w:t>
      </w:r>
      <w:r w:rsidR="00171549">
        <w:t>s</w:t>
      </w:r>
      <w:r w:rsidR="0056096A">
        <w:t xml:space="preserve"> 2021 and 2022 </w:t>
      </w:r>
      <w:bookmarkEnd w:id="1"/>
      <w:r w:rsidR="00B5090E">
        <w:t xml:space="preserve">and that health care providers </w:t>
      </w:r>
      <w:r w:rsidR="00222F94">
        <w:t xml:space="preserve">can </w:t>
      </w:r>
      <w:r w:rsidR="00D40273">
        <w:t xml:space="preserve">focus their attention on </w:t>
      </w:r>
      <w:r w:rsidR="00831490">
        <w:t xml:space="preserve">care for </w:t>
      </w:r>
      <w:r w:rsidR="00E234CC">
        <w:t xml:space="preserve">patients impacted by COVID-19 and administering </w:t>
      </w:r>
      <w:r w:rsidR="00831490">
        <w:t>COVID</w:t>
      </w:r>
      <w:r w:rsidR="00E234CC">
        <w:t xml:space="preserve">-19 vaccines.  </w:t>
      </w:r>
    </w:p>
    <w:p w:rsidR="0007107C" w:rsidRPr="00BB3BEF" w:rsidP="0007107C" w14:paraId="5C176794" w14:textId="77777777">
      <w:pPr>
        <w:pStyle w:val="Heading1"/>
      </w:pPr>
      <w:r w:rsidRPr="00BB3BEF">
        <w:t>Background</w:t>
      </w:r>
    </w:p>
    <w:p w:rsidR="00E305DF" w:rsidRPr="00BB3BEF" w:rsidP="00DF71B8" w14:paraId="08ED7262" w14:textId="0FB3EF28">
      <w:pPr>
        <w:pStyle w:val="ParaNum"/>
        <w:widowControl/>
      </w:pPr>
      <w:r w:rsidRPr="00BB3BEF">
        <w:t>The</w:t>
      </w:r>
      <w:r w:rsidRPr="00BB3BEF" w:rsidR="00186EFB">
        <w:t xml:space="preserve"> Commission’s </w:t>
      </w:r>
      <w:r w:rsidRPr="00BB3BEF" w:rsidR="00186EFB">
        <w:t>RHC</w:t>
      </w:r>
      <w:r w:rsidRPr="00BB3BEF">
        <w:t xml:space="preserve"> Program consists of two component </w:t>
      </w:r>
      <w:r w:rsidRPr="00BB3BEF" w:rsidR="007C7739">
        <w:t>mechanisms</w:t>
      </w:r>
      <w:r w:rsidRPr="00BB3BEF">
        <w:t xml:space="preserve">: (1) the </w:t>
      </w:r>
      <w:r w:rsidRPr="00BB3BEF" w:rsidR="00EA2A56">
        <w:t>Telecommunications (</w:t>
      </w:r>
      <w:r w:rsidRPr="00BB3BEF">
        <w:t>Telecom</w:t>
      </w:r>
      <w:r w:rsidRPr="00BB3BEF" w:rsidR="00EA2A56">
        <w:t>)</w:t>
      </w:r>
      <w:r w:rsidRPr="00BB3BEF">
        <w:t xml:space="preserve"> Program; and (2) the Healthcare Connect Fund</w:t>
      </w:r>
      <w:r w:rsidRPr="00BB3BEF" w:rsidR="00186EFB">
        <w:t xml:space="preserve"> (</w:t>
      </w:r>
      <w:r w:rsidRPr="00BB3BEF" w:rsidR="00186EFB">
        <w:t>HCF</w:t>
      </w:r>
      <w:r w:rsidRPr="00BB3BEF" w:rsidR="00186EFB">
        <w:t>)</w:t>
      </w:r>
      <w:r w:rsidRPr="00BB3BEF">
        <w:t xml:space="preserve"> Program.  The Telecom Program subsidizes the difference between the rates in the health care provider’s rural area and rates for comparable services available in urban areas within th</w:t>
      </w:r>
      <w:r w:rsidRPr="00BB3BEF" w:rsidR="00863849">
        <w:t>e</w:t>
      </w:r>
      <w:r w:rsidRPr="00BB3BEF">
        <w:t xml:space="preserve"> </w:t>
      </w:r>
      <w:r w:rsidRPr="00BB3BEF" w:rsidR="00863849">
        <w:t xml:space="preserve">health care provider’s </w:t>
      </w:r>
      <w:r w:rsidRPr="00BB3BEF">
        <w:t>state.</w:t>
      </w:r>
      <w:r>
        <w:rPr>
          <w:rStyle w:val="FootnoteReference"/>
        </w:rPr>
        <w:footnoteReference w:id="6"/>
      </w:r>
      <w:r w:rsidRPr="00BB3BEF">
        <w:t xml:space="preserve">  The</w:t>
      </w:r>
      <w:r w:rsidRPr="00BB3BEF" w:rsidR="00EA2A56">
        <w:t xml:space="preserve"> </w:t>
      </w:r>
      <w:r w:rsidRPr="00BB3BEF" w:rsidR="00EA2A56">
        <w:t>HCF</w:t>
      </w:r>
      <w:r w:rsidRPr="00BB3BEF">
        <w:t xml:space="preserve"> Program promote</w:t>
      </w:r>
      <w:r w:rsidRPr="00BB3BEF" w:rsidR="00E91B47">
        <w:t>s</w:t>
      </w:r>
      <w:r w:rsidRPr="00BB3BEF">
        <w:t xml:space="preserve"> the use of broadband services and facilitate</w:t>
      </w:r>
      <w:r w:rsidRPr="00BB3BEF" w:rsidR="00E91B47">
        <w:t>s</w:t>
      </w:r>
      <w:r w:rsidRPr="00BB3BEF">
        <w:t xml:space="preserve"> the formation of health care provider consortia that include both rural and urban health care providers by providing a flat 65% discount on an array of advanced telecommunications and information services.</w:t>
      </w:r>
      <w:r>
        <w:rPr>
          <w:rStyle w:val="FootnoteReference"/>
        </w:rPr>
        <w:footnoteReference w:id="7"/>
      </w:r>
      <w:r w:rsidRPr="00BB3BEF">
        <w:t xml:space="preserve">  </w:t>
      </w:r>
      <w:r w:rsidRPr="00BB3BEF" w:rsidR="00EA2A56">
        <w:t xml:space="preserve">To prevent waste, fraud, and abuse and ensure efficient and effective administration, the </w:t>
      </w:r>
      <w:r w:rsidRPr="00BB3BEF" w:rsidR="00EA2A56">
        <w:t>RHC</w:t>
      </w:r>
      <w:r w:rsidRPr="00BB3BEF" w:rsidR="00EA2A56">
        <w:t xml:space="preserve"> Program </w:t>
      </w:r>
      <w:r w:rsidR="00391201">
        <w:t>has requirements for</w:t>
      </w:r>
      <w:r w:rsidR="00DB1C93">
        <w:t xml:space="preserve"> </w:t>
      </w:r>
      <w:r w:rsidR="003D5E83">
        <w:t>random compliance audits</w:t>
      </w:r>
      <w:r w:rsidR="00036AA5">
        <w:t xml:space="preserve"> </w:t>
      </w:r>
      <w:r w:rsidR="004D3980">
        <w:t xml:space="preserve">and </w:t>
      </w:r>
      <w:r w:rsidRPr="00BB3DE9" w:rsidR="00101ACB">
        <w:rPr>
          <w:bCs/>
        </w:rPr>
        <w:t xml:space="preserve">USAC’s </w:t>
      </w:r>
      <w:r w:rsidR="00C847D4">
        <w:rPr>
          <w:bCs/>
        </w:rPr>
        <w:t>Payment Quality Assurance (PQA)</w:t>
      </w:r>
      <w:r w:rsidRPr="00BB3DE9" w:rsidR="00C847D4">
        <w:rPr>
          <w:bCs/>
        </w:rPr>
        <w:t xml:space="preserve"> </w:t>
      </w:r>
      <w:r w:rsidRPr="00BB3DE9" w:rsidR="00101ACB">
        <w:rPr>
          <w:bCs/>
        </w:rPr>
        <w:t>Program</w:t>
      </w:r>
      <w:r w:rsidR="000662C5">
        <w:rPr>
          <w:bCs/>
        </w:rPr>
        <w:t>, and maintains</w:t>
      </w:r>
      <w:r w:rsidRPr="00BB3BEF" w:rsidR="00EA2A56">
        <w:t xml:space="preserve"> deadlines for applying for </w:t>
      </w:r>
      <w:r w:rsidRPr="00BB3BEF" w:rsidR="00EA2A56">
        <w:t>funding, filing invoices, delivery of services, responding to USAC information requests, and appeals or requests for waivers.</w:t>
      </w:r>
      <w:r>
        <w:rPr>
          <w:rStyle w:val="FootnoteReference"/>
        </w:rPr>
        <w:footnoteReference w:id="8"/>
      </w:r>
    </w:p>
    <w:p w:rsidR="003D1799" w:rsidRPr="00BB3BEF" w:rsidP="003D1799" w14:paraId="69D94B92" w14:textId="77777777">
      <w:pPr>
        <w:pStyle w:val="Heading2"/>
      </w:pPr>
      <w:bookmarkStart w:id="2" w:name="_Rates_Database"/>
      <w:bookmarkEnd w:id="2"/>
      <w:r w:rsidRPr="00BB3BEF">
        <w:t>Rates Database</w:t>
      </w:r>
    </w:p>
    <w:p w:rsidR="00DD46ED" w:rsidP="00175EB7" w14:paraId="1849D65F" w14:textId="68C87CAF">
      <w:pPr>
        <w:pStyle w:val="ParaNum"/>
      </w:pPr>
      <w:r w:rsidRPr="00BB3BEF">
        <w:t>Under the Commission’s rules</w:t>
      </w:r>
      <w:r w:rsidRPr="00BB3BEF" w:rsidR="00CA1E2C">
        <w:t xml:space="preserve"> applicable through funding year 2020,</w:t>
      </w:r>
      <w:r w:rsidRPr="00BB3BEF">
        <w:t xml:space="preserve"> three methods </w:t>
      </w:r>
      <w:r w:rsidR="00A762CA">
        <w:t>could</w:t>
      </w:r>
      <w:r w:rsidRPr="00BB3BEF" w:rsidR="00A762CA">
        <w:t xml:space="preserve"> </w:t>
      </w:r>
      <w:r w:rsidRPr="00BB3BEF" w:rsidR="00761E68">
        <w:t xml:space="preserve">be used </w:t>
      </w:r>
      <w:r w:rsidRPr="00BB3BEF">
        <w:t xml:space="preserve">for calculating rural rates </w:t>
      </w:r>
      <w:r w:rsidRPr="00BB3BEF" w:rsidR="000D0255">
        <w:t>in the Telecom Program</w:t>
      </w:r>
      <w:r w:rsidRPr="00BB3BEF" w:rsidR="00761E68">
        <w:t>, depending on circumstances</w:t>
      </w:r>
      <w:r w:rsidRPr="00BB3BEF">
        <w:t>.</w:t>
      </w:r>
      <w:r>
        <w:rPr>
          <w:rStyle w:val="FootnoteReference"/>
        </w:rPr>
        <w:footnoteReference w:id="9"/>
      </w:r>
      <w:r w:rsidRPr="00BB3BEF">
        <w:t xml:space="preserve">  Section 54.607 </w:t>
      </w:r>
      <w:r w:rsidRPr="00BB3BEF" w:rsidR="00D61636">
        <w:t xml:space="preserve">of the Commission’s rules applicable </w:t>
      </w:r>
      <w:r w:rsidRPr="00BB3BEF" w:rsidR="00863849">
        <w:t xml:space="preserve">prior </w:t>
      </w:r>
      <w:r w:rsidRPr="00BB3BEF" w:rsidR="00D61636">
        <w:t>to funding year 202</w:t>
      </w:r>
      <w:r w:rsidRPr="00BB3BEF" w:rsidR="00863849">
        <w:t>1</w:t>
      </w:r>
      <w:r w:rsidRPr="00BB3BEF" w:rsidR="00D61636">
        <w:t xml:space="preserve"> </w:t>
      </w:r>
      <w:r w:rsidRPr="00BB3BEF">
        <w:t>provide</w:t>
      </w:r>
      <w:r w:rsidR="00F5229A">
        <w:t>d</w:t>
      </w:r>
      <w:r w:rsidRPr="00BB3BEF">
        <w:t xml:space="preserve"> that the rural rate </w:t>
      </w:r>
      <w:r w:rsidR="00F5229A">
        <w:t>would</w:t>
      </w:r>
      <w:r w:rsidRPr="00BB3BEF">
        <w:t xml:space="preserve"> be: (1)</w:t>
      </w:r>
      <w:r w:rsidRPr="00BB3BEF" w:rsidR="00A5756F">
        <w:t> </w:t>
      </w:r>
      <w:r w:rsidRPr="00BB3BEF">
        <w:t>the average of rates that the carrier actually charges to other non-health care provider commercial customers for the same or similar services provided in the rural area where the health care provider is located (Method 1);</w:t>
      </w:r>
      <w:r>
        <w:rPr>
          <w:vertAlign w:val="superscript"/>
        </w:rPr>
        <w:footnoteReference w:id="10"/>
      </w:r>
      <w:r w:rsidRPr="00BB3BEF">
        <w:t xml:space="preserve"> (2) if the carrier does </w:t>
      </w:r>
      <w:r w:rsidRPr="00BB3BEF" w:rsidR="00175EB7">
        <w:t xml:space="preserve">not </w:t>
      </w:r>
      <w:r w:rsidRPr="00BB3BEF">
        <w:t xml:space="preserve">have any commercial customers in the health care provider’s rural area, the average of tariffed and other publicly available rates charged by other service providers for </w:t>
      </w:r>
      <w:r w:rsidRPr="00BB3BEF" w:rsidR="00462DC8">
        <w:t xml:space="preserve">the </w:t>
      </w:r>
      <w:r w:rsidRPr="00BB3BEF">
        <w:t xml:space="preserve">same or similar services provided over the same distance in the rural health care provider’s area (Method 2); or (3) if there are no such rates or the carrier reasonably </w:t>
      </w:r>
      <w:r w:rsidRPr="00BB3BEF" w:rsidR="00462DC8">
        <w:t>determines that</w:t>
      </w:r>
      <w:r w:rsidRPr="00BB3BEF">
        <w:t xml:space="preserve"> those rates would be unfair, a cost-based rate that is approved by the Commission for interstate services (or the relevant state commission for intrastate services) (Method 3).</w:t>
      </w:r>
      <w:r>
        <w:rPr>
          <w:vertAlign w:val="superscript"/>
        </w:rPr>
        <w:footnoteReference w:id="11"/>
      </w:r>
      <w:r w:rsidRPr="00BB3BEF">
        <w:t xml:space="preserve">  A carrier seeking approval of a rural rate under Method 3 </w:t>
      </w:r>
      <w:r w:rsidR="001C2501">
        <w:t>was required to</w:t>
      </w:r>
      <w:r w:rsidRPr="00BB3BEF" w:rsidR="001C2501">
        <w:t xml:space="preserve"> </w:t>
      </w:r>
      <w:r w:rsidRPr="00BB3BEF">
        <w:t xml:space="preserve">provide “a justification of the proposed rural rate that includes an itemization of the costs </w:t>
      </w:r>
      <w:r w:rsidRPr="00BB3BEF" w:rsidR="00462DC8">
        <w:t>of</w:t>
      </w:r>
      <w:r w:rsidRPr="00BB3BEF">
        <w:t xml:space="preserve"> providing the requested service.”</w:t>
      </w:r>
      <w:r>
        <w:rPr>
          <w:vertAlign w:val="superscript"/>
        </w:rPr>
        <w:footnoteReference w:id="12"/>
      </w:r>
      <w:r w:rsidRPr="00BB3BEF">
        <w:t xml:space="preserve">  </w:t>
      </w:r>
    </w:p>
    <w:p w:rsidR="008D3647" w:rsidRPr="00BB3BEF" w:rsidP="00780B6A" w14:paraId="6E535816" w14:textId="645DF1E6">
      <w:pPr>
        <w:pStyle w:val="ParaNum"/>
        <w:widowControl/>
      </w:pPr>
      <w:r>
        <w:t xml:space="preserve">The Commission’s rules applicable through funding year 2020 required that </w:t>
      </w:r>
      <w:r w:rsidR="00C93DE0">
        <w:t xml:space="preserve">urban rates </w:t>
      </w:r>
      <w:r w:rsidR="00EB7263">
        <w:t xml:space="preserve">in the Telecom Program </w:t>
      </w:r>
      <w:r w:rsidR="00C93DE0">
        <w:t xml:space="preserve">“be at a rate no higher than the highest </w:t>
      </w:r>
      <w:r w:rsidR="000C6A91">
        <w:t>publicly</w:t>
      </w:r>
      <w:r w:rsidR="00C93DE0">
        <w:t xml:space="preserve">-available rate </w:t>
      </w:r>
      <w:r w:rsidR="008A38AC">
        <w:t>charged to</w:t>
      </w:r>
      <w:r w:rsidR="00C93DE0">
        <w:t xml:space="preserve"> a commercial customer for a functionally similar service in any </w:t>
      </w:r>
      <w:r w:rsidR="008A38AC">
        <w:t>city</w:t>
      </w:r>
      <w:r w:rsidR="00C93DE0">
        <w:t xml:space="preserve"> </w:t>
      </w:r>
      <w:r w:rsidR="007A14B4">
        <w:t>with a population of 50,000 or more in a state.”</w:t>
      </w:r>
      <w:r>
        <w:rPr>
          <w:rStyle w:val="FootnoteReference"/>
        </w:rPr>
        <w:footnoteReference w:id="13"/>
      </w:r>
      <w:r w:rsidR="00FC7C84">
        <w:t xml:space="preserve">  The urban rate was determined by the health care provider, often with the </w:t>
      </w:r>
      <w:r w:rsidR="00C42887">
        <w:t xml:space="preserve">assistance </w:t>
      </w:r>
      <w:r w:rsidR="00D510F1">
        <w:t xml:space="preserve">of a consultant or </w:t>
      </w:r>
      <w:r w:rsidR="00EB7263">
        <w:t>service provider</w:t>
      </w:r>
      <w:r w:rsidR="00D510F1">
        <w:t xml:space="preserve">, and reported on the FCC Form 466.  Health care providers were directed to document </w:t>
      </w:r>
      <w:r w:rsidR="00641F8E">
        <w:t>the urban rate reported  with “tariff pages</w:t>
      </w:r>
      <w:r w:rsidR="00CB68B3">
        <w:t xml:space="preserve">, contracts, a letter on </w:t>
      </w:r>
      <w:r w:rsidR="008A38AC">
        <w:t>company</w:t>
      </w:r>
      <w:r w:rsidR="00CB68B3">
        <w:t xml:space="preserve"> letterhead from the urban service provider, rate pricing information printed from the urban service provider’s website or similar documentation showing ho</w:t>
      </w:r>
      <w:r w:rsidR="00F8354A">
        <w:t>w</w:t>
      </w:r>
      <w:r w:rsidR="00CB68B3">
        <w:t xml:space="preserve"> the urban rate was obtained.”</w:t>
      </w:r>
      <w:r>
        <w:rPr>
          <w:rStyle w:val="FootnoteReference"/>
        </w:rPr>
        <w:footnoteReference w:id="14"/>
      </w:r>
      <w:r w:rsidR="00DD10E5">
        <w:t xml:space="preserve">  </w:t>
      </w:r>
      <w:r w:rsidR="008A38AC">
        <w:t>Alternatively</w:t>
      </w:r>
      <w:r w:rsidR="00DD10E5">
        <w:t xml:space="preserve">, </w:t>
      </w:r>
      <w:r w:rsidR="008A38AC">
        <w:t>applicants</w:t>
      </w:r>
      <w:r w:rsidR="00DD10E5">
        <w:t xml:space="preserve"> could use, </w:t>
      </w:r>
      <w:r w:rsidR="00DD10E5">
        <w:t xml:space="preserve">without any additional documentation, the “safe harbor” urban rate listed for a limited number of services in certain states on </w:t>
      </w:r>
      <w:r w:rsidR="00870C2F">
        <w:t>USAC’s website.</w:t>
      </w:r>
      <w:r>
        <w:rPr>
          <w:rStyle w:val="FootnoteReference"/>
        </w:rPr>
        <w:footnoteReference w:id="15"/>
      </w:r>
      <w:r w:rsidR="00870C2F">
        <w:t xml:space="preserve"> </w:t>
      </w:r>
      <w:r w:rsidR="00DD10E5">
        <w:t xml:space="preserve"> </w:t>
      </w:r>
    </w:p>
    <w:p w:rsidR="00E305DF" w:rsidP="007D421F" w14:paraId="3435A005" w14:textId="1A199C86">
      <w:pPr>
        <w:pStyle w:val="ParaNum"/>
        <w:widowControl/>
      </w:pPr>
      <w:r w:rsidRPr="00BB3BEF">
        <w:t>In</w:t>
      </w:r>
      <w:r w:rsidRPr="00BB3BEF" w:rsidR="006354AC">
        <w:t xml:space="preserve"> the </w:t>
      </w:r>
      <w:r w:rsidRPr="00BB3BEF" w:rsidR="006354AC">
        <w:rPr>
          <w:i/>
          <w:iCs/>
        </w:rPr>
        <w:t>Promoting Telehealth Report and Order</w:t>
      </w:r>
      <w:r w:rsidRPr="00BB3BEF" w:rsidR="006354AC">
        <w:t xml:space="preserve">, </w:t>
      </w:r>
      <w:r w:rsidRPr="00BB3BEF" w:rsidR="00A04B5E">
        <w:t xml:space="preserve">the Commission </w:t>
      </w:r>
      <w:r w:rsidRPr="00BB3BEF">
        <w:t xml:space="preserve">directed </w:t>
      </w:r>
      <w:r w:rsidR="007D10DF">
        <w:t>USAC</w:t>
      </w:r>
      <w:r w:rsidRPr="00BB3BEF">
        <w:t xml:space="preserve"> to create a database of urban and rural rates within each state t</w:t>
      </w:r>
      <w:r w:rsidRPr="00BB3BEF" w:rsidR="00A33FE6">
        <w:t xml:space="preserve">hat would be used to calculate median rural and urban rates for </w:t>
      </w:r>
      <w:r w:rsidRPr="00BB3BEF" w:rsidR="00281071">
        <w:t>functionally similar services in the state within a health care provider’s applicable rurality tier</w:t>
      </w:r>
      <w:r w:rsidRPr="00BB3BEF" w:rsidR="00A33FE6">
        <w:t xml:space="preserve"> </w:t>
      </w:r>
      <w:r w:rsidRPr="00BB3BEF" w:rsidR="00884237">
        <w:t>beginning in funding year 2021.</w:t>
      </w:r>
      <w:r>
        <w:rPr>
          <w:rStyle w:val="FootnoteReference"/>
        </w:rPr>
        <w:footnoteReference w:id="16"/>
      </w:r>
      <w:r w:rsidRPr="00BB3BEF" w:rsidR="00884237">
        <w:t xml:space="preserve">  </w:t>
      </w:r>
      <w:r w:rsidRPr="00BB3BEF" w:rsidR="006354AC">
        <w:t xml:space="preserve">Section 54.605 of the Commission’s rules directs applicants to use the lower of either the rural rate in the </w:t>
      </w:r>
      <w:r w:rsidRPr="00BB3BEF" w:rsidR="00F848E6">
        <w:t>Rates D</w:t>
      </w:r>
      <w:r w:rsidRPr="00BB3BEF" w:rsidR="006354AC">
        <w:t>atabase or the rural rate included in a service agreement between the health care provider and the service provider.</w:t>
      </w:r>
      <w:r>
        <w:rPr>
          <w:rStyle w:val="FootnoteReference"/>
        </w:rPr>
        <w:footnoteReference w:id="17"/>
      </w:r>
      <w:r w:rsidRPr="00BB3BEF" w:rsidR="00906725">
        <w:t xml:space="preserve"> </w:t>
      </w:r>
      <w:r w:rsidRPr="00BB3BEF" w:rsidR="007D421F">
        <w:t xml:space="preserve"> </w:t>
      </w:r>
      <w:r w:rsidR="003F6233">
        <w:t xml:space="preserve">Section 54.604 of the Commission’s rules </w:t>
      </w:r>
      <w:r w:rsidR="00FF0DE4">
        <w:t>requires that</w:t>
      </w:r>
      <w:r w:rsidR="00512690">
        <w:t xml:space="preserve"> an applicant’s urban rate be </w:t>
      </w:r>
      <w:r w:rsidR="00372CE8">
        <w:t>the</w:t>
      </w:r>
      <w:r w:rsidR="006A2DB2">
        <w:t xml:space="preserve"> median of all available rates for </w:t>
      </w:r>
      <w:r w:rsidR="00A27BB7">
        <w:t xml:space="preserve">functionally similar services in </w:t>
      </w:r>
      <w:r w:rsidR="006F26E5">
        <w:t xml:space="preserve">urbanized areas of </w:t>
      </w:r>
      <w:r w:rsidR="00A27BB7">
        <w:t xml:space="preserve">the </w:t>
      </w:r>
      <w:r w:rsidR="001073D8">
        <w:t>stat</w:t>
      </w:r>
      <w:r w:rsidR="000270CD">
        <w:t>e</w:t>
      </w:r>
      <w:r w:rsidR="00F26A46">
        <w:t xml:space="preserve"> as identified in the Rates Database</w:t>
      </w:r>
      <w:r w:rsidR="000270CD">
        <w:t>.</w:t>
      </w:r>
      <w:r>
        <w:rPr>
          <w:rStyle w:val="FootnoteReference"/>
        </w:rPr>
        <w:footnoteReference w:id="18"/>
      </w:r>
      <w:r w:rsidR="000270CD">
        <w:t xml:space="preserve">  </w:t>
      </w:r>
      <w:r w:rsidRPr="00BB3BEF" w:rsidR="00DD667D">
        <w:t>The Rates Database</w:t>
      </w:r>
      <w:r w:rsidRPr="00BB3BEF" w:rsidR="00CF11C9">
        <w:t xml:space="preserve"> </w:t>
      </w:r>
      <w:r w:rsidRPr="00BB3BEF" w:rsidR="00154200">
        <w:t>was made available to the public</w:t>
      </w:r>
      <w:r w:rsidRPr="00BB3BEF" w:rsidR="00CF11C9">
        <w:t xml:space="preserve"> on July 1, 2020.</w:t>
      </w:r>
      <w:r>
        <w:rPr>
          <w:rStyle w:val="FootnoteReference"/>
        </w:rPr>
        <w:footnoteReference w:id="19"/>
      </w:r>
    </w:p>
    <w:p w:rsidR="000E184D" w:rsidP="007D421F" w14:paraId="38B4B529" w14:textId="4B1286B0">
      <w:pPr>
        <w:pStyle w:val="ParaNum"/>
        <w:widowControl/>
      </w:pPr>
      <w:r>
        <w:t xml:space="preserve">On January 19, 2021, in the </w:t>
      </w:r>
      <w:r w:rsidRPr="00BB3BEF">
        <w:rPr>
          <w:i/>
          <w:iCs/>
        </w:rPr>
        <w:t>Alaska Rates Database Waiver Order</w:t>
      </w:r>
      <w:r>
        <w:t xml:space="preserve">, </w:t>
      </w:r>
      <w:r w:rsidRPr="00BB3BEF">
        <w:t xml:space="preserve">the Bureau waived the requirement to use the Rates Database for determining rural rates for health care providers in the State of Alaska </w:t>
      </w:r>
      <w:r w:rsidR="00B12DCA">
        <w:t xml:space="preserve">for funding year 2021 </w:t>
      </w:r>
      <w:r w:rsidR="00267F31">
        <w:t>a</w:t>
      </w:r>
      <w:r w:rsidR="00546DA3">
        <w:t>nd</w:t>
      </w:r>
      <w:r w:rsidR="00293278">
        <w:t xml:space="preserve">, unless the Commission addresses petitions for reconsideration of the </w:t>
      </w:r>
      <w:r w:rsidR="00293278">
        <w:rPr>
          <w:i/>
          <w:iCs/>
        </w:rPr>
        <w:t xml:space="preserve">Promoting Telehealth Report and Order </w:t>
      </w:r>
      <w:r w:rsidR="00293278">
        <w:t>prior to January 19, 2022, for funding year</w:t>
      </w:r>
      <w:r w:rsidR="00546DA3">
        <w:t xml:space="preserve"> 2022</w:t>
      </w:r>
      <w:r w:rsidR="00CF3702">
        <w:t>.</w:t>
      </w:r>
      <w:r>
        <w:rPr>
          <w:rStyle w:val="FootnoteReference"/>
        </w:rPr>
        <w:footnoteReference w:id="20"/>
      </w:r>
      <w:r w:rsidR="00CF3702">
        <w:t xml:space="preserve"> </w:t>
      </w:r>
      <w:r w:rsidR="001C7D54">
        <w:rPr>
          <w:i/>
          <w:iCs/>
        </w:rPr>
        <w:t xml:space="preserve"> </w:t>
      </w:r>
      <w:r w:rsidR="00345F6D">
        <w:t xml:space="preserve">The Bureau waived the Rates Database requirement </w:t>
      </w:r>
      <w:r w:rsidRPr="00BB3BEF">
        <w:t>due to significant anomalies in the initial rural rate calculations</w:t>
      </w:r>
      <w:r w:rsidR="005122D4">
        <w:t xml:space="preserve"> </w:t>
      </w:r>
      <w:r w:rsidR="005F6136">
        <w:t xml:space="preserve">that ran counter to the </w:t>
      </w:r>
      <w:r w:rsidR="00BA385E">
        <w:t>general assumption</w:t>
      </w:r>
      <w:r w:rsidR="00BF2E4E">
        <w:t>s</w:t>
      </w:r>
      <w:r w:rsidR="00BA385E">
        <w:t xml:space="preserve"> that the cost to provide service </w:t>
      </w:r>
      <w:r w:rsidR="00A75C1C">
        <w:t xml:space="preserve">increases as rurality increases and that </w:t>
      </w:r>
      <w:r w:rsidR="00AD4823">
        <w:t>rates increase as the bandwidth provided increa</w:t>
      </w:r>
      <w:r w:rsidR="00F425B6">
        <w:t>s</w:t>
      </w:r>
      <w:r w:rsidR="00AD4823">
        <w:t>es</w:t>
      </w:r>
      <w:r w:rsidRPr="00BB3BEF">
        <w:t>.</w:t>
      </w:r>
      <w:r>
        <w:rPr>
          <w:rStyle w:val="FootnoteReference"/>
        </w:rPr>
        <w:footnoteReference w:id="21"/>
      </w:r>
      <w:r w:rsidRPr="00BB3BEF">
        <w:t xml:space="preserve">  </w:t>
      </w:r>
      <w:r w:rsidR="003F4DF6">
        <w:t>H</w:t>
      </w:r>
      <w:r w:rsidR="008F48BC">
        <w:t>ealth care providers in Alaska may</w:t>
      </w:r>
      <w:r w:rsidR="003F4DF6">
        <w:t xml:space="preserve"> now</w:t>
      </w:r>
      <w:r w:rsidR="009C52EA">
        <w:t xml:space="preserve"> either use </w:t>
      </w:r>
      <w:r w:rsidR="00B20FC0">
        <w:t xml:space="preserve">a </w:t>
      </w:r>
      <w:r w:rsidR="009C52EA">
        <w:t xml:space="preserve">rural rate </w:t>
      </w:r>
      <w:r w:rsidR="000A5109">
        <w:t xml:space="preserve">that has been approved in the previous </w:t>
      </w:r>
      <w:r w:rsidR="00473D29">
        <w:t xml:space="preserve">three funding years </w:t>
      </w:r>
      <w:r w:rsidR="009C52EA">
        <w:t xml:space="preserve">for the </w:t>
      </w:r>
      <w:r w:rsidR="00473D29">
        <w:t>same service at the same facility or</w:t>
      </w:r>
      <w:r w:rsidR="008F48BC">
        <w:t xml:space="preserve"> </w:t>
      </w:r>
      <w:r w:rsidR="00A51AD1">
        <w:t xml:space="preserve">rely on the previous rural rate determination methods </w:t>
      </w:r>
      <w:r w:rsidR="003D52D1">
        <w:t xml:space="preserve">while the Rates Database waiver is </w:t>
      </w:r>
      <w:r w:rsidR="002A0373">
        <w:t>in effect.</w:t>
      </w:r>
      <w:r>
        <w:rPr>
          <w:rStyle w:val="FootnoteReference"/>
        </w:rPr>
        <w:footnoteReference w:id="22"/>
      </w:r>
    </w:p>
    <w:p w:rsidR="007A2E85" w:rsidRPr="00BB3BEF" w:rsidP="007D421F" w14:paraId="281BADED" w14:textId="35518BF2">
      <w:pPr>
        <w:pStyle w:val="ParaNum"/>
        <w:widowControl/>
      </w:pPr>
      <w:r>
        <w:t xml:space="preserve">On January 25, 2021, </w:t>
      </w:r>
      <w:r w:rsidRPr="00BB3BEF" w:rsidR="00A83D01">
        <w:t>the Schools, Health &amp; Libraries Broadband (</w:t>
      </w:r>
      <w:r w:rsidRPr="00BB3BEF" w:rsidR="00A83D01">
        <w:t>SHLB</w:t>
      </w:r>
      <w:r w:rsidRPr="00BB3BEF" w:rsidR="00A83D01">
        <w:t xml:space="preserve">) Coalition </w:t>
      </w:r>
      <w:r w:rsidR="00047503">
        <w:t xml:space="preserve">filed a </w:t>
      </w:r>
      <w:r w:rsidR="007D10DF">
        <w:t xml:space="preserve">letter </w:t>
      </w:r>
      <w:r w:rsidR="00047503">
        <w:t>request</w:t>
      </w:r>
      <w:r w:rsidR="007D10DF">
        <w:t>ing that the Commission</w:t>
      </w:r>
      <w:r w:rsidR="00047503">
        <w:t xml:space="preserve"> </w:t>
      </w:r>
      <w:r w:rsidRPr="00BB3BEF" w:rsidR="00A83D01">
        <w:t xml:space="preserve">waive the requirement that health care providers use the </w:t>
      </w:r>
      <w:r w:rsidR="003F4DF6">
        <w:t xml:space="preserve">Rates Database </w:t>
      </w:r>
      <w:r w:rsidRPr="00BB3BEF" w:rsidR="00A83D01">
        <w:t xml:space="preserve">to determine urban and rural rates for the purpose of calculating </w:t>
      </w:r>
      <w:r w:rsidR="003F4DF6">
        <w:t>Telecom</w:t>
      </w:r>
      <w:r w:rsidRPr="00BB3BEF" w:rsidR="00A83D01">
        <w:t xml:space="preserve"> Program support.</w:t>
      </w:r>
      <w:bookmarkStart w:id="3" w:name="_Ref66201171"/>
      <w:r>
        <w:rPr>
          <w:rStyle w:val="FootnoteReference"/>
        </w:rPr>
        <w:footnoteReference w:id="23"/>
      </w:r>
      <w:bookmarkEnd w:id="3"/>
      <w:r w:rsidR="00956FEF">
        <w:t xml:space="preserve">  </w:t>
      </w:r>
      <w:r w:rsidR="00BB46A0">
        <w:t xml:space="preserve">On February </w:t>
      </w:r>
      <w:r w:rsidR="004E5505">
        <w:t xml:space="preserve">25, 2021, </w:t>
      </w:r>
      <w:r w:rsidR="00956FEF">
        <w:t>Ala</w:t>
      </w:r>
      <w:r w:rsidR="004E5505">
        <w:t>s</w:t>
      </w:r>
      <w:r w:rsidR="00956FEF">
        <w:t>k</w:t>
      </w:r>
      <w:r w:rsidR="004E5505">
        <w:t>a Communications</w:t>
      </w:r>
      <w:r w:rsidR="004208FD">
        <w:t xml:space="preserve"> </w:t>
      </w:r>
      <w:r w:rsidR="001D6893">
        <w:t>filed a letter seeking clarification</w:t>
      </w:r>
      <w:r w:rsidR="000D3BEB">
        <w:t xml:space="preserve"> </w:t>
      </w:r>
      <w:r w:rsidR="00EA7DBB">
        <w:t xml:space="preserve">as to </w:t>
      </w:r>
      <w:r w:rsidR="00501D50">
        <w:t>whether</w:t>
      </w:r>
      <w:r w:rsidR="00553019">
        <w:t xml:space="preserve"> </w:t>
      </w:r>
      <w:r w:rsidR="00344E6F">
        <w:t xml:space="preserve">the Bureau’s direction </w:t>
      </w:r>
      <w:r w:rsidR="009902CD">
        <w:t>in</w:t>
      </w:r>
      <w:r w:rsidR="000509EF">
        <w:t xml:space="preserve"> the</w:t>
      </w:r>
      <w:r w:rsidR="000509EF">
        <w:rPr>
          <w:i/>
          <w:iCs/>
        </w:rPr>
        <w:t xml:space="preserve"> Alaska Rates Database Waiver Order</w:t>
      </w:r>
      <w:r w:rsidR="000509EF">
        <w:t xml:space="preserve"> </w:t>
      </w:r>
      <w:r w:rsidR="009902CD">
        <w:t xml:space="preserve">that USAC could approve rural rates from the previous three funding years applied to </w:t>
      </w:r>
      <w:r w:rsidR="003B7732">
        <w:t>(1</w:t>
      </w:r>
      <w:r w:rsidR="00C460FA">
        <w:t xml:space="preserve">) </w:t>
      </w:r>
      <w:r w:rsidR="009902CD">
        <w:t>rural rates</w:t>
      </w:r>
      <w:r w:rsidR="00763B41">
        <w:t xml:space="preserve"> that are either th</w:t>
      </w:r>
      <w:r w:rsidR="007A13F4">
        <w:t xml:space="preserve">e same or lower </w:t>
      </w:r>
      <w:r w:rsidR="00C709FB">
        <w:t>than previously approved rates</w:t>
      </w:r>
      <w:r w:rsidR="00432055">
        <w:t xml:space="preserve"> </w:t>
      </w:r>
      <w:r w:rsidR="007D7FE6">
        <w:t>for the same or similar services</w:t>
      </w:r>
      <w:r w:rsidR="00E14979">
        <w:t xml:space="preserve"> at the same or comparable facilities</w:t>
      </w:r>
      <w:r w:rsidR="00EA7DBB">
        <w:t>;</w:t>
      </w:r>
      <w:r w:rsidR="00E14979">
        <w:t xml:space="preserve"> or </w:t>
      </w:r>
      <w:r w:rsidR="003B7732">
        <w:t>(2</w:t>
      </w:r>
      <w:r w:rsidR="00E14979">
        <w:t>)</w:t>
      </w:r>
      <w:r w:rsidR="00432055">
        <w:t xml:space="preserve"> </w:t>
      </w:r>
      <w:r w:rsidR="00DE3E16">
        <w:t>the same or lower than previously approved rates for a lower bandwidth serv</w:t>
      </w:r>
      <w:r w:rsidR="00330AFD">
        <w:t>ic</w:t>
      </w:r>
      <w:r w:rsidR="00DE3E16">
        <w:t>e</w:t>
      </w:r>
      <w:r w:rsidR="009902CD">
        <w:t xml:space="preserve"> </w:t>
      </w:r>
      <w:r w:rsidR="0051421D">
        <w:t>at the same or comparable facilities.</w:t>
      </w:r>
      <w:r>
        <w:rPr>
          <w:rStyle w:val="FootnoteReference"/>
        </w:rPr>
        <w:footnoteReference w:id="24"/>
      </w:r>
      <w:r w:rsidR="00EE0984">
        <w:t xml:space="preserve"> </w:t>
      </w:r>
      <w:r w:rsidR="00F726FF">
        <w:t xml:space="preserve"> </w:t>
      </w:r>
      <w:r w:rsidR="00EE0984">
        <w:t>On March 23, 2021, GCI Communication Corp. (GCI) filed a letter supporting the clarification requests sought by Alaska Communications and further requesting that (1) if there is no comparable approved rural rate within 30% of the bandwidth requested, the Bureau allow service providers to calculate the rural rate for the requested bandwidth by applying a previously approved rural rate on a per-Mbps basis; (2) service providers may rely on funding year 2020 rural rates in certain instances; and (3) service providers will not be required to recalculate rural rates on a continuous basis based on new information.</w:t>
      </w:r>
      <w:r>
        <w:rPr>
          <w:rStyle w:val="FootnoteReference"/>
        </w:rPr>
        <w:footnoteReference w:id="25"/>
      </w:r>
    </w:p>
    <w:p w:rsidR="003D1799" w:rsidRPr="00BB3BEF" w:rsidP="003D1799" w14:paraId="7E5DE97B" w14:textId="3935DEBE">
      <w:pPr>
        <w:pStyle w:val="Heading2"/>
      </w:pPr>
      <w:r w:rsidRPr="00BB3BEF">
        <w:t>Administrative Deadlines and Requirements</w:t>
      </w:r>
    </w:p>
    <w:p w:rsidR="007C3443" w:rsidRPr="00BB3BEF" w:rsidP="007C3443" w14:paraId="78F249B5" w14:textId="687A462D">
      <w:pPr>
        <w:pStyle w:val="ParaNum"/>
        <w:widowControl/>
      </w:pPr>
      <w:r w:rsidRPr="00BB3BEF">
        <w:rPr>
          <w:szCs w:val="22"/>
        </w:rPr>
        <w:t>The COVID-19 pandemic has caused significant disruptions to health care providers throughout the United States</w:t>
      </w:r>
      <w:r w:rsidR="005B2E96">
        <w:rPr>
          <w:szCs w:val="22"/>
        </w:rPr>
        <w:t xml:space="preserve"> for over a year</w:t>
      </w:r>
      <w:r w:rsidRPr="00BB3BEF">
        <w:rPr>
          <w:szCs w:val="22"/>
        </w:rPr>
        <w:t xml:space="preserve">.  Since March 2020, the Bureau has issued several orders to provide relief to </w:t>
      </w:r>
      <w:r w:rsidRPr="00BB3BEF">
        <w:rPr>
          <w:szCs w:val="22"/>
        </w:rPr>
        <w:t>RHC</w:t>
      </w:r>
      <w:r w:rsidRPr="00BB3BEF">
        <w:rPr>
          <w:szCs w:val="22"/>
        </w:rPr>
        <w:t xml:space="preserve"> </w:t>
      </w:r>
      <w:r w:rsidR="00185351">
        <w:rPr>
          <w:szCs w:val="22"/>
        </w:rPr>
        <w:t>P</w:t>
      </w:r>
      <w:r w:rsidRPr="00BB3BEF">
        <w:rPr>
          <w:szCs w:val="22"/>
        </w:rPr>
        <w:t xml:space="preserve">rogram participants.  The </w:t>
      </w:r>
      <w:r w:rsidRPr="00BB3BEF">
        <w:rPr>
          <w:i/>
          <w:iCs/>
        </w:rPr>
        <w:t>COVID-19 Gift Rules Waiver Order</w:t>
      </w:r>
      <w:r w:rsidRPr="00BB3BEF">
        <w:t xml:space="preserve">, which was issued in March 2020, waived the </w:t>
      </w:r>
      <w:r w:rsidRPr="00BB3BEF">
        <w:t>RHC</w:t>
      </w:r>
      <w:r w:rsidRPr="00BB3BEF">
        <w:t xml:space="preserve"> </w:t>
      </w:r>
      <w:r w:rsidR="00CE1A75">
        <w:t>P</w:t>
      </w:r>
      <w:r w:rsidRPr="00BB3BEF">
        <w:t>rogram gift rule to allow service providers to offer, and for program participants to solicit and accept, improved broadband connections or equipment for telehealth.</w:t>
      </w:r>
      <w:r>
        <w:rPr>
          <w:rStyle w:val="FootnoteReference"/>
        </w:rPr>
        <w:footnoteReference w:id="26"/>
      </w:r>
      <w:r w:rsidRPr="00BB3BEF">
        <w:t xml:space="preserve">  The </w:t>
      </w:r>
      <w:r w:rsidRPr="00BB3BEF">
        <w:t>RHC</w:t>
      </w:r>
      <w:r w:rsidRPr="00BB3BEF">
        <w:t xml:space="preserve"> gift rule waiver was subsequently extended in September and December 2020 and is currently effective through June 30, 2021.</w:t>
      </w:r>
      <w:r>
        <w:rPr>
          <w:rStyle w:val="FootnoteReference"/>
        </w:rPr>
        <w:footnoteReference w:id="27"/>
      </w:r>
    </w:p>
    <w:p w:rsidR="007C3443" w:rsidRPr="00BB3BEF" w:rsidP="007C3443" w14:paraId="0202AF60" w14:textId="75B71EDA">
      <w:pPr>
        <w:pStyle w:val="ParaNum"/>
        <w:widowControl/>
      </w:pPr>
      <w:r w:rsidRPr="00BB3BEF">
        <w:rPr>
          <w:szCs w:val="22"/>
        </w:rPr>
        <w:t xml:space="preserve">In March 2020, </w:t>
      </w:r>
      <w:r w:rsidRPr="00BB3BEF">
        <w:t>the Bureau also extended</w:t>
      </w:r>
      <w:r w:rsidRPr="00BB3BEF">
        <w:rPr>
          <w:szCs w:val="22"/>
        </w:rPr>
        <w:t xml:space="preserve"> several </w:t>
      </w:r>
      <w:r w:rsidRPr="00BB3BEF">
        <w:rPr>
          <w:szCs w:val="22"/>
        </w:rPr>
        <w:t>RHC</w:t>
      </w:r>
      <w:r w:rsidRPr="00BB3BEF">
        <w:rPr>
          <w:szCs w:val="22"/>
        </w:rPr>
        <w:t xml:space="preserve"> </w:t>
      </w:r>
      <w:r w:rsidR="00CE1A75">
        <w:rPr>
          <w:szCs w:val="22"/>
        </w:rPr>
        <w:t>P</w:t>
      </w:r>
      <w:r w:rsidRPr="00BB3BEF">
        <w:rPr>
          <w:szCs w:val="22"/>
        </w:rPr>
        <w:t xml:space="preserve">rogram deadlines to </w:t>
      </w:r>
      <w:r w:rsidRPr="00BB3BEF">
        <w:t xml:space="preserve">alleviate administrative burdens on </w:t>
      </w:r>
      <w:r w:rsidRPr="00BB3BEF">
        <w:t>RHC</w:t>
      </w:r>
      <w:r w:rsidRPr="00BB3BEF">
        <w:t xml:space="preserve"> </w:t>
      </w:r>
      <w:r w:rsidR="00D648A0">
        <w:t>P</w:t>
      </w:r>
      <w:r w:rsidRPr="00BB3BEF">
        <w:t xml:space="preserve">rogram participants so that they can concentrate their attention on </w:t>
      </w:r>
      <w:r w:rsidRPr="00BB3BEF">
        <w:t>responding to COVID-19.</w:t>
      </w:r>
      <w:r>
        <w:rPr>
          <w:rStyle w:val="FootnoteReference"/>
        </w:rPr>
        <w:footnoteReference w:id="28"/>
      </w:r>
      <w:r w:rsidRPr="00BB3BEF">
        <w:t xml:space="preserve">  Specifically, </w:t>
      </w:r>
      <w:r w:rsidRPr="00BB3BEF">
        <w:rPr>
          <w:szCs w:val="22"/>
        </w:rPr>
        <w:t xml:space="preserve">the Bureau </w:t>
      </w:r>
      <w:r w:rsidRPr="00BB3BEF">
        <w:t xml:space="preserve">waived the </w:t>
      </w:r>
      <w:r w:rsidRPr="00BB3BEF">
        <w:rPr>
          <w:shd w:val="clear" w:color="auto" w:fill="FFFFFF"/>
        </w:rPr>
        <w:t>invoice filing deadline</w:t>
      </w:r>
      <w:r w:rsidRPr="00BB3BEF">
        <w:t xml:space="preserve"> </w:t>
      </w:r>
      <w:r w:rsidRPr="00BB3BEF">
        <w:rPr>
          <w:szCs w:val="22"/>
        </w:rPr>
        <w:t xml:space="preserve">and extended the deadline 180 days for funding year 2019 </w:t>
      </w:r>
      <w:r w:rsidRPr="00BB3BEF">
        <w:rPr>
          <w:szCs w:val="22"/>
        </w:rPr>
        <w:t>HCF</w:t>
      </w:r>
      <w:r w:rsidRPr="00BB3BEF">
        <w:rPr>
          <w:szCs w:val="22"/>
        </w:rPr>
        <w:t xml:space="preserve"> funding requests</w:t>
      </w:r>
      <w:r w:rsidRPr="00BB3BEF">
        <w:rPr>
          <w:shd w:val="clear" w:color="auto" w:fill="FFFFFF"/>
        </w:rPr>
        <w:t>,</w:t>
      </w:r>
      <w:r>
        <w:rPr>
          <w:rStyle w:val="FootnoteReference"/>
          <w:sz w:val="22"/>
          <w:szCs w:val="22"/>
        </w:rPr>
        <w:footnoteReference w:id="29"/>
      </w:r>
      <w:r w:rsidRPr="00BB3BEF">
        <w:rPr>
          <w:shd w:val="clear" w:color="auto" w:fill="FFFFFF"/>
        </w:rPr>
        <w:t xml:space="preserve"> </w:t>
      </w:r>
      <w:r w:rsidRPr="00BB3BEF">
        <w:rPr>
          <w:szCs w:val="22"/>
        </w:rPr>
        <w:t xml:space="preserve">waived the service delivery deadline for non-recurring services in the </w:t>
      </w:r>
      <w:r w:rsidRPr="00BB3BEF">
        <w:rPr>
          <w:szCs w:val="22"/>
        </w:rPr>
        <w:t>HCF</w:t>
      </w:r>
      <w:r w:rsidRPr="00BB3BEF">
        <w:rPr>
          <w:szCs w:val="22"/>
        </w:rPr>
        <w:t xml:space="preserve"> Program for funding year 2019 and extended the deadline an additional year,</w:t>
      </w:r>
      <w:r>
        <w:rPr>
          <w:rStyle w:val="FootnoteReference"/>
          <w:sz w:val="22"/>
          <w:szCs w:val="22"/>
        </w:rPr>
        <w:footnoteReference w:id="30"/>
      </w:r>
      <w:r w:rsidRPr="00BB3BEF">
        <w:rPr>
          <w:shd w:val="clear" w:color="auto" w:fill="FFFFFF"/>
        </w:rPr>
        <w:t xml:space="preserve"> </w:t>
      </w:r>
      <w:r w:rsidRPr="00BB3BEF">
        <w:rPr>
          <w:iCs/>
          <w:szCs w:val="22"/>
        </w:rPr>
        <w:t>waived the 14-day deadline for responding to USA</w:t>
      </w:r>
      <w:r w:rsidR="00212507">
        <w:rPr>
          <w:iCs/>
          <w:szCs w:val="22"/>
        </w:rPr>
        <w:t>C</w:t>
      </w:r>
      <w:r w:rsidRPr="00BB3BEF">
        <w:rPr>
          <w:iCs/>
          <w:szCs w:val="22"/>
        </w:rPr>
        <w:t xml:space="preserve"> information requests and automatically extended the deadline for an additional 28 days,</w:t>
      </w:r>
      <w:r>
        <w:rPr>
          <w:rStyle w:val="FootnoteReference"/>
          <w:iCs/>
          <w:sz w:val="22"/>
          <w:szCs w:val="22"/>
        </w:rPr>
        <w:footnoteReference w:id="31"/>
      </w:r>
      <w:r w:rsidRPr="00BB3BEF">
        <w:rPr>
          <w:iCs/>
          <w:szCs w:val="22"/>
        </w:rPr>
        <w:t xml:space="preserve"> and waived the 60-day deadlines to file appeals and waiver requests and </w:t>
      </w:r>
      <w:r w:rsidRPr="00BB3BEF">
        <w:rPr>
          <w:szCs w:val="22"/>
        </w:rPr>
        <w:t>provided an additional 60 days for such requests.</w:t>
      </w:r>
      <w:r>
        <w:rPr>
          <w:rStyle w:val="FootnoteReference"/>
          <w:sz w:val="22"/>
          <w:szCs w:val="22"/>
        </w:rPr>
        <w:footnoteReference w:id="32"/>
      </w:r>
      <w:r w:rsidRPr="00BB3BEF">
        <w:rPr>
          <w:szCs w:val="22"/>
        </w:rPr>
        <w:t xml:space="preserve">  </w:t>
      </w:r>
      <w:r w:rsidRPr="00BB3BEF">
        <w:t xml:space="preserve">Both the extensions for the 14-day response deadline and the 60-day </w:t>
      </w:r>
      <w:r w:rsidRPr="00BB3BEF">
        <w:rPr>
          <w:iCs/>
          <w:szCs w:val="22"/>
        </w:rPr>
        <w:t>appeal and waiver request</w:t>
      </w:r>
      <w:r w:rsidRPr="00BB3BEF">
        <w:t xml:space="preserve"> deadlines expired </w:t>
      </w:r>
      <w:r w:rsidR="00E06ED0">
        <w:t>after</w:t>
      </w:r>
      <w:r w:rsidRPr="00BB3BEF">
        <w:t xml:space="preserve"> September 30, 2020.</w:t>
      </w:r>
      <w:r>
        <w:rPr>
          <w:rStyle w:val="FootnoteReference"/>
        </w:rPr>
        <w:footnoteReference w:id="33"/>
      </w:r>
      <w:r w:rsidRPr="00BB3BEF">
        <w:t xml:space="preserve">  The 14-day response deadline was subsequently extended once and expired </w:t>
      </w:r>
      <w:r w:rsidR="00152B08">
        <w:t>after</w:t>
      </w:r>
      <w:r w:rsidRPr="00BB3BEF">
        <w:t xml:space="preserve"> December 31, 2020.</w:t>
      </w:r>
      <w:r>
        <w:rPr>
          <w:rStyle w:val="FootnoteReference"/>
        </w:rPr>
        <w:footnoteReference w:id="34"/>
      </w:r>
    </w:p>
    <w:p w:rsidR="00644649" w:rsidRPr="00082308" w:rsidP="00644649" w14:paraId="45626A46" w14:textId="02C6CC9C">
      <w:pPr>
        <w:pStyle w:val="ParaNum"/>
        <w:widowControl/>
      </w:pPr>
      <w:r>
        <w:t xml:space="preserve">On February 1, 2021, the </w:t>
      </w:r>
      <w:r>
        <w:t>Fiberutilities</w:t>
      </w:r>
      <w:r>
        <w:t xml:space="preserve"> Group</w:t>
      </w:r>
      <w:r w:rsidR="00F57FAF">
        <w:t xml:space="preserve"> (</w:t>
      </w:r>
      <w:r w:rsidRPr="00BB3BEF">
        <w:t>FG</w:t>
      </w:r>
      <w:r w:rsidR="00F57FAF">
        <w:t>)</w:t>
      </w:r>
      <w:r w:rsidRPr="00BB3BEF">
        <w:t xml:space="preserve"> request</w:t>
      </w:r>
      <w:r>
        <w:t>ed</w:t>
      </w:r>
      <w:r w:rsidRPr="00BB3BEF">
        <w:t xml:space="preserve"> </w:t>
      </w:r>
      <w:r w:rsidR="00A37CF0">
        <w:t xml:space="preserve">that </w:t>
      </w:r>
      <w:r w:rsidRPr="00BB3BEF">
        <w:t xml:space="preserve">the Commission provide the following relief to </w:t>
      </w:r>
      <w:r w:rsidRPr="00BB3BEF">
        <w:t>RHC</w:t>
      </w:r>
      <w:r w:rsidRPr="00BB3BEF">
        <w:t xml:space="preserve"> Program participants</w:t>
      </w:r>
      <w:r>
        <w:t xml:space="preserve"> </w:t>
      </w:r>
      <w:r w:rsidRPr="003B4DB9">
        <w:t>due to the ongoing COVID-19 pandemic</w:t>
      </w:r>
      <w:r w:rsidRPr="00BB3BEF">
        <w:t>: (1) extend the service delivery deadline by an additional year</w:t>
      </w:r>
      <w:r>
        <w:t>;</w:t>
      </w:r>
      <w:r w:rsidRPr="00BB3BEF">
        <w:t xml:space="preserve"> (2) extend the invoice filing deadline by an additional 180 days</w:t>
      </w:r>
      <w:r>
        <w:t>;</w:t>
      </w:r>
      <w:r w:rsidRPr="00BB3BEF">
        <w:t xml:space="preserve"> (3) extend the response deadline for</w:t>
      </w:r>
      <w:r>
        <w:t xml:space="preserve"> </w:t>
      </w:r>
      <w:r w:rsidRPr="00BB3BEF">
        <w:t>USAC information requests by at least an additional 28 days</w:t>
      </w:r>
      <w:r>
        <w:t>;</w:t>
      </w:r>
      <w:r w:rsidRPr="00BB3BEF">
        <w:t xml:space="preserve"> (4) extend the deadline</w:t>
      </w:r>
      <w:r>
        <w:t>s</w:t>
      </w:r>
      <w:r w:rsidRPr="00BB3BEF">
        <w:t xml:space="preserve"> for appeals and requests for waiver by at least an additional 60 days</w:t>
      </w:r>
      <w:r>
        <w:t>;</w:t>
      </w:r>
      <w:r w:rsidRPr="00BB3BEF">
        <w:t xml:space="preserve"> and (5) temporarily suspend USAC audit and</w:t>
      </w:r>
      <w:r>
        <w:t xml:space="preserve"> </w:t>
      </w:r>
      <w:r w:rsidRPr="5DAB0409">
        <w:rPr>
          <w:rFonts w:cstheme="minorBidi"/>
          <w:shd w:val="clear" w:color="auto" w:fill="FFFFFF"/>
        </w:rPr>
        <w:t>PQA activity</w:t>
      </w:r>
      <w:r w:rsidRPr="00BB3BEF">
        <w:t>.</w:t>
      </w:r>
      <w:r>
        <w:rPr>
          <w:rStyle w:val="FootnoteReference"/>
        </w:rPr>
        <w:footnoteReference w:id="35"/>
      </w:r>
    </w:p>
    <w:p w:rsidR="00E305DF" w:rsidRPr="00BB3BEF" w:rsidP="00E305DF" w14:paraId="0848B623" w14:textId="4D46E9CE">
      <w:pPr>
        <w:pStyle w:val="Heading1"/>
      </w:pPr>
      <w:r w:rsidRPr="00BB3BEF">
        <w:t>Discussion</w:t>
      </w:r>
    </w:p>
    <w:p w:rsidR="002B46BB" w:rsidRPr="00BB3BEF" w:rsidP="002B46BB" w14:paraId="688019C7" w14:textId="41AD6279">
      <w:pPr>
        <w:pStyle w:val="ParaNum"/>
      </w:pPr>
      <w:r w:rsidRPr="00BB3BEF">
        <w:t>Generally, the Commission’s rules may be waived</w:t>
      </w:r>
      <w:r w:rsidRPr="00BB3BEF" w:rsidR="00F94E59">
        <w:t xml:space="preserve"> or suspended</w:t>
      </w:r>
      <w:r w:rsidRPr="00BB3BEF">
        <w:t xml:space="preserve"> for good cause shown.</w:t>
      </w:r>
      <w:r>
        <w:rPr>
          <w:vertAlign w:val="superscript"/>
        </w:rPr>
        <w:footnoteReference w:id="36"/>
      </w:r>
      <w:r w:rsidRPr="00BB3BEF">
        <w:t xml:space="preserve">  The Commission may exercise its discretion to waive a rule where the particular facts make strict compliance inconsistent with the public interest.</w:t>
      </w:r>
      <w:r>
        <w:rPr>
          <w:vertAlign w:val="superscript"/>
        </w:rPr>
        <w:footnoteReference w:id="37"/>
      </w:r>
      <w:r w:rsidRPr="00BB3BEF">
        <w:t xml:space="preserve">  In addition, the Commission may take into account considerations of hardship, equity, or more effective implementation of overall policy on an individual basis.</w:t>
      </w:r>
      <w:r>
        <w:rPr>
          <w:vertAlign w:val="superscript"/>
        </w:rPr>
        <w:footnoteReference w:id="38"/>
      </w:r>
      <w:r w:rsidRPr="00BB3BEF">
        <w:t xml:space="preserve">  Waiver of the Commission’s rules is appropriate only if both (1) special circumstances warrant a deviation from the general rule, and (2) such deviation will serve the public interest.</w:t>
      </w:r>
      <w:r>
        <w:rPr>
          <w:vertAlign w:val="superscript"/>
        </w:rPr>
        <w:footnoteReference w:id="39"/>
      </w:r>
      <w:r w:rsidR="007D6A54">
        <w:t xml:space="preserve">  We find that such special circumstances exist and that it would serve the public interest to waive the requirement</w:t>
      </w:r>
      <w:r w:rsidR="007E3F64">
        <w:t>s</w:t>
      </w:r>
      <w:r w:rsidR="007D6A54">
        <w:t xml:space="preserve"> that health care providers and service providers use the Rates Database to calculate</w:t>
      </w:r>
      <w:r w:rsidR="007E3F64">
        <w:t xml:space="preserve"> urban and</w:t>
      </w:r>
      <w:r w:rsidR="007D6A54">
        <w:t xml:space="preserve"> rural rates</w:t>
      </w:r>
      <w:r w:rsidR="002F2D67">
        <w:t xml:space="preserve"> in the Telecom Program</w:t>
      </w:r>
      <w:r w:rsidR="007D6A54">
        <w:t xml:space="preserve">.  We similarly find that waivers of the </w:t>
      </w:r>
      <w:r w:rsidR="007D6A54">
        <w:t>RHC</w:t>
      </w:r>
      <w:r w:rsidR="007D6A54">
        <w:t xml:space="preserve"> Program service delivery deadline and the invoice filing deadline are justified.  </w:t>
      </w:r>
    </w:p>
    <w:p w:rsidR="00BC4D0B" w:rsidRPr="00BB3BEF" w:rsidP="00BC4D0B" w14:paraId="1EFD2872" w14:textId="77777777">
      <w:pPr>
        <w:pStyle w:val="Heading2"/>
      </w:pPr>
      <w:r w:rsidRPr="00BB3BEF">
        <w:t>Rates Database</w:t>
      </w:r>
    </w:p>
    <w:p w:rsidR="003A7BCF" w:rsidRPr="00BB3BEF" w:rsidP="003A7BCF" w14:paraId="73928B63" w14:textId="0C658DD7">
      <w:pPr>
        <w:pStyle w:val="ParaNum"/>
      </w:pPr>
      <w:r w:rsidRPr="00BB3BEF">
        <w:t xml:space="preserve">We expand </w:t>
      </w:r>
      <w:r w:rsidRPr="00BB3BEF" w:rsidR="000E184D">
        <w:t>th</w:t>
      </w:r>
      <w:r w:rsidR="000E184D">
        <w:t>e</w:t>
      </w:r>
      <w:r w:rsidRPr="00BB3BEF" w:rsidR="000E184D">
        <w:t xml:space="preserve"> </w:t>
      </w:r>
      <w:r w:rsidRPr="00BB3BEF">
        <w:t>waiver</w:t>
      </w:r>
      <w:r w:rsidR="000E184D">
        <w:t xml:space="preserve"> of section 54.605(a),</w:t>
      </w:r>
      <w:r>
        <w:rPr>
          <w:rStyle w:val="FootnoteReference"/>
        </w:rPr>
        <w:footnoteReference w:id="40"/>
      </w:r>
      <w:r w:rsidR="000E184D">
        <w:t xml:space="preserve"> granted in the </w:t>
      </w:r>
      <w:r w:rsidR="000E184D">
        <w:rPr>
          <w:i/>
          <w:iCs/>
        </w:rPr>
        <w:t>Alaska</w:t>
      </w:r>
      <w:r w:rsidR="00D07B96">
        <w:rPr>
          <w:i/>
          <w:iCs/>
        </w:rPr>
        <w:t xml:space="preserve"> Rates</w:t>
      </w:r>
      <w:r w:rsidR="000E184D">
        <w:rPr>
          <w:i/>
          <w:iCs/>
        </w:rPr>
        <w:t xml:space="preserve"> Database Waiver Order</w:t>
      </w:r>
      <w:r w:rsidR="000E184D">
        <w:t>,</w:t>
      </w:r>
      <w:r w:rsidR="000E184D">
        <w:rPr>
          <w:i/>
          <w:iCs/>
        </w:rPr>
        <w:t xml:space="preserve"> </w:t>
      </w:r>
      <w:r w:rsidR="000E184D">
        <w:t>to apply</w:t>
      </w:r>
      <w:r w:rsidRPr="00BB3BEF">
        <w:t xml:space="preserve"> nationwide, delaying implementation of the Rates Database </w:t>
      </w:r>
      <w:r w:rsidR="00A14270">
        <w:t xml:space="preserve">for rural rates </w:t>
      </w:r>
      <w:r w:rsidRPr="00BB3BEF">
        <w:t xml:space="preserve">for all health care providers that apply for Telecom Program support.  </w:t>
      </w:r>
      <w:r w:rsidR="00E7133E">
        <w:t>We also waive section 54.60</w:t>
      </w:r>
      <w:r w:rsidR="0054181B">
        <w:t>4(a) for health care providers nationwide</w:t>
      </w:r>
      <w:r w:rsidR="00DC3F05">
        <w:t xml:space="preserve">, which delays implementation of the Rates Database for urban </w:t>
      </w:r>
      <w:r w:rsidR="00C36F17">
        <w:t xml:space="preserve">rates.  </w:t>
      </w:r>
      <w:r w:rsidR="009A278F">
        <w:t>These waivers apply for</w:t>
      </w:r>
      <w:r w:rsidR="001F681F">
        <w:t xml:space="preserve"> funding year 2021, for which competitive bidding has already begun, and</w:t>
      </w:r>
      <w:r w:rsidR="008951CA">
        <w:t xml:space="preserve"> funding year 2022.</w:t>
      </w:r>
      <w:r>
        <w:rPr>
          <w:rStyle w:val="FootnoteReference"/>
        </w:rPr>
        <w:footnoteReference w:id="41"/>
      </w:r>
      <w:r w:rsidR="00BF1781">
        <w:t xml:space="preserve">  </w:t>
      </w:r>
    </w:p>
    <w:p w:rsidR="004C55CE" w:rsidRPr="00BB3BEF" w:rsidP="00A00D93" w14:paraId="1569E8EC" w14:textId="04887077">
      <w:pPr>
        <w:pStyle w:val="ParaNum"/>
      </w:pPr>
      <w:r>
        <w:rPr>
          <w:i/>
          <w:iCs/>
        </w:rPr>
        <w:t>Rural Rate Waiver</w:t>
      </w:r>
      <w:r>
        <w:t>.</w:t>
      </w:r>
      <w:r>
        <w:rPr>
          <w:i/>
          <w:iCs/>
        </w:rPr>
        <w:t xml:space="preserve"> </w:t>
      </w:r>
      <w:r w:rsidR="00FD6452">
        <w:t xml:space="preserve"> </w:t>
      </w:r>
      <w:r w:rsidRPr="00BB3BEF" w:rsidR="00E734BC">
        <w:t>Further e</w:t>
      </w:r>
      <w:r w:rsidRPr="00BB3BEF" w:rsidR="006354AC">
        <w:t>xamination of</w:t>
      </w:r>
      <w:r w:rsidRPr="00BB3BEF" w:rsidR="00E734BC">
        <w:t xml:space="preserve"> initial</w:t>
      </w:r>
      <w:r w:rsidRPr="00BB3BEF" w:rsidR="006354AC">
        <w:t xml:space="preserve"> </w:t>
      </w:r>
      <w:r w:rsidRPr="00BB3BEF" w:rsidR="002D0D1B">
        <w:t xml:space="preserve">median rural rate calculations in </w:t>
      </w:r>
      <w:r w:rsidRPr="00BB3BEF" w:rsidR="006354AC">
        <w:t xml:space="preserve">the Rates Database reveals </w:t>
      </w:r>
      <w:r w:rsidRPr="00BB3BEF" w:rsidR="004E6B21">
        <w:t>anomalies</w:t>
      </w:r>
      <w:r w:rsidRPr="00BB3BEF" w:rsidR="00DC3BC7">
        <w:t xml:space="preserve"> </w:t>
      </w:r>
      <w:r w:rsidRPr="00BB3BEF" w:rsidR="002D0D1B">
        <w:t xml:space="preserve">in states </w:t>
      </w:r>
      <w:r w:rsidR="00F57FAF">
        <w:t xml:space="preserve">beyond Alaska </w:t>
      </w:r>
      <w:r w:rsidRPr="00BB3BEF" w:rsidR="002D0D1B">
        <w:t>that c</w:t>
      </w:r>
      <w:r w:rsidRPr="00BB3BEF" w:rsidR="004E6B21">
        <w:t xml:space="preserve">ould </w:t>
      </w:r>
      <w:r w:rsidRPr="00BB3BEF" w:rsidR="002D0D1B">
        <w:t xml:space="preserve">result in </w:t>
      </w:r>
      <w:r w:rsidRPr="00BB3BEF" w:rsidR="002F2150">
        <w:t xml:space="preserve">inadequate </w:t>
      </w:r>
      <w:r w:rsidRPr="00BB3BEF" w:rsidR="002D0D1B">
        <w:t>or</w:t>
      </w:r>
      <w:r w:rsidRPr="00BB3BEF" w:rsidR="000C35C1">
        <w:t xml:space="preserve"> inconsistent </w:t>
      </w:r>
      <w:r w:rsidRPr="00BB3BEF" w:rsidR="002F2150">
        <w:t xml:space="preserve">Telecom Program support.  </w:t>
      </w:r>
      <w:r w:rsidRPr="00BB3BEF" w:rsidR="00447803">
        <w:t>A primary</w:t>
      </w:r>
      <w:r w:rsidRPr="00BB3BEF" w:rsidR="002C5302">
        <w:t xml:space="preserve"> </w:t>
      </w:r>
      <w:r w:rsidRPr="00BB3BEF" w:rsidR="002D0D1B">
        <w:t>rational</w:t>
      </w:r>
      <w:r w:rsidR="00293278">
        <w:t>e</w:t>
      </w:r>
      <w:r w:rsidRPr="00BB3BEF" w:rsidR="002D0D1B">
        <w:t xml:space="preserve"> for adopting the </w:t>
      </w:r>
      <w:r w:rsidRPr="00BB3BEF" w:rsidR="002C5302">
        <w:t xml:space="preserve">Rates Database </w:t>
      </w:r>
      <w:r w:rsidRPr="00BB3BEF" w:rsidR="0050245F">
        <w:t xml:space="preserve">and associated rurality tiers </w:t>
      </w:r>
      <w:r w:rsidRPr="00BB3BEF" w:rsidR="00447803">
        <w:t>was that,</w:t>
      </w:r>
      <w:r w:rsidRPr="00BB3BEF" w:rsidR="00A908F3">
        <w:t xml:space="preserve"> </w:t>
      </w:r>
      <w:r w:rsidRPr="00BB3BEF" w:rsidR="00761E68">
        <w:t xml:space="preserve">in </w:t>
      </w:r>
      <w:r w:rsidRPr="00BB3BEF" w:rsidR="00CF3996">
        <w:t>general</w:t>
      </w:r>
      <w:r w:rsidRPr="00BB3BEF" w:rsidR="00761E68">
        <w:t>,</w:t>
      </w:r>
      <w:r w:rsidRPr="00BB3BEF" w:rsidR="00A908F3">
        <w:t xml:space="preserve"> the cost to provide services increases as </w:t>
      </w:r>
      <w:r w:rsidRPr="00BB3BEF" w:rsidR="00C72610">
        <w:t xml:space="preserve">the level of rurality </w:t>
      </w:r>
      <w:r w:rsidRPr="00BB3BEF" w:rsidR="00A908F3">
        <w:t>increases</w:t>
      </w:r>
      <w:r w:rsidRPr="00BB3BEF" w:rsidR="005623E0">
        <w:t xml:space="preserve"> and</w:t>
      </w:r>
      <w:r w:rsidRPr="00BB3BEF" w:rsidR="002C5302">
        <w:t xml:space="preserve"> </w:t>
      </w:r>
      <w:r w:rsidRPr="00BB3BEF" w:rsidR="00906725">
        <w:t xml:space="preserve">overall </w:t>
      </w:r>
      <w:r w:rsidRPr="00BB3BEF" w:rsidR="002C5302">
        <w:t xml:space="preserve">rates tend to increase </w:t>
      </w:r>
      <w:r w:rsidRPr="00BB3BEF" w:rsidR="00906725">
        <w:t xml:space="preserve">(while rates per megabit per second tend to decrease) </w:t>
      </w:r>
      <w:r w:rsidRPr="00BB3BEF" w:rsidR="002C5302">
        <w:t>as bandwidth increases.</w:t>
      </w:r>
      <w:r>
        <w:rPr>
          <w:vertAlign w:val="superscript"/>
        </w:rPr>
        <w:footnoteReference w:id="42"/>
      </w:r>
      <w:r w:rsidRPr="00BB3BEF" w:rsidR="002C5302">
        <w:t xml:space="preserve"> </w:t>
      </w:r>
      <w:r w:rsidRPr="00BB3BEF" w:rsidR="005623E0">
        <w:t xml:space="preserve"> </w:t>
      </w:r>
      <w:r w:rsidRPr="00BB3BEF" w:rsidR="00447803">
        <w:t>H</w:t>
      </w:r>
      <w:r w:rsidRPr="00BB3BEF" w:rsidR="005623E0">
        <w:t>owever,</w:t>
      </w:r>
      <w:r w:rsidRPr="00BB3BEF" w:rsidR="00447803">
        <w:t xml:space="preserve"> </w:t>
      </w:r>
      <w:r w:rsidRPr="00BB3BEF" w:rsidR="0050245F">
        <w:t xml:space="preserve">initial rural rate calculations in </w:t>
      </w:r>
      <w:r w:rsidRPr="00BB3BEF" w:rsidR="005623E0">
        <w:t xml:space="preserve">the </w:t>
      </w:r>
      <w:r w:rsidRPr="00BB3BEF" w:rsidR="006354AC">
        <w:t>Rates D</w:t>
      </w:r>
      <w:r w:rsidRPr="00BB3BEF" w:rsidR="00F97432">
        <w:t xml:space="preserve">atabase </w:t>
      </w:r>
      <w:r w:rsidR="001E3E40">
        <w:t xml:space="preserve">revealed </w:t>
      </w:r>
      <w:r w:rsidRPr="00BB3BEF" w:rsidR="0050245F">
        <w:t xml:space="preserve">examples of </w:t>
      </w:r>
      <w:r w:rsidRPr="00BB3BEF" w:rsidR="00F97432">
        <w:t xml:space="preserve">lower </w:t>
      </w:r>
      <w:r w:rsidRPr="00BB3BEF" w:rsidR="00447803">
        <w:t xml:space="preserve">median </w:t>
      </w:r>
      <w:r w:rsidRPr="00BB3BEF" w:rsidR="00F97432">
        <w:t>rural rate</w:t>
      </w:r>
      <w:r w:rsidRPr="00BB3BEF" w:rsidR="00893D94">
        <w:t>s</w:t>
      </w:r>
      <w:r w:rsidRPr="00BB3BEF" w:rsidR="00F97432">
        <w:t xml:space="preserve"> </w:t>
      </w:r>
      <w:r w:rsidRPr="00BB3BEF" w:rsidR="00685DE9">
        <w:t>in</w:t>
      </w:r>
      <w:r w:rsidRPr="00BB3BEF" w:rsidR="00F97432">
        <w:t xml:space="preserve"> more </w:t>
      </w:r>
      <w:r w:rsidRPr="00BB3BEF" w:rsidR="00685DE9">
        <w:t>rural areas of a state</w:t>
      </w:r>
      <w:r w:rsidRPr="00BB3BEF" w:rsidR="00B05BBE">
        <w:t xml:space="preserve">.  </w:t>
      </w:r>
      <w:r w:rsidRPr="00BB3BEF" w:rsidR="006354AC">
        <w:t xml:space="preserve">For example, </w:t>
      </w:r>
      <w:r w:rsidRPr="00BB3BEF" w:rsidR="005A12D1">
        <w:t>for California</w:t>
      </w:r>
      <w:r w:rsidR="0088535C">
        <w:t>,</w:t>
      </w:r>
      <w:r w:rsidRPr="00BB3BEF" w:rsidR="005A12D1">
        <w:t xml:space="preserve"> the current median rural rate for a 100 Mbps dedicated data service is $3,520.</w:t>
      </w:r>
      <w:r w:rsidRPr="00BB3BEF" w:rsidR="00D4792D">
        <w:t>73 in the Less Rural Tier and $842.00 in the Rural Tier</w:t>
      </w:r>
      <w:r w:rsidRPr="00BB3BEF" w:rsidR="00BF6CD3">
        <w:t>.</w:t>
      </w:r>
      <w:r>
        <w:rPr>
          <w:rStyle w:val="FootnoteReference"/>
        </w:rPr>
        <w:footnoteReference w:id="43"/>
      </w:r>
      <w:r w:rsidRPr="00BB3BEF" w:rsidR="00D01B2C">
        <w:t xml:space="preserve">  </w:t>
      </w:r>
      <w:r w:rsidRPr="00BB3BEF" w:rsidR="00435D86">
        <w:t>In other instances</w:t>
      </w:r>
      <w:r w:rsidRPr="00BB3BEF" w:rsidR="00255891">
        <w:t xml:space="preserve">, </w:t>
      </w:r>
      <w:r w:rsidRPr="00BB3BEF" w:rsidR="006755FA">
        <w:t>the Rates Database provide</w:t>
      </w:r>
      <w:r w:rsidRPr="00BB3BEF" w:rsidR="00AB6F4B">
        <w:t>s</w:t>
      </w:r>
      <w:r w:rsidRPr="00BB3BEF" w:rsidR="006755FA">
        <w:t xml:space="preserve"> </w:t>
      </w:r>
      <w:r w:rsidRPr="00BB3BEF" w:rsidR="001C546A">
        <w:t>higher median rat</w:t>
      </w:r>
      <w:r w:rsidRPr="00BB3BEF" w:rsidR="007F50A6">
        <w:t xml:space="preserve">es </w:t>
      </w:r>
      <w:r w:rsidRPr="00BB3BEF" w:rsidR="000E278A">
        <w:t xml:space="preserve">for lower bandwidths.  </w:t>
      </w:r>
      <w:r w:rsidRPr="00BB3BEF" w:rsidR="00D728F2">
        <w:t xml:space="preserve">In Georgia, the current median rural rate in the Rural Tier for a 100 Mbps </w:t>
      </w:r>
      <w:r w:rsidRPr="00BB3BEF" w:rsidR="00211315">
        <w:t>dedicated data service</w:t>
      </w:r>
      <w:r w:rsidRPr="00BB3BEF" w:rsidR="00D728F2">
        <w:t xml:space="preserve"> </w:t>
      </w:r>
      <w:r w:rsidRPr="00BB3BEF" w:rsidR="00211315">
        <w:t>is $3,036, compared to $1,057 for 250 Mbps and $2,634 for 1 Gbps</w:t>
      </w:r>
      <w:r w:rsidRPr="00BB3BEF" w:rsidR="004F69CA">
        <w:t>.</w:t>
      </w:r>
      <w:r>
        <w:rPr>
          <w:rStyle w:val="FootnoteReference"/>
        </w:rPr>
        <w:footnoteReference w:id="44"/>
      </w:r>
    </w:p>
    <w:p w:rsidR="002B46BB" w:rsidRPr="00BB3BEF" w:rsidP="00A00558" w14:paraId="37DEEE83" w14:textId="30F85778">
      <w:pPr>
        <w:pStyle w:val="ParaNum"/>
        <w:widowControl/>
      </w:pPr>
      <w:r w:rsidRPr="00BB3BEF">
        <w:t xml:space="preserve">There is no clearly identifiable cause for these rate inconsistencies based on </w:t>
      </w:r>
      <w:r w:rsidRPr="00BB3BEF">
        <w:t>currently-available</w:t>
      </w:r>
      <w:r w:rsidRPr="00BB3BEF">
        <w:t xml:space="preserve"> rural rate data.  The Rates Database outputs suggest that</w:t>
      </w:r>
      <w:r w:rsidRPr="00BB3BEF" w:rsidR="00E64DAB">
        <w:t xml:space="preserve"> in </w:t>
      </w:r>
      <w:r w:rsidR="001E3E40">
        <w:t xml:space="preserve">certain </w:t>
      </w:r>
      <w:r w:rsidRPr="00BB3BEF" w:rsidR="00E64DAB">
        <w:t>circumstances cost</w:t>
      </w:r>
      <w:r w:rsidRPr="00BB3BEF">
        <w:t xml:space="preserve"> factors other than population density and bandwidth level </w:t>
      </w:r>
      <w:r w:rsidRPr="00BB3BEF" w:rsidR="00E64DAB">
        <w:t xml:space="preserve">are significantly impacting the prices available to health care providers in rural areas.  </w:t>
      </w:r>
      <w:r w:rsidRPr="00BB3BEF" w:rsidR="00A00558">
        <w:t xml:space="preserve">The rate inconsistencies and resulting </w:t>
      </w:r>
      <w:r w:rsidR="00AF31F3">
        <w:t>reduction in</w:t>
      </w:r>
      <w:r w:rsidRPr="00BB3BEF" w:rsidR="00A00558">
        <w:t xml:space="preserve"> Telecom Program support for </w:t>
      </w:r>
      <w:r w:rsidR="00B77DF6">
        <w:t>service</w:t>
      </w:r>
      <w:r w:rsidRPr="00BB3BEF" w:rsidR="00A00558">
        <w:t xml:space="preserve"> providers </w:t>
      </w:r>
      <w:r w:rsidR="00835E15">
        <w:t xml:space="preserve">could </w:t>
      </w:r>
      <w:r w:rsidR="008F3F8A">
        <w:t>reduce</w:t>
      </w:r>
      <w:r w:rsidR="0000559B">
        <w:t xml:space="preserve"> </w:t>
      </w:r>
      <w:r w:rsidR="000B23F8">
        <w:t>the quality and availability of telecommunications services for</w:t>
      </w:r>
      <w:r w:rsidR="006F7983">
        <w:t xml:space="preserve"> health care providers </w:t>
      </w:r>
      <w:r w:rsidRPr="00BB3BEF" w:rsidR="00A00558">
        <w:t xml:space="preserve">in </w:t>
      </w:r>
      <w:r w:rsidR="00497843">
        <w:t>some</w:t>
      </w:r>
      <w:r w:rsidRPr="00BB3BEF" w:rsidR="00497843">
        <w:t xml:space="preserve"> </w:t>
      </w:r>
      <w:r w:rsidR="005D55F1">
        <w:t xml:space="preserve">areas.  </w:t>
      </w:r>
      <w:r w:rsidR="00E565F7">
        <w:t>These potential impacts on health care providers and service providers</w:t>
      </w:r>
      <w:r w:rsidRPr="00BB3BEF" w:rsidR="0042217E">
        <w:t xml:space="preserve"> </w:t>
      </w:r>
      <w:r w:rsidRPr="00BB3BEF" w:rsidR="00AF32E6">
        <w:t xml:space="preserve">qualify as special </w:t>
      </w:r>
      <w:r w:rsidRPr="00BB3BEF" w:rsidR="00D24EB9">
        <w:t xml:space="preserve">circumstances meriting a </w:t>
      </w:r>
      <w:r w:rsidRPr="00BB3BEF" w:rsidR="008A7398">
        <w:t xml:space="preserve">nationwide </w:t>
      </w:r>
      <w:r w:rsidRPr="00BB3BEF" w:rsidR="00D24EB9">
        <w:t>waiver</w:t>
      </w:r>
      <w:r w:rsidRPr="00BB3BEF" w:rsidR="008A7398">
        <w:t xml:space="preserve"> of the Rates Database</w:t>
      </w:r>
      <w:r w:rsidRPr="00BB3BEF" w:rsidR="00177C76">
        <w:t xml:space="preserve"> </w:t>
      </w:r>
      <w:r w:rsidRPr="00BB3BEF" w:rsidR="004C55CE">
        <w:t>to give</w:t>
      </w:r>
      <w:r w:rsidRPr="00BB3BEF" w:rsidR="00177C76">
        <w:t xml:space="preserve"> the Commission time to examine the causes of the</w:t>
      </w:r>
      <w:r w:rsidR="00DE26D7">
        <w:t xml:space="preserve"> rate</w:t>
      </w:r>
      <w:r w:rsidRPr="00BB3BEF" w:rsidR="00177C76">
        <w:t xml:space="preserve"> anomalies and </w:t>
      </w:r>
      <w:r w:rsidRPr="00BB3BEF" w:rsidR="00177C76">
        <w:t>make adjustments to</w:t>
      </w:r>
      <w:r w:rsidRPr="00BB3BEF" w:rsidR="00177C76">
        <w:t xml:space="preserve"> the </w:t>
      </w:r>
      <w:r w:rsidRPr="00BB3BEF" w:rsidR="00761E68">
        <w:t>R</w:t>
      </w:r>
      <w:r w:rsidRPr="00BB3BEF" w:rsidR="00177C76">
        <w:t xml:space="preserve">ates </w:t>
      </w:r>
      <w:r w:rsidRPr="00BB3BEF" w:rsidR="00761E68">
        <w:t>D</w:t>
      </w:r>
      <w:r w:rsidRPr="00BB3BEF" w:rsidR="00177C76">
        <w:t>atabase model if needed</w:t>
      </w:r>
      <w:r w:rsidRPr="00BB3BEF" w:rsidR="00D24EB9">
        <w:t xml:space="preserve">.  </w:t>
      </w:r>
    </w:p>
    <w:p w:rsidR="004C55CE" w:rsidRPr="00BB3BEF" w:rsidP="00257D86" w14:paraId="7E70ECEE" w14:textId="15F39AD6">
      <w:pPr>
        <w:pStyle w:val="ParaNum"/>
        <w:widowControl/>
      </w:pPr>
      <w:r w:rsidRPr="00BB3BEF">
        <w:t>The public interest will be served by waiving the requirement to</w:t>
      </w:r>
      <w:r w:rsidRPr="00BB3BEF" w:rsidR="00DE0E3D">
        <w:t xml:space="preserve"> use the </w:t>
      </w:r>
      <w:r w:rsidRPr="00BB3BEF" w:rsidR="00954627">
        <w:t xml:space="preserve">Rates Database </w:t>
      </w:r>
      <w:r w:rsidRPr="00BB3BEF" w:rsidR="008A6671">
        <w:t>for determining rural rates</w:t>
      </w:r>
      <w:r w:rsidRPr="00BB3BEF" w:rsidR="002D73DB">
        <w:t xml:space="preserve"> </w:t>
      </w:r>
      <w:r w:rsidRPr="00BB3BEF">
        <w:t xml:space="preserve">for funding year 2021, for which competitive bidding has already begun.  </w:t>
      </w:r>
      <w:r w:rsidR="00F079F8">
        <w:t>I</w:t>
      </w:r>
      <w:r w:rsidRPr="00BB3BEF">
        <w:t xml:space="preserve">n the interest of providing </w:t>
      </w:r>
      <w:r w:rsidRPr="00BB3BEF" w:rsidR="00154F43">
        <w:t xml:space="preserve">the </w:t>
      </w:r>
      <w:r w:rsidRPr="00BB3BEF">
        <w:t xml:space="preserve">“predictability” </w:t>
      </w:r>
      <w:r w:rsidRPr="00BB3BEF" w:rsidR="00154F43">
        <w:t xml:space="preserve">required by section 254 of the Communications Act </w:t>
      </w:r>
      <w:r w:rsidRPr="00BB3BEF">
        <w:t xml:space="preserve">to </w:t>
      </w:r>
      <w:r w:rsidRPr="00BB3BEF">
        <w:t>applicants and participating telecommunications carriers</w:t>
      </w:r>
      <w:r w:rsidRPr="00BB3BEF" w:rsidR="00154F43">
        <w:t>,</w:t>
      </w:r>
      <w:r>
        <w:rPr>
          <w:rStyle w:val="FootnoteReference"/>
        </w:rPr>
        <w:footnoteReference w:id="45"/>
      </w:r>
      <w:r w:rsidRPr="00BB3BEF" w:rsidR="00154F43">
        <w:t xml:space="preserve"> the public interest will be best served by extending that waiver through funding year 2022.  This action ensures that rural telecommunications service providers will receive levels of support on par with the support they received through funding year 2020, preserving the status quo while the Commission examines questions surrounding the </w:t>
      </w:r>
      <w:r w:rsidRPr="00BB3BEF" w:rsidR="00423CE2">
        <w:t>Rates Database and rural rate determination process</w:t>
      </w:r>
      <w:r w:rsidRPr="00BB3BEF" w:rsidR="00154F43">
        <w:t xml:space="preserve">. </w:t>
      </w:r>
      <w:r w:rsidR="00CF506E">
        <w:t xml:space="preserve"> </w:t>
      </w:r>
      <w:r w:rsidR="001C6634">
        <w:t xml:space="preserve">This </w:t>
      </w:r>
      <w:r w:rsidR="00426896">
        <w:t>action</w:t>
      </w:r>
      <w:r w:rsidR="00CF506E">
        <w:t xml:space="preserve"> will also </w:t>
      </w:r>
      <w:r w:rsidR="000D3B15">
        <w:t xml:space="preserve">ensure </w:t>
      </w:r>
      <w:r w:rsidR="005D1380">
        <w:t xml:space="preserve">that </w:t>
      </w:r>
      <w:r w:rsidR="00D8426C">
        <w:t xml:space="preserve">service </w:t>
      </w:r>
      <w:r w:rsidR="005D1380">
        <w:t xml:space="preserve">providers receive consistent </w:t>
      </w:r>
      <w:r w:rsidR="001C6634">
        <w:t>Telecom Program support</w:t>
      </w:r>
      <w:r w:rsidR="00593FE3">
        <w:t xml:space="preserve"> </w:t>
      </w:r>
      <w:r w:rsidR="00645277">
        <w:t xml:space="preserve">that </w:t>
      </w:r>
      <w:r w:rsidR="00CE49A2">
        <w:t xml:space="preserve">meets the cost of providing service </w:t>
      </w:r>
      <w:r w:rsidR="00CA6CE7">
        <w:t>and avoids interruptions of service to health care providers that are</w:t>
      </w:r>
      <w:r w:rsidR="00593FE3">
        <w:t xml:space="preserve"> </w:t>
      </w:r>
      <w:r w:rsidR="009F3ED0">
        <w:t>managing the ongoing impacts of the COVID</w:t>
      </w:r>
      <w:r w:rsidR="00EE4D76">
        <w:t>-19 pandemic</w:t>
      </w:r>
      <w:r w:rsidR="00947570">
        <w:t>.</w:t>
      </w:r>
      <w:r>
        <w:rPr>
          <w:rStyle w:val="FootnoteReference"/>
        </w:rPr>
        <w:footnoteReference w:id="46"/>
      </w:r>
    </w:p>
    <w:p w:rsidR="00BD767E" w:rsidP="00EA5827" w14:paraId="3AC2E4BE" w14:textId="52E371F1">
      <w:pPr>
        <w:pStyle w:val="ParaNum"/>
      </w:pPr>
      <w:r>
        <w:rPr>
          <w:i/>
          <w:iCs/>
        </w:rPr>
        <w:t xml:space="preserve">Establishing Rural Rates.  </w:t>
      </w:r>
      <w:r w:rsidRPr="00BB3BEF">
        <w:t>In light of</w:t>
      </w:r>
      <w:r w:rsidRPr="00BB3BEF">
        <w:t xml:space="preserve"> our decision to waive the use of the Rates Database to calculate rural rates nationwide, we next address how applicants and participating telecommunications </w:t>
      </w:r>
      <w:r>
        <w:t>service providers</w:t>
      </w:r>
      <w:r w:rsidRPr="00BB3BEF">
        <w:t xml:space="preserve"> should establish their rural rates.  </w:t>
      </w:r>
      <w:r w:rsidR="00DB7D3C">
        <w:t>In the absence of a</w:t>
      </w:r>
      <w:r w:rsidR="006F7AEA">
        <w:t xml:space="preserve"> </w:t>
      </w:r>
      <w:r w:rsidR="00DB7D3C">
        <w:t>national</w:t>
      </w:r>
      <w:r w:rsidR="00FF0DE4">
        <w:t xml:space="preserve"> rural</w:t>
      </w:r>
      <w:r w:rsidR="00DB7D3C">
        <w:t xml:space="preserve"> </w:t>
      </w:r>
      <w:r w:rsidR="00E01F75">
        <w:t>Rates Database, w</w:t>
      </w:r>
      <w:r w:rsidRPr="00BB3BEF">
        <w:t xml:space="preserve">e believe </w:t>
      </w:r>
      <w:r w:rsidR="00B442FC">
        <w:t>that</w:t>
      </w:r>
      <w:r w:rsidRPr="00BB3BEF">
        <w:t xml:space="preserve"> the preexisting rules </w:t>
      </w:r>
      <w:r w:rsidR="007C5372">
        <w:t xml:space="preserve">result in </w:t>
      </w:r>
      <w:r w:rsidR="00140A71">
        <w:t xml:space="preserve">rural rates that most accurately reflect the current </w:t>
      </w:r>
      <w:r w:rsidR="00461FBA">
        <w:t>costs of providing service.</w:t>
      </w:r>
      <w:r w:rsidR="00176FB4">
        <w:t xml:space="preserve"> </w:t>
      </w:r>
      <w:r w:rsidRPr="00BB3BEF">
        <w:t xml:space="preserve"> </w:t>
      </w:r>
      <w:r w:rsidR="00176FB4">
        <w:t>H</w:t>
      </w:r>
      <w:r w:rsidRPr="00BB3BEF">
        <w:t xml:space="preserve">ealth care providers and their service providers may </w:t>
      </w:r>
      <w:r w:rsidR="00176FB4">
        <w:t xml:space="preserve">therefore </w:t>
      </w:r>
      <w:r w:rsidRPr="00BB3BEF">
        <w:t>continue to use Method 1, Method 2, or Method 3 to calculate rural rates, using the same processes for submission and review of rates that applied for funding year 2020.</w:t>
      </w:r>
      <w:r>
        <w:rPr>
          <w:rStyle w:val="FootnoteReference"/>
        </w:rPr>
        <w:footnoteReference w:id="47"/>
      </w:r>
      <w:r w:rsidRPr="00BB3BEF">
        <w:t xml:space="preserve">  As a reminder, these methods for calculating the rural rate are sequential.  Method 1 must be used unless the carrier is not actually charging non-health care provider customers rates for the same or similar services in the rural area where the health care provider is located.</w:t>
      </w:r>
      <w:r>
        <w:rPr>
          <w:rStyle w:val="FootnoteReference"/>
        </w:rPr>
        <w:footnoteReference w:id="48"/>
      </w:r>
      <w:r w:rsidRPr="00BB3BEF">
        <w:t xml:space="preserve">  Method 2 generally must be used if Method 1 cannot be used.</w:t>
      </w:r>
      <w:r>
        <w:rPr>
          <w:rStyle w:val="FootnoteReference"/>
        </w:rPr>
        <w:footnoteReference w:id="49"/>
      </w:r>
      <w:r w:rsidRPr="00BB3BEF">
        <w:t xml:space="preserve">  Finally, where there are no tariffed or other publicly available rates charged by other carriers for same or similar services in the rural area where the health care provider is located, or if the carrier reasonably determines that the rural rate calculated under Method 2 is unfair, then the carrier may seek approval of a cost-based rural rate under Method 3.</w:t>
      </w:r>
      <w:r>
        <w:rPr>
          <w:rStyle w:val="FootnoteReference"/>
        </w:rPr>
        <w:footnoteReference w:id="50"/>
      </w:r>
      <w:r w:rsidRPr="00BB3BEF">
        <w:t xml:space="preserve">  </w:t>
      </w:r>
    </w:p>
    <w:p w:rsidR="00154F43" w:rsidRPr="00BB3BEF" w:rsidP="00257D86" w14:paraId="6D5180F3" w14:textId="6E2CE90A">
      <w:pPr>
        <w:pStyle w:val="ParaNum"/>
        <w:widowControl/>
      </w:pPr>
      <w:r w:rsidRPr="00BB3BEF">
        <w:t xml:space="preserve">We </w:t>
      </w:r>
      <w:r w:rsidRPr="00BB3BEF" w:rsidR="00B57E07">
        <w:t>also</w:t>
      </w:r>
      <w:r w:rsidRPr="00BB3BEF" w:rsidR="00C60E92">
        <w:t xml:space="preserve"> expand </w:t>
      </w:r>
      <w:r w:rsidRPr="00BB3BEF" w:rsidR="00F57E02">
        <w:t xml:space="preserve">nationwide </w:t>
      </w:r>
      <w:r w:rsidRPr="00BB3BEF" w:rsidR="00C60E92">
        <w:t xml:space="preserve">our finding in the </w:t>
      </w:r>
      <w:r w:rsidRPr="00BB3BEF" w:rsidR="00C60E92">
        <w:rPr>
          <w:i/>
          <w:iCs/>
        </w:rPr>
        <w:t xml:space="preserve">Alaska Rates Database Waiver Order </w:t>
      </w:r>
      <w:r w:rsidRPr="00BB3BEF" w:rsidR="00C60E92">
        <w:t>that it is in the public interest to allow the use of a rural rate that has been approved</w:t>
      </w:r>
      <w:r w:rsidRPr="00BB3BEF">
        <w:t xml:space="preserve"> </w:t>
      </w:r>
      <w:r w:rsidRPr="00BB3BEF" w:rsidR="00F57E02">
        <w:t>for the same service at the same facility within the past three funding years.</w:t>
      </w:r>
      <w:r>
        <w:rPr>
          <w:rStyle w:val="FootnoteReference"/>
        </w:rPr>
        <w:footnoteReference w:id="51"/>
      </w:r>
      <w:r w:rsidRPr="00BB3BEF" w:rsidR="00F57E02">
        <w:t xml:space="preserve">  </w:t>
      </w:r>
      <w:r w:rsidR="005F0D62">
        <w:t xml:space="preserve">Permitting the use of previously-approved rural rates will </w:t>
      </w:r>
      <w:r w:rsidR="00683AC0">
        <w:t>both</w:t>
      </w:r>
      <w:r w:rsidR="008E21AC">
        <w:t xml:space="preserve"> reduce administrative burdens and </w:t>
      </w:r>
      <w:r w:rsidR="007C0CA4">
        <w:t xml:space="preserve">avoid repeating </w:t>
      </w:r>
      <w:r w:rsidR="00FA1FBA">
        <w:t>problems with cost</w:t>
      </w:r>
      <w:r w:rsidR="00E7676E">
        <w:t>-</w:t>
      </w:r>
      <w:r w:rsidR="00406573">
        <w:t>based rate submissions that have been resolved in the course of previous years’ rate approval processes.</w:t>
      </w:r>
      <w:r>
        <w:rPr>
          <w:rStyle w:val="FootnoteReference"/>
        </w:rPr>
        <w:footnoteReference w:id="52"/>
      </w:r>
      <w:r w:rsidR="00406573">
        <w:t xml:space="preserve">  </w:t>
      </w:r>
      <w:r w:rsidRPr="00BB3BEF" w:rsidR="00B57E07">
        <w:t xml:space="preserve">To </w:t>
      </w:r>
      <w:r w:rsidRPr="00BB3BEF" w:rsidR="006427AA">
        <w:t xml:space="preserve">minimize potential gamesmanship, if more than one such rate has been approved, the rural rate must be the most recently approved rate for that facility/service combination.  </w:t>
      </w:r>
      <w:r w:rsidRPr="00BB3BEF" w:rsidR="00235CDC">
        <w:t xml:space="preserve">The Commission also recognized in the </w:t>
      </w:r>
      <w:r w:rsidRPr="00BB3BEF" w:rsidR="00235CDC">
        <w:rPr>
          <w:i/>
          <w:iCs/>
        </w:rPr>
        <w:t>Promoting Telehealth Report and Order</w:t>
      </w:r>
      <w:r w:rsidRPr="00BB3BEF" w:rsidR="00235CDC">
        <w:t xml:space="preserve"> that rural rates for services similar to those requested by a particular applicant (including rates in the same geographic area) are good evidence of the appropriate rural rate for </w:t>
      </w:r>
      <w:r w:rsidRPr="00BB3BEF" w:rsidR="00235CDC">
        <w:t>a particular service at a particular facility.</w:t>
      </w:r>
      <w:r>
        <w:rPr>
          <w:rStyle w:val="FootnoteReference"/>
        </w:rPr>
        <w:footnoteReference w:id="53"/>
      </w:r>
      <w:r w:rsidRPr="00BB3BEF" w:rsidR="00235CDC">
        <w:t xml:space="preserve">  As such, if there is no approved rate for a particular facility/service combination, the health care provider and </w:t>
      </w:r>
      <w:r w:rsidRPr="00BB3BEF" w:rsidR="00BC6789">
        <w:t xml:space="preserve">its </w:t>
      </w:r>
      <w:r w:rsidRPr="00BB3BEF" w:rsidR="00235CDC">
        <w:t xml:space="preserve">carrier may use rural rates approved for the same or similar services to </w:t>
      </w:r>
      <w:r w:rsidRPr="00BB3BEF" w:rsidR="00717012">
        <w:t xml:space="preserve">the </w:t>
      </w:r>
      <w:r w:rsidRPr="00BB3BEF" w:rsidR="00235CDC">
        <w:t xml:space="preserve">facility with the same or similar geographic characteristics.  The health care provider or service provider should submit these rural rates to </w:t>
      </w:r>
      <w:r w:rsidR="002E10AC">
        <w:t>USAC</w:t>
      </w:r>
      <w:r w:rsidRPr="00BB3BEF" w:rsidR="00235CDC">
        <w:t xml:space="preserve"> with documentation showing that the rural rates were previously approved.  And if no such </w:t>
      </w:r>
      <w:r w:rsidRPr="00BB3BEF" w:rsidR="00235CDC">
        <w:t>comparables</w:t>
      </w:r>
      <w:r w:rsidRPr="00BB3BEF" w:rsidR="00235CDC">
        <w:t xml:space="preserve"> are available, the rural rate must be established using one of the preexisting methods.</w:t>
      </w:r>
      <w:r>
        <w:rPr>
          <w:rStyle w:val="FootnoteReference"/>
        </w:rPr>
        <w:footnoteReference w:id="54"/>
      </w:r>
    </w:p>
    <w:p w:rsidR="002C554F" w:rsidP="002C554F" w14:paraId="70BD648C" w14:textId="4BF527FB">
      <w:pPr>
        <w:pStyle w:val="ParaNum"/>
      </w:pPr>
      <w:r w:rsidRPr="001778E8">
        <w:rPr>
          <w:i/>
          <w:iCs/>
        </w:rPr>
        <w:t xml:space="preserve">Alaska Communications </w:t>
      </w:r>
      <w:r w:rsidRPr="001D0A17">
        <w:rPr>
          <w:i/>
          <w:iCs/>
        </w:rPr>
        <w:t xml:space="preserve">and GCI </w:t>
      </w:r>
      <w:r w:rsidRPr="008C398A">
        <w:rPr>
          <w:i/>
          <w:iCs/>
        </w:rPr>
        <w:t>Requests for C</w:t>
      </w:r>
      <w:r w:rsidRPr="000C15A8">
        <w:rPr>
          <w:i/>
          <w:iCs/>
        </w:rPr>
        <w:t>larification</w:t>
      </w:r>
      <w:r w:rsidRPr="00114762">
        <w:rPr>
          <w:i/>
          <w:iCs/>
        </w:rPr>
        <w:t xml:space="preserve">.  </w:t>
      </w:r>
      <w:r w:rsidRPr="00BB3BEF">
        <w:t>In response to the request</w:t>
      </w:r>
      <w:r>
        <w:t>s</w:t>
      </w:r>
      <w:r w:rsidRPr="00BB3BEF">
        <w:t xml:space="preserve"> submitted by Alaska Communications </w:t>
      </w:r>
      <w:r>
        <w:t>and GCI</w:t>
      </w:r>
      <w:r w:rsidR="00B733C7">
        <w:t>,</w:t>
      </w:r>
      <w:r>
        <w:t xml:space="preserve"> </w:t>
      </w:r>
      <w:r w:rsidRPr="00BB3BEF">
        <w:t xml:space="preserve">we clarify </w:t>
      </w:r>
      <w:r>
        <w:t xml:space="preserve">that for the purposes of the </w:t>
      </w:r>
      <w:r w:rsidRPr="001778E8">
        <w:rPr>
          <w:i/>
          <w:iCs/>
        </w:rPr>
        <w:t xml:space="preserve">Alaska Rates Database Waiver </w:t>
      </w:r>
      <w:r w:rsidRPr="008C398A">
        <w:rPr>
          <w:i/>
          <w:iCs/>
        </w:rPr>
        <w:t xml:space="preserve">Order </w:t>
      </w:r>
      <w:r>
        <w:t>and the waiver</w:t>
      </w:r>
      <w:r w:rsidR="003D792A">
        <w:t>s</w:t>
      </w:r>
      <w:r>
        <w:t xml:space="preserve"> we issue today, </w:t>
      </w:r>
      <w:r w:rsidRPr="00BB3BEF">
        <w:t xml:space="preserve">service providers may submit to </w:t>
      </w:r>
      <w:r>
        <w:t>USAC</w:t>
      </w:r>
      <w:r w:rsidRPr="00BB3BEF">
        <w:t xml:space="preserve"> rural rates approved within the past three years that are either </w:t>
      </w:r>
      <w:r>
        <w:t>(</w:t>
      </w:r>
      <w:r w:rsidRPr="00BB3BEF">
        <w:t>1) a</w:t>
      </w:r>
      <w:r>
        <w:t xml:space="preserve"> rate</w:t>
      </w:r>
      <w:r w:rsidRPr="00BB3BEF">
        <w:t xml:space="preserve"> lower</w:t>
      </w:r>
      <w:r>
        <w:t xml:space="preserve"> than the previously approved</w:t>
      </w:r>
      <w:r w:rsidRPr="00BB3BEF">
        <w:t xml:space="preserve"> rate for the same or similar service to the same facility </w:t>
      </w:r>
      <w:r>
        <w:t>or one with the</w:t>
      </w:r>
      <w:bookmarkStart w:id="5" w:name="_GoBack"/>
      <w:bookmarkEnd w:id="5"/>
      <w:r>
        <w:t xml:space="preserve"> same or similar geographic characteristics </w:t>
      </w:r>
      <w:r w:rsidRPr="00BB3BEF">
        <w:t xml:space="preserve">or </w:t>
      </w:r>
      <w:r>
        <w:t>(</w:t>
      </w:r>
      <w:r w:rsidRPr="00BB3BEF">
        <w:t>2) the same or lower rate as previously approved but for a higher bandwidth service than in previous funding years</w:t>
      </w:r>
      <w:r>
        <w:t>, including bandwidth that is more than 30 percent higher than in previous funding years, at the same facility or one with the same or similar geographic characteristics</w:t>
      </w:r>
      <w:r w:rsidRPr="00BB3BEF">
        <w:t>.</w:t>
      </w:r>
      <w:r>
        <w:rPr>
          <w:rStyle w:val="FootnoteReference"/>
        </w:rPr>
        <w:footnoteReference w:id="55"/>
      </w:r>
      <w:r w:rsidRPr="00BB3BEF">
        <w:t xml:space="preserve">  Approval of rural rates under these two scenarios is in the public interest and will result in reduced costs and/or improved service for the health care provider without additional cost to the Universal Service Fund.  </w:t>
      </w:r>
      <w:r>
        <w:t>W</w:t>
      </w:r>
      <w:r w:rsidRPr="00BB3BEF">
        <w:t xml:space="preserve">e </w:t>
      </w:r>
      <w:r>
        <w:t>decline GCI’s request that service providers be permitted to calculate rural rates by applying a per-Mbps calculation to a previously-approved rural rate.</w:t>
      </w:r>
      <w:r>
        <w:rPr>
          <w:rStyle w:val="FootnoteReference"/>
        </w:rPr>
        <w:footnoteReference w:id="56"/>
      </w:r>
      <w:r>
        <w:t xml:space="preserve">  The </w:t>
      </w:r>
      <w:r w:rsidR="00632774">
        <w:t>Commission</w:t>
      </w:r>
      <w:r w:rsidR="00F51570">
        <w:t xml:space="preserve"> previously</w:t>
      </w:r>
      <w:r w:rsidR="00632774">
        <w:t xml:space="preserve"> rejected the </w:t>
      </w:r>
      <w:r>
        <w:t xml:space="preserve">per-Mbps methodology </w:t>
      </w:r>
      <w:r w:rsidR="00FB6C17">
        <w:t xml:space="preserve">in the </w:t>
      </w:r>
      <w:r w:rsidR="00FB6C17">
        <w:rPr>
          <w:i/>
          <w:iCs/>
        </w:rPr>
        <w:t>Promoting Telehealth Report an</w:t>
      </w:r>
      <w:r w:rsidR="00345D40">
        <w:rPr>
          <w:i/>
          <w:iCs/>
        </w:rPr>
        <w:t xml:space="preserve">d Order </w:t>
      </w:r>
      <w:r w:rsidR="00345D40">
        <w:t xml:space="preserve">because rates must be based on the total price of the service </w:t>
      </w:r>
      <w:r w:rsidR="000B7D8D">
        <w:t xml:space="preserve">requested by the health care provider and basing rates </w:t>
      </w:r>
      <w:r w:rsidR="00632774">
        <w:t xml:space="preserve">for a service </w:t>
      </w:r>
      <w:r w:rsidR="000B7D8D">
        <w:t>on the per-Mbps price of a lower bandwidth service conflicts with the requirement that rates</w:t>
      </w:r>
      <w:r w:rsidR="003D2A80">
        <w:t xml:space="preserve"> compared to establish the median rates</w:t>
      </w:r>
      <w:r w:rsidR="000B7D8D">
        <w:t xml:space="preserve"> be functionally equivalent from the perspective of the end user</w:t>
      </w:r>
      <w:r>
        <w:t>.</w:t>
      </w:r>
      <w:r>
        <w:rPr>
          <w:rStyle w:val="FootnoteReference"/>
        </w:rPr>
        <w:footnoteReference w:id="57"/>
      </w:r>
      <w:r w:rsidR="00055216">
        <w:t xml:space="preserve"> </w:t>
      </w:r>
      <w:r w:rsidR="000C301D">
        <w:t xml:space="preserve"> </w:t>
      </w:r>
      <w:r>
        <w:t xml:space="preserve">Service providers may use a rural rate that </w:t>
      </w:r>
      <w:r w:rsidRPr="00BB3BEF">
        <w:t>has been approved for the same service at the same facility within the past three funding years</w:t>
      </w:r>
      <w:r>
        <w:t xml:space="preserve"> or rely on the three preexisting rate determination methods</w:t>
      </w:r>
      <w:r w:rsidRPr="00BB3BEF">
        <w:t>.</w:t>
      </w:r>
      <w:r>
        <w:rPr>
          <w:rStyle w:val="FootnoteReference"/>
        </w:rPr>
        <w:footnoteReference w:id="58"/>
      </w:r>
      <w:r w:rsidRPr="00BB3BEF">
        <w:t xml:space="preserve">  </w:t>
      </w:r>
    </w:p>
    <w:p w:rsidR="002C554F" w:rsidRPr="00BB3BEF" w:rsidP="002C554F" w14:paraId="2CC7513C" w14:textId="100C3129">
      <w:pPr>
        <w:pStyle w:val="ParaNum"/>
      </w:pPr>
      <w:r>
        <w:t xml:space="preserve">We also </w:t>
      </w:r>
      <w:r w:rsidRPr="00BB3BEF">
        <w:t>decline Alaska Communications</w:t>
      </w:r>
      <w:r>
        <w:t>’</w:t>
      </w:r>
      <w:r w:rsidRPr="00BB3BEF">
        <w:t xml:space="preserve"> request that we allow the use of rural rates for the same service at the same facility dating back to funding year 2017.</w:t>
      </w:r>
      <w:r>
        <w:rPr>
          <w:rStyle w:val="FootnoteReference"/>
        </w:rPr>
        <w:footnoteReference w:id="59"/>
      </w:r>
      <w:r w:rsidRPr="00BB3BEF">
        <w:t xml:space="preserve">  </w:t>
      </w:r>
      <w:r w:rsidR="007B2F11">
        <w:t xml:space="preserve">This </w:t>
      </w:r>
      <w:r w:rsidR="002151DF">
        <w:t>O</w:t>
      </w:r>
      <w:r w:rsidRPr="00BB3BEF">
        <w:t>rder waive</w:t>
      </w:r>
      <w:r w:rsidR="00570F89">
        <w:t>s</w:t>
      </w:r>
      <w:r w:rsidRPr="00BB3BEF">
        <w:t xml:space="preserve"> rules regarding use of the Rates Database for funding year</w:t>
      </w:r>
      <w:r w:rsidR="00570F89">
        <w:t>s</w:t>
      </w:r>
      <w:r w:rsidRPr="00BB3BEF">
        <w:t xml:space="preserve"> 2021</w:t>
      </w:r>
      <w:r w:rsidR="00570F89">
        <w:t xml:space="preserve"> and 2022</w:t>
      </w:r>
      <w:r w:rsidRPr="00BB3BEF">
        <w:t xml:space="preserve">.  Therefore, we clarify that our decision to allow rates from the “past three funding years” refers to funding year 2018, funding year 2019, and funding year 2020.  Limiting rural rates to the three most recent funding years preceding the waiver will limit the rural rates to those most recently approved and minimize </w:t>
      </w:r>
      <w:r>
        <w:t xml:space="preserve">the potential for </w:t>
      </w:r>
      <w:r w:rsidRPr="00BB3BEF">
        <w:t>gamesmanship.</w:t>
      </w:r>
      <w:r>
        <w:rPr>
          <w:rStyle w:val="FootnoteReference"/>
        </w:rPr>
        <w:footnoteReference w:id="60"/>
      </w:r>
      <w:r w:rsidRPr="00BB3BEF">
        <w:t xml:space="preserve">  </w:t>
      </w:r>
      <w:r>
        <w:t>Accordingly, in response to GCI’s request,</w:t>
      </w:r>
      <w:r>
        <w:rPr>
          <w:rStyle w:val="FootnoteReference"/>
        </w:rPr>
        <w:footnoteReference w:id="61"/>
      </w:r>
      <w:r>
        <w:t xml:space="preserve"> we affirm that service providers may rely on approved funding year 2020 rural rates.  Lastly, in response to GCI’s request, we clarify that service </w:t>
      </w:r>
      <w:r>
        <w:t>providers are not required to re-calculate rural rates when new information becomes available.</w:t>
      </w:r>
      <w:r>
        <w:rPr>
          <w:rStyle w:val="FootnoteReference"/>
        </w:rPr>
        <w:footnoteReference w:id="62"/>
      </w:r>
      <w:r>
        <w:t xml:space="preserve">  Rural rates for a funding year are final upon approval by the Commission or USAC.  </w:t>
      </w:r>
    </w:p>
    <w:p w:rsidR="000D50AD" w:rsidP="00871A2D" w14:paraId="3B580FB3" w14:textId="42BD832A">
      <w:pPr>
        <w:pStyle w:val="ParaNum"/>
      </w:pPr>
      <w:r w:rsidRPr="5DAB0409">
        <w:rPr>
          <w:i/>
          <w:iCs/>
        </w:rPr>
        <w:t>Urban Rates</w:t>
      </w:r>
      <w:r>
        <w:rPr>
          <w:i/>
          <w:iCs/>
        </w:rPr>
        <w:t xml:space="preserve"> Waiver</w:t>
      </w:r>
      <w:r w:rsidRPr="5DAB0409">
        <w:rPr>
          <w:i/>
          <w:iCs/>
        </w:rPr>
        <w:t xml:space="preserve">.  </w:t>
      </w:r>
      <w:r>
        <w:t>We also grant a waiver of section 54.604(a),</w:t>
      </w:r>
      <w:r>
        <w:rPr>
          <w:rStyle w:val="FootnoteReference"/>
        </w:rPr>
        <w:footnoteReference w:id="63"/>
      </w:r>
      <w:r>
        <w:t xml:space="preserve"> the requirement that applicants use the applicable urban rates available in the Rates Database, for all urban rates nationwide, including urban rates in Alaska</w:t>
      </w:r>
      <w:r w:rsidR="008D0A83">
        <w:t>, for funding years 2021 and 2022</w:t>
      </w:r>
      <w:r>
        <w:t xml:space="preserve">.  </w:t>
      </w:r>
    </w:p>
    <w:p w:rsidR="000D50AD" w:rsidP="000D50AD" w14:paraId="3C5F2C88" w14:textId="3298352D">
      <w:pPr>
        <w:pStyle w:val="ParaNum"/>
      </w:pPr>
      <w:r>
        <w:t>SHLB</w:t>
      </w:r>
      <w:r>
        <w:t xml:space="preserve"> and other stakeholders have identified examples of </w:t>
      </w:r>
      <w:r w:rsidR="005F5EA6">
        <w:t xml:space="preserve">apparent </w:t>
      </w:r>
      <w:r>
        <w:t xml:space="preserve">anomalies in the urban Rates Database in some states, including some instances where </w:t>
      </w:r>
      <w:r w:rsidR="007F75B0">
        <w:t xml:space="preserve">urban rates for lower bandwidths exceed urban rates for higher bandwidths </w:t>
      </w:r>
      <w:r w:rsidR="00BB586D">
        <w:t xml:space="preserve">for the same service </w:t>
      </w:r>
      <w:r w:rsidR="007F75B0">
        <w:t xml:space="preserve">and examples of where </w:t>
      </w:r>
      <w:r>
        <w:t>urban rates for some services exceed all rural rates for those services in a given state.</w:t>
      </w:r>
      <w:r>
        <w:rPr>
          <w:rStyle w:val="FootnoteReference"/>
        </w:rPr>
        <w:footnoteReference w:id="64"/>
      </w:r>
      <w:r>
        <w:t xml:space="preserve">  We find the evidence introduced to date regarding urban rates inconclusive and not necessarily definitive evidence that </w:t>
      </w:r>
      <w:r w:rsidRPr="00BB3BEF">
        <w:t xml:space="preserve">the </w:t>
      </w:r>
      <w:r>
        <w:t xml:space="preserve">urban </w:t>
      </w:r>
      <w:r w:rsidRPr="00BB3BEF">
        <w:t xml:space="preserve">rates in the Rates Database </w:t>
      </w:r>
      <w:r>
        <w:t>fail to</w:t>
      </w:r>
      <w:r w:rsidRPr="00BB3BEF">
        <w:t xml:space="preserve"> accurately reflect the relative cost of providing service in those areas</w:t>
      </w:r>
      <w:r>
        <w:t xml:space="preserve">.  Because there are generally more rates in the samples that determine the medians for urban rates than rural rates, it </w:t>
      </w:r>
      <w:r w:rsidR="005F5EA6">
        <w:t>is possible</w:t>
      </w:r>
      <w:r>
        <w:t>, on the whole, the urban rates generated by the Rates Database better reflect market conditions</w:t>
      </w:r>
      <w:r w:rsidR="007F75B0">
        <w:t xml:space="preserve"> than the rural rates generated by the Rates Database</w:t>
      </w:r>
      <w:r>
        <w:t xml:space="preserve">.  We are therefore not convinced that </w:t>
      </w:r>
      <w:r w:rsidRPr="00BB3BEF">
        <w:t xml:space="preserve">there are </w:t>
      </w:r>
      <w:r>
        <w:t>pervasive</w:t>
      </w:r>
      <w:r w:rsidRPr="00BB3BEF">
        <w:t xml:space="preserve"> nationwide anomalies with urban rates in the Rates Database</w:t>
      </w:r>
      <w:r>
        <w:t>.</w:t>
      </w:r>
      <w:r>
        <w:rPr>
          <w:rStyle w:val="FootnoteReference"/>
        </w:rPr>
        <w:footnoteReference w:id="65"/>
      </w:r>
      <w:r>
        <w:t xml:space="preserve">  In </w:t>
      </w:r>
      <w:r w:rsidR="00ED5E14">
        <w:t>some</w:t>
      </w:r>
      <w:r>
        <w:t xml:space="preserve"> cases, increased urban rates may reflect the Commission’s intent in the </w:t>
      </w:r>
      <w:r>
        <w:rPr>
          <w:i/>
          <w:iCs/>
        </w:rPr>
        <w:t xml:space="preserve">Promoting Telehealth Report and Order </w:t>
      </w:r>
      <w:r>
        <w:t>to eliminate artificially low urban rates.</w:t>
      </w:r>
      <w:r>
        <w:rPr>
          <w:rStyle w:val="FootnoteReference"/>
        </w:rPr>
        <w:footnoteReference w:id="66"/>
      </w:r>
      <w:r>
        <w:t xml:space="preserve"> </w:t>
      </w:r>
    </w:p>
    <w:p w:rsidR="000D50AD" w:rsidP="000D50AD" w14:paraId="2A3C2377" w14:textId="12F6D2B1">
      <w:pPr>
        <w:pStyle w:val="ParaNum"/>
      </w:pPr>
      <w:r>
        <w:t xml:space="preserve">However, we find that the </w:t>
      </w:r>
      <w:r w:rsidRPr="00BB3BEF">
        <w:t xml:space="preserve">circumstances where </w:t>
      </w:r>
      <w:r>
        <w:t xml:space="preserve">the urban rate at a bandwidth in a state exceeds the </w:t>
      </w:r>
      <w:r w:rsidR="00F37F6A">
        <w:t>urban</w:t>
      </w:r>
      <w:r>
        <w:t xml:space="preserve"> rate at a lower bandwidth in that state</w:t>
      </w:r>
      <w:r w:rsidR="007F75B0">
        <w:t>, an issue that we have flagged as problematic with respect to the rural rates,</w:t>
      </w:r>
      <w:r>
        <w:t xml:space="preserve"> merit further inquiry</w:t>
      </w:r>
      <w:r w:rsidR="007F75B0">
        <w:t xml:space="preserve"> and investigation</w:t>
      </w:r>
      <w:r>
        <w:t>.  We also recognize that the new, often higher, urban rates are being implemented at a time when health care providers, particularly those in rural areas, are experiencing significant financial hardships due to the ongoing COVID-19 pandemic and are particularly ill-prepared to absorb additional financial burdens.  Due to these unique circumstances, we grant a temporary waiver of the requirement that applicants use the applicable urban rates from the Rates Database while we further investigate to ensure that the Rates Database accurately determines the urban rate for similar services.</w:t>
      </w:r>
      <w:r w:rsidR="007F75B0">
        <w:t xml:space="preserve">  We conclude that a full waiver of section 54.604(a) is preferable to a waiver limited to specific situations.  A </w:t>
      </w:r>
      <w:r w:rsidR="00F8354A">
        <w:t xml:space="preserve">more narrow </w:t>
      </w:r>
      <w:r w:rsidR="007F75B0">
        <w:t xml:space="preserve">waiver, </w:t>
      </w:r>
      <w:r w:rsidR="00D10AF1">
        <w:t xml:space="preserve">limited </w:t>
      </w:r>
      <w:r w:rsidR="007F75B0">
        <w:t xml:space="preserve">for instance to only those situations where an urban rate at a lower bandwidth exceeds that of an urban rate for a higher bandwidth, </w:t>
      </w:r>
      <w:r w:rsidR="00D10AF1">
        <w:t>c</w:t>
      </w:r>
      <w:r w:rsidR="007F75B0">
        <w:t xml:space="preserve">ould create new administrative burdens for USAC as well as create the potential for gamesmanship and uncertainty for stakeholders.  </w:t>
      </w:r>
      <w:r>
        <w:t xml:space="preserve">        </w:t>
      </w:r>
    </w:p>
    <w:p w:rsidR="000D50AD" w:rsidRPr="00BB3BEF" w:rsidP="000D50AD" w14:paraId="60295FB3" w14:textId="77777777">
      <w:pPr>
        <w:pStyle w:val="ParaNum"/>
      </w:pPr>
      <w:r w:rsidRPr="00C93154">
        <w:rPr>
          <w:i/>
          <w:iCs/>
        </w:rPr>
        <w:t xml:space="preserve">Establishing Urban Rates.  </w:t>
      </w:r>
      <w:r>
        <w:t xml:space="preserve">As with rural rates, we conclude </w:t>
      </w:r>
      <w:r w:rsidRPr="00BB3BEF">
        <w:t xml:space="preserve">that it is in the public interest to allow </w:t>
      </w:r>
      <w:r>
        <w:t>health care providers nationwide to</w:t>
      </w:r>
      <w:r w:rsidRPr="00BB3BEF">
        <w:t xml:space="preserve"> use a</w:t>
      </w:r>
      <w:r>
        <w:t>n urban</w:t>
      </w:r>
      <w:r w:rsidRPr="00BB3BEF">
        <w:t xml:space="preserve"> rate that has been approved for the same service at the same facility within the past three funding years</w:t>
      </w:r>
      <w:r>
        <w:t>.</w:t>
      </w:r>
      <w:r>
        <w:rPr>
          <w:rStyle w:val="FootnoteReference"/>
        </w:rPr>
        <w:footnoteReference w:id="67"/>
      </w:r>
      <w:r w:rsidRPr="00BB3BEF">
        <w:t xml:space="preserve">  To minimize potential gamesmanship, if more </w:t>
      </w:r>
      <w:r w:rsidRPr="00BB3BEF">
        <w:t xml:space="preserve">than one such rate has been approved, the </w:t>
      </w:r>
      <w:r>
        <w:t>urban</w:t>
      </w:r>
      <w:r w:rsidRPr="00BB3BEF">
        <w:t xml:space="preserve"> rate must be the most recently approved rate for that facility/service combination.  </w:t>
      </w:r>
      <w:r>
        <w:t xml:space="preserve">If there is no approved urban rate for a particular facility/service combination, </w:t>
      </w:r>
      <w:r w:rsidRPr="00BB3BEF">
        <w:t xml:space="preserve">the health care provider may use </w:t>
      </w:r>
      <w:r>
        <w:t>an urban</w:t>
      </w:r>
      <w:r w:rsidRPr="00BB3BEF">
        <w:t xml:space="preserve"> rate approved for the same or similar services to </w:t>
      </w:r>
      <w:r>
        <w:t>a</w:t>
      </w:r>
      <w:r w:rsidRPr="00BB3BEF">
        <w:t xml:space="preserve"> facility with the same or similar geographic characteristics.</w:t>
      </w:r>
      <w:r>
        <w:rPr>
          <w:rStyle w:val="FootnoteReference"/>
        </w:rPr>
        <w:footnoteReference w:id="68"/>
      </w:r>
      <w:r w:rsidRPr="00BB3BEF">
        <w:t xml:space="preserve">   The health care provider or service provider should submit these </w:t>
      </w:r>
      <w:r>
        <w:t>urban</w:t>
      </w:r>
      <w:r w:rsidRPr="00BB3BEF">
        <w:t xml:space="preserve"> rates to </w:t>
      </w:r>
      <w:r>
        <w:t>USAC</w:t>
      </w:r>
      <w:r w:rsidRPr="00BB3BEF">
        <w:t xml:space="preserve"> with documentation showing that the </w:t>
      </w:r>
      <w:r>
        <w:t>urban</w:t>
      </w:r>
      <w:r w:rsidRPr="00BB3BEF">
        <w:t xml:space="preserve"> rates were previously approved</w:t>
      </w:r>
      <w:r>
        <w:t>.  I</w:t>
      </w:r>
      <w:r w:rsidRPr="00BB3BEF">
        <w:t xml:space="preserve">f no such </w:t>
      </w:r>
      <w:r w:rsidRPr="00BB3BEF">
        <w:t>comparables</w:t>
      </w:r>
      <w:r w:rsidRPr="00BB3BEF">
        <w:t xml:space="preserve"> are available, the </w:t>
      </w:r>
      <w:r>
        <w:t>urban</w:t>
      </w:r>
      <w:r w:rsidRPr="00BB3BEF">
        <w:t xml:space="preserve"> rate must be established using the preexisting</w:t>
      </w:r>
      <w:r>
        <w:t xml:space="preserve"> rule</w:t>
      </w:r>
      <w:r w:rsidRPr="00BB3BEF">
        <w:t>.</w:t>
      </w:r>
      <w:r>
        <w:rPr>
          <w:rStyle w:val="FootnoteReference"/>
        </w:rPr>
        <w:footnoteReference w:id="69"/>
      </w:r>
    </w:p>
    <w:p w:rsidR="00BB586D" w:rsidP="002E7908" w14:paraId="4D9408D2" w14:textId="0AE96D6A">
      <w:pPr>
        <w:pStyle w:val="ParaNum"/>
      </w:pPr>
      <w:r w:rsidRPr="00D348C6">
        <w:rPr>
          <w:i/>
        </w:rPr>
        <w:t xml:space="preserve">Filing </w:t>
      </w:r>
      <w:r w:rsidR="00B071E2">
        <w:rPr>
          <w:i/>
          <w:iCs/>
        </w:rPr>
        <w:t>F</w:t>
      </w:r>
      <w:r w:rsidRPr="00D348C6">
        <w:rPr>
          <w:i/>
        </w:rPr>
        <w:t xml:space="preserve">unding </w:t>
      </w:r>
      <w:r w:rsidR="00EB4757">
        <w:rPr>
          <w:i/>
          <w:iCs/>
        </w:rPr>
        <w:t>R</w:t>
      </w:r>
      <w:r w:rsidRPr="00D348C6">
        <w:rPr>
          <w:i/>
        </w:rPr>
        <w:t>equests.</w:t>
      </w:r>
      <w:r>
        <w:t xml:space="preserve">  </w:t>
      </w:r>
      <w:r w:rsidRPr="00BB3BEF" w:rsidR="006354AC">
        <w:t>The current version of the FCC Form 466 (</w:t>
      </w:r>
      <w:r w:rsidRPr="00BB3BEF" w:rsidR="00014EFB">
        <w:t xml:space="preserve">Funding Request Form) </w:t>
      </w:r>
      <w:r w:rsidRPr="00BB3BEF" w:rsidR="00115967">
        <w:t>automatically populates</w:t>
      </w:r>
      <w:r w:rsidRPr="00BB3BEF" w:rsidR="0085104E">
        <w:t xml:space="preserve"> </w:t>
      </w:r>
      <w:r w:rsidRPr="00BB3BEF" w:rsidR="006354AC">
        <w:t>the median</w:t>
      </w:r>
      <w:r w:rsidRPr="00BB3BEF" w:rsidR="00A82679">
        <w:t xml:space="preserve"> </w:t>
      </w:r>
      <w:r w:rsidR="00D3623E">
        <w:t xml:space="preserve">urban and </w:t>
      </w:r>
      <w:r w:rsidRPr="00BB3BEF" w:rsidR="00A82679">
        <w:t>rural rate</w:t>
      </w:r>
      <w:r w:rsidR="00D3623E">
        <w:t>s</w:t>
      </w:r>
      <w:r w:rsidRPr="00BB3BEF" w:rsidR="00A82679">
        <w:t xml:space="preserve"> calculated </w:t>
      </w:r>
      <w:r w:rsidRPr="00BB3BEF" w:rsidR="005F1394">
        <w:t>in</w:t>
      </w:r>
      <w:r w:rsidRPr="00BB3BEF" w:rsidR="00A82679">
        <w:t xml:space="preserve"> the Rates Database</w:t>
      </w:r>
      <w:r w:rsidRPr="00BB3BEF" w:rsidR="00227EBE">
        <w:t xml:space="preserve"> and does not allow for hea</w:t>
      </w:r>
      <w:r w:rsidRPr="00BB3BEF" w:rsidR="00ED2697">
        <w:t xml:space="preserve">lth care providers to change </w:t>
      </w:r>
      <w:r w:rsidR="00D3623E">
        <w:t>these</w:t>
      </w:r>
      <w:r w:rsidRPr="00BB3BEF" w:rsidR="00D3623E">
        <w:t xml:space="preserve"> </w:t>
      </w:r>
      <w:r w:rsidRPr="00BB3BEF" w:rsidR="00ED2697">
        <w:t>rate</w:t>
      </w:r>
      <w:r w:rsidR="00D3623E">
        <w:t>s</w:t>
      </w:r>
      <w:r w:rsidRPr="00BB3BEF" w:rsidR="00ED2697">
        <w:t xml:space="preserve">.  As result of today’s waiver, the </w:t>
      </w:r>
      <w:r w:rsidR="00FA0B7F">
        <w:t xml:space="preserve">urban and </w:t>
      </w:r>
      <w:r w:rsidRPr="00BB3BEF" w:rsidR="00ED2697">
        <w:t>rural rate</w:t>
      </w:r>
      <w:r w:rsidR="00FA0B7F">
        <w:t>s</w:t>
      </w:r>
      <w:r w:rsidRPr="00BB3BEF" w:rsidR="00ED2697">
        <w:t xml:space="preserve"> that </w:t>
      </w:r>
      <w:r w:rsidRPr="00BB3BEF" w:rsidR="00D71407">
        <w:t xml:space="preserve">automatically </w:t>
      </w:r>
      <w:r w:rsidRPr="00BB3BEF" w:rsidR="00ED2697">
        <w:t xml:space="preserve">appear on </w:t>
      </w:r>
      <w:r w:rsidRPr="00BB3BEF" w:rsidR="001602B7">
        <w:t>a health care provider’s FCC Form 466</w:t>
      </w:r>
      <w:r w:rsidRPr="00BB3BEF" w:rsidR="002A1959">
        <w:t xml:space="preserve">, and the </w:t>
      </w:r>
      <w:r w:rsidRPr="00BB3BEF" w:rsidR="00000466">
        <w:t>requested</w:t>
      </w:r>
      <w:r w:rsidRPr="00BB3BEF" w:rsidR="002A1959">
        <w:t xml:space="preserve"> funding commitment listed on the FCC Form 466</w:t>
      </w:r>
      <w:r w:rsidRPr="00BB3BEF" w:rsidR="005C044F">
        <w:t xml:space="preserve">, will </w:t>
      </w:r>
      <w:r w:rsidRPr="00BB3BEF" w:rsidR="00DB0642">
        <w:t xml:space="preserve">no longer be accurate </w:t>
      </w:r>
      <w:r w:rsidRPr="00BB3BEF" w:rsidR="006354AC">
        <w:t xml:space="preserve">for health care providers </w:t>
      </w:r>
      <w:r w:rsidRPr="00BB3BEF" w:rsidR="00B908FE">
        <w:t>seeking Telecom Program support</w:t>
      </w:r>
      <w:r w:rsidRPr="00BB3BEF" w:rsidR="006354AC">
        <w:t xml:space="preserve"> </w:t>
      </w:r>
      <w:r w:rsidRPr="00BB3BEF" w:rsidR="00DB0642">
        <w:t xml:space="preserve">because </w:t>
      </w:r>
      <w:r w:rsidRPr="00BB3BEF" w:rsidR="00FD6452">
        <w:t>th</w:t>
      </w:r>
      <w:r w:rsidR="00FD6452">
        <w:t>ose</w:t>
      </w:r>
      <w:r w:rsidRPr="00BB3BEF" w:rsidR="00FD6452">
        <w:t xml:space="preserve"> </w:t>
      </w:r>
      <w:r w:rsidRPr="00BB3BEF" w:rsidR="006959EF">
        <w:t>rate</w:t>
      </w:r>
      <w:r w:rsidR="00FA0B7F">
        <w:t>s</w:t>
      </w:r>
      <w:r w:rsidRPr="00BB3BEF" w:rsidR="00DB0642">
        <w:t xml:space="preserve"> will </w:t>
      </w:r>
      <w:r w:rsidRPr="00BB3BEF" w:rsidR="001A14AC">
        <w:t>be</w:t>
      </w:r>
      <w:r w:rsidRPr="00BB3BEF" w:rsidR="00916314">
        <w:t xml:space="preserve"> generated by the Rates </w:t>
      </w:r>
      <w:r w:rsidRPr="00BB3BEF" w:rsidR="00C9538C">
        <w:t>Database</w:t>
      </w:r>
      <w:r w:rsidRPr="00BB3BEF" w:rsidR="00EB324B">
        <w:t xml:space="preserve"> rather than </w:t>
      </w:r>
      <w:r w:rsidRPr="00BB3BEF" w:rsidR="006354AC">
        <w:t xml:space="preserve">by </w:t>
      </w:r>
      <w:r w:rsidRPr="00BB3BEF" w:rsidR="00EB324B">
        <w:t xml:space="preserve">the </w:t>
      </w:r>
      <w:r w:rsidR="00185892">
        <w:t>procedures</w:t>
      </w:r>
      <w:r w:rsidRPr="00BB3BEF" w:rsidR="00185892">
        <w:t xml:space="preserve"> </w:t>
      </w:r>
      <w:r w:rsidRPr="00BB3BEF" w:rsidR="00BB390A">
        <w:t xml:space="preserve">for determining </w:t>
      </w:r>
      <w:r w:rsidR="00185892">
        <w:t xml:space="preserve">urban and </w:t>
      </w:r>
      <w:r w:rsidRPr="00BB3BEF" w:rsidR="00E7655D">
        <w:t xml:space="preserve">rural </w:t>
      </w:r>
      <w:r w:rsidRPr="00BB3BEF" w:rsidR="00BB390A">
        <w:t>rates</w:t>
      </w:r>
      <w:r w:rsidRPr="00BB3BEF" w:rsidR="005E4423">
        <w:t xml:space="preserve"> </w:t>
      </w:r>
      <w:r w:rsidRPr="00BB3BEF" w:rsidR="00BA0E90">
        <w:t xml:space="preserve">that will </w:t>
      </w:r>
      <w:r w:rsidRPr="00BB3BEF" w:rsidR="00E7655D">
        <w:t xml:space="preserve">apply </w:t>
      </w:r>
      <w:r w:rsidRPr="00BB3BEF" w:rsidR="00431F80">
        <w:t>pursuant to thi</w:t>
      </w:r>
      <w:r w:rsidRPr="00BB3BEF" w:rsidR="00510191">
        <w:t xml:space="preserve">s </w:t>
      </w:r>
      <w:r w:rsidR="002151DF">
        <w:t>O</w:t>
      </w:r>
      <w:r w:rsidRPr="00BB3BEF" w:rsidR="00510191">
        <w:t>rder</w:t>
      </w:r>
      <w:r w:rsidRPr="00BB3BEF" w:rsidR="001466FB">
        <w:t xml:space="preserve">.  </w:t>
      </w:r>
      <w:r w:rsidR="00EC7034">
        <w:t>With respect to rural rates</w:t>
      </w:r>
      <w:r w:rsidR="00CD191F">
        <w:t xml:space="preserve"> for </w:t>
      </w:r>
      <w:r w:rsidR="00D10AF1">
        <w:t>f</w:t>
      </w:r>
      <w:r w:rsidR="00CD191F">
        <w:t xml:space="preserve">unding </w:t>
      </w:r>
      <w:r w:rsidR="00D10AF1">
        <w:t>y</w:t>
      </w:r>
      <w:r w:rsidR="00CD191F">
        <w:t>ear 2021</w:t>
      </w:r>
      <w:r w:rsidR="00EC7034">
        <w:t>, a</w:t>
      </w:r>
      <w:r w:rsidR="00BB4A92">
        <w:t xml:space="preserve">s we provided in the </w:t>
      </w:r>
      <w:r w:rsidR="00BB4A92">
        <w:rPr>
          <w:i/>
          <w:iCs/>
        </w:rPr>
        <w:t>Alaska Rates Database Waiver Order</w:t>
      </w:r>
      <w:r w:rsidR="00BB4A92">
        <w:t>, i</w:t>
      </w:r>
      <w:r w:rsidRPr="00BB3BEF" w:rsidR="006354AC">
        <w:t xml:space="preserve">f a service provider is able to provide applicants with </w:t>
      </w:r>
      <w:r w:rsidRPr="00BB3BEF" w:rsidR="00E7655D">
        <w:t xml:space="preserve">an appropriate rural rate as determined by the contours of this </w:t>
      </w:r>
      <w:r w:rsidR="00D66B27">
        <w:t>O</w:t>
      </w:r>
      <w:r w:rsidRPr="00BB3BEF" w:rsidR="00D66B27">
        <w:t xml:space="preserve">rder </w:t>
      </w:r>
      <w:r w:rsidRPr="00BB3BEF" w:rsidR="006354AC">
        <w:t>before the filing of an FCC Form 466, we encourage the health care provider to enter that rural rate into Line 33 (rural rate per month per service agreement) of the application and upload supporting documentation</w:t>
      </w:r>
      <w:r w:rsidR="00C85ABE">
        <w:t xml:space="preserve"> such as a Funding Commitment Letter or rate approval letter</w:t>
      </w:r>
      <w:r w:rsidRPr="00BB3BEF" w:rsidR="006354AC">
        <w:t>.</w:t>
      </w:r>
      <w:r>
        <w:rPr>
          <w:rStyle w:val="FootnoteReference"/>
        </w:rPr>
        <w:footnoteReference w:id="70"/>
      </w:r>
      <w:r w:rsidRPr="00BB3BEF" w:rsidR="006354AC">
        <w:t xml:space="preserve">  If the applicant does not enter </w:t>
      </w:r>
      <w:r w:rsidRPr="00BB3BEF" w:rsidR="00E7655D">
        <w:t>such a rural rate</w:t>
      </w:r>
      <w:r w:rsidRPr="00BB3BEF" w:rsidR="006354AC">
        <w:t xml:space="preserve">, we direct </w:t>
      </w:r>
      <w:r w:rsidR="00D66B27">
        <w:t>USAC</w:t>
      </w:r>
      <w:r w:rsidRPr="00BB3BEF" w:rsidR="006354AC">
        <w:t xml:space="preserve"> to conduct outreach to determine that rural rate.  </w:t>
      </w:r>
    </w:p>
    <w:p w:rsidR="00CD191F" w:rsidRPr="00BB3BEF" w:rsidP="00CD191F" w14:paraId="71B979D4" w14:textId="4241B522">
      <w:pPr>
        <w:pStyle w:val="ParaNum"/>
      </w:pPr>
      <w:r>
        <w:t xml:space="preserve">With respect to </w:t>
      </w:r>
      <w:r w:rsidR="009D53E9">
        <w:t>urban rates</w:t>
      </w:r>
      <w:r>
        <w:t xml:space="preserve"> for </w:t>
      </w:r>
      <w:r w:rsidR="00D10AF1">
        <w:t>f</w:t>
      </w:r>
      <w:r>
        <w:t xml:space="preserve">unding </w:t>
      </w:r>
      <w:r w:rsidR="00D10AF1">
        <w:t>y</w:t>
      </w:r>
      <w:r>
        <w:t>ear 2021</w:t>
      </w:r>
      <w:r w:rsidR="009D53E9">
        <w:t>,</w:t>
      </w:r>
      <w:r w:rsidR="00BB586D">
        <w:t xml:space="preserve"> health care providers should </w:t>
      </w:r>
      <w:r w:rsidR="00B92D55">
        <w:t>upload</w:t>
      </w:r>
      <w:r w:rsidR="00BB586D">
        <w:t xml:space="preserve"> to their FCC Fo</w:t>
      </w:r>
      <w:r w:rsidR="00D10AF1">
        <w:t>r</w:t>
      </w:r>
      <w:r w:rsidR="00BB586D">
        <w:t xml:space="preserve">m 466 documentation substantiating their urban rate, whether it be documentation supporting a previously-approved urban rate </w:t>
      </w:r>
      <w:r w:rsidR="002562BB">
        <w:t xml:space="preserve">such as a Funding Commitment Letter </w:t>
      </w:r>
      <w:r w:rsidR="00AD5FF0">
        <w:t xml:space="preserve">or other record containing the funding request number </w:t>
      </w:r>
      <w:r w:rsidR="00DF0D82">
        <w:t xml:space="preserve">associated with the previously-approved urban rate </w:t>
      </w:r>
      <w:r w:rsidR="00BB586D">
        <w:t xml:space="preserve">or documentation substantiating their urban rate under the preexisting rule.  </w:t>
      </w:r>
      <w:r w:rsidR="00B1484B">
        <w:t xml:space="preserve">If </w:t>
      </w:r>
      <w:r w:rsidR="00BB586D">
        <w:t xml:space="preserve">a health care provider does not </w:t>
      </w:r>
      <w:r w:rsidR="00A91A04">
        <w:t>upload</w:t>
      </w:r>
      <w:r w:rsidR="00BB586D">
        <w:t xml:space="preserve"> such documentation to its FCC Form </w:t>
      </w:r>
      <w:r w:rsidR="00BB586D">
        <w:t>466, or</w:t>
      </w:r>
      <w:r w:rsidR="00BB586D">
        <w:t xml:space="preserve"> </w:t>
      </w:r>
      <w:r w:rsidR="00D10AF1">
        <w:t xml:space="preserve">had </w:t>
      </w:r>
      <w:r w:rsidR="00BB586D">
        <w:t>filed an FCC Form 466 before the release of this Order, we direct USAC to conduct outreach to obtain it.  In the even</w:t>
      </w:r>
      <w:r w:rsidR="00B1484B">
        <w:t>t</w:t>
      </w:r>
      <w:r w:rsidR="00BB586D">
        <w:t xml:space="preserve"> that a health care provider does </w:t>
      </w:r>
      <w:r w:rsidR="00B1484B">
        <w:t>not provide this documentation to USAC, we direct USAC to u</w:t>
      </w:r>
      <w:r>
        <w:t>se</w:t>
      </w:r>
      <w:r w:rsidR="00B1484B">
        <w:t xml:space="preserve"> the previously-approved urban rate for the particular facility/service combination or, </w:t>
      </w:r>
      <w:r>
        <w:t xml:space="preserve">if </w:t>
      </w:r>
      <w:r w:rsidR="00B1484B">
        <w:t>that does not exist, an urban</w:t>
      </w:r>
      <w:r w:rsidRPr="00BB3BEF" w:rsidR="00B1484B">
        <w:t xml:space="preserve"> rate approved for the same or similar services to </w:t>
      </w:r>
      <w:r w:rsidR="00B1484B">
        <w:t>a</w:t>
      </w:r>
      <w:r w:rsidRPr="00BB3BEF" w:rsidR="00B1484B">
        <w:t xml:space="preserve"> facility with the same or similar geographic characteristics</w:t>
      </w:r>
      <w:r w:rsidR="00B1484B">
        <w:t>.  In the rare event in which there is no previously-approved urban rate for the particular facility/service combination or for the same or similar services to a facility with the same or similar geographic characteristics, we direct USAC to use the urban rate generated by the Rates Database instead of denying the health care provider’s funding request.</w:t>
      </w:r>
      <w:r>
        <w:t xml:space="preserve">   To obviate the need for the manual </w:t>
      </w:r>
      <w:r w:rsidR="008D0C98">
        <w:t xml:space="preserve">rural and urban </w:t>
      </w:r>
      <w:r>
        <w:t xml:space="preserve">rate review and outreach outlined above for </w:t>
      </w:r>
      <w:r w:rsidR="00D10AF1">
        <w:t>f</w:t>
      </w:r>
      <w:r>
        <w:t xml:space="preserve">unding </w:t>
      </w:r>
      <w:r w:rsidR="00D10AF1">
        <w:t>y</w:t>
      </w:r>
      <w:r>
        <w:t>ear 2022, we direct USAC to make the necessary revisions to FCC Form 466 in order to accommodate the rural and urban rates waivers that we issue in t</w:t>
      </w:r>
      <w:r w:rsidR="00661C4A">
        <w:t>oday’s</w:t>
      </w:r>
      <w:r>
        <w:t xml:space="preserve"> Order in time for</w:t>
      </w:r>
      <w:r w:rsidR="008D0C98">
        <w:t xml:space="preserve"> use by applicants in</w:t>
      </w:r>
      <w:r>
        <w:t xml:space="preserve"> </w:t>
      </w:r>
      <w:r w:rsidR="00D10AF1">
        <w:t>f</w:t>
      </w:r>
      <w:r>
        <w:t xml:space="preserve">unding </w:t>
      </w:r>
      <w:r w:rsidR="00D10AF1">
        <w:t>y</w:t>
      </w:r>
      <w:r>
        <w:t xml:space="preserve">ear 2022.  </w:t>
      </w:r>
    </w:p>
    <w:p w:rsidR="005B68AB" w:rsidRPr="00BB3BEF" w:rsidP="005B68AB" w14:paraId="72A2F1AC" w14:textId="54BA8074">
      <w:pPr>
        <w:pStyle w:val="ParaNum"/>
      </w:pPr>
      <w:r w:rsidRPr="5DAB0409">
        <w:rPr>
          <w:i/>
          <w:iCs/>
        </w:rPr>
        <w:t xml:space="preserve">Competitive </w:t>
      </w:r>
      <w:r w:rsidR="001A507A">
        <w:rPr>
          <w:i/>
          <w:iCs/>
        </w:rPr>
        <w:t>B</w:t>
      </w:r>
      <w:r w:rsidRPr="5DAB0409" w:rsidR="001A507A">
        <w:rPr>
          <w:i/>
          <w:iCs/>
        </w:rPr>
        <w:t>idding</w:t>
      </w:r>
      <w:r w:rsidRPr="5DAB0409">
        <w:rPr>
          <w:i/>
          <w:iCs/>
        </w:rPr>
        <w:t xml:space="preserve">.  </w:t>
      </w:r>
      <w:r w:rsidRPr="00BB3BEF" w:rsidR="006354AC">
        <w:t>We recognize that some health care providers</w:t>
      </w:r>
      <w:r w:rsidRPr="00BB3BEF" w:rsidR="00206769">
        <w:t xml:space="preserve"> may have already completed the competitive bidding process </w:t>
      </w:r>
      <w:r w:rsidRPr="00BB3BEF" w:rsidR="00284212">
        <w:t xml:space="preserve">for funding year 2021 </w:t>
      </w:r>
      <w:r w:rsidRPr="00BB3BEF" w:rsidR="00206769">
        <w:t xml:space="preserve">using </w:t>
      </w:r>
      <w:r w:rsidRPr="00BB3BEF" w:rsidR="00284212">
        <w:t>bids based on</w:t>
      </w:r>
      <w:r w:rsidR="0061042F">
        <w:t xml:space="preserve"> urban and</w:t>
      </w:r>
      <w:r w:rsidRPr="00BB3BEF" w:rsidR="00284212">
        <w:t xml:space="preserve"> </w:t>
      </w:r>
      <w:r w:rsidRPr="00BB3BEF" w:rsidR="00F33C77">
        <w:t xml:space="preserve">rural </w:t>
      </w:r>
      <w:r w:rsidRPr="00BB3BEF" w:rsidR="0017181B">
        <w:t xml:space="preserve">rates generated by the Rates Database.  </w:t>
      </w:r>
      <w:r w:rsidRPr="00BB3BEF" w:rsidR="00176C11">
        <w:t>To the extent necessary, we waive our competitive bidding rules to permit any health care provider</w:t>
      </w:r>
      <w:r w:rsidRPr="00BB3BEF" w:rsidR="00533C78">
        <w:t xml:space="preserve"> </w:t>
      </w:r>
      <w:r w:rsidRPr="00BB3BEF" w:rsidR="00FB6903">
        <w:t>that has completed the competitive bidding process to re-initiate</w:t>
      </w:r>
      <w:r w:rsidRPr="00BB3BEF" w:rsidR="00E842FF">
        <w:t xml:space="preserve"> a new competitive bidding process </w:t>
      </w:r>
      <w:r w:rsidRPr="00BB3BEF" w:rsidR="004B0827">
        <w:t xml:space="preserve">at its discretion </w:t>
      </w:r>
      <w:r w:rsidRPr="00BB3BEF" w:rsidR="00E842FF">
        <w:t>in light of today’s changes to the level of support available.</w:t>
      </w:r>
      <w:r>
        <w:rPr>
          <w:rStyle w:val="FootnoteReference"/>
        </w:rPr>
        <w:footnoteReference w:id="71"/>
      </w:r>
      <w:r w:rsidRPr="00BB3BEF" w:rsidR="00E842FF">
        <w:t xml:space="preserve"> </w:t>
      </w:r>
      <w:r w:rsidRPr="00BB3BEF" w:rsidR="008C4AF7">
        <w:t xml:space="preserve">Additionally, </w:t>
      </w:r>
      <w:r w:rsidRPr="00BB3BEF" w:rsidR="00AB69DD">
        <w:t>to the extent necessary</w:t>
      </w:r>
      <w:r w:rsidRPr="00BB3BEF" w:rsidR="008C4AF7">
        <w:t xml:space="preserve">, we waive program rules to permit service providers </w:t>
      </w:r>
      <w:r w:rsidRPr="00BB3BEF" w:rsidR="00E05E60">
        <w:t xml:space="preserve">who submitted bids </w:t>
      </w:r>
      <w:r w:rsidRPr="00BB3BEF" w:rsidR="00C87013">
        <w:t xml:space="preserve">based on </w:t>
      </w:r>
      <w:r w:rsidR="0061042F">
        <w:t xml:space="preserve">urban and rural </w:t>
      </w:r>
      <w:r w:rsidRPr="00BB3BEF" w:rsidR="00C87013">
        <w:t xml:space="preserve">rates available in the Rates Database </w:t>
      </w:r>
      <w:r w:rsidRPr="00BB3BEF" w:rsidR="00E05E60">
        <w:t xml:space="preserve">in response to Requests for Services </w:t>
      </w:r>
      <w:r w:rsidRPr="00BB3BEF" w:rsidR="00E72E44">
        <w:t>issue</w:t>
      </w:r>
      <w:r w:rsidRPr="00BB3BEF" w:rsidR="00C87013">
        <w:t>d</w:t>
      </w:r>
      <w:r w:rsidRPr="00BB3BEF" w:rsidR="00E72E44">
        <w:t xml:space="preserve"> by health care providers for funding year 2021 to </w:t>
      </w:r>
      <w:r w:rsidRPr="00BB3BEF" w:rsidR="00C87013">
        <w:t>submit new bids.</w:t>
      </w:r>
      <w:r>
        <w:rPr>
          <w:rStyle w:val="FootnoteReference"/>
        </w:rPr>
        <w:footnoteReference w:id="72"/>
      </w:r>
      <w:r w:rsidRPr="00BB3BEF" w:rsidR="00C87013">
        <w:t xml:space="preserve"> </w:t>
      </w:r>
      <w:r w:rsidRPr="00BB3BEF" w:rsidR="0057769A">
        <w:t xml:space="preserve"> </w:t>
      </w:r>
      <w:r w:rsidR="001B214C">
        <w:t xml:space="preserve">As we provided in the </w:t>
      </w:r>
      <w:r w:rsidR="001B214C">
        <w:rPr>
          <w:i/>
          <w:iCs/>
        </w:rPr>
        <w:t xml:space="preserve">Alaska Rates Database </w:t>
      </w:r>
      <w:r w:rsidR="00B86E2B">
        <w:rPr>
          <w:i/>
          <w:iCs/>
        </w:rPr>
        <w:t>W</w:t>
      </w:r>
      <w:r w:rsidR="001B214C">
        <w:rPr>
          <w:i/>
          <w:iCs/>
        </w:rPr>
        <w:t>aiver Order</w:t>
      </w:r>
      <w:r w:rsidR="001B214C">
        <w:t>,</w:t>
      </w:r>
      <w:r w:rsidR="001B214C">
        <w:rPr>
          <w:i/>
          <w:iCs/>
        </w:rPr>
        <w:t xml:space="preserve"> </w:t>
      </w:r>
      <w:r w:rsidRPr="00BB3BEF" w:rsidR="00B355A6">
        <w:t>health care provide</w:t>
      </w:r>
      <w:r w:rsidRPr="00BB3BEF" w:rsidR="00F375D7">
        <w:t>rs</w:t>
      </w:r>
      <w:r w:rsidR="00BB4A92">
        <w:t xml:space="preserve"> that choose to </w:t>
      </w:r>
      <w:r w:rsidR="001B214C">
        <w:t>re-initiate a new competitive bidding process</w:t>
      </w:r>
      <w:r w:rsidRPr="00BB3BEF" w:rsidR="00F375D7">
        <w:t xml:space="preserve"> must comply with all competitive bidding requirements, including </w:t>
      </w:r>
      <w:r w:rsidRPr="00BB3BEF" w:rsidR="005320DF">
        <w:t>conduc</w:t>
      </w:r>
      <w:r w:rsidRPr="00BB3BEF" w:rsidR="00293D0F">
        <w:t>t</w:t>
      </w:r>
      <w:r w:rsidRPr="00BB3BEF" w:rsidR="005320DF">
        <w:t xml:space="preserve">ing a fair and open competitive bidding process, </w:t>
      </w:r>
      <w:r w:rsidRPr="00BB3BEF" w:rsidR="00491BA8">
        <w:t xml:space="preserve">waiting 28 days </w:t>
      </w:r>
      <w:r w:rsidRPr="00BB3BEF" w:rsidR="00861966">
        <w:t>after pos</w:t>
      </w:r>
      <w:r w:rsidRPr="00BB3BEF" w:rsidR="00CA0D0D">
        <w:t xml:space="preserve">ting </w:t>
      </w:r>
      <w:r w:rsidRPr="00BB3BEF" w:rsidR="006864DA">
        <w:t xml:space="preserve">a </w:t>
      </w:r>
      <w:r w:rsidRPr="00BB3BEF" w:rsidR="00B52D3A">
        <w:t xml:space="preserve">Request for Services to make a bid selection, and </w:t>
      </w:r>
      <w:r w:rsidRPr="00BB3BEF" w:rsidR="0077439A">
        <w:t xml:space="preserve">selecting </w:t>
      </w:r>
      <w:r w:rsidRPr="00BB3BEF" w:rsidR="00D936CB">
        <w:t>the most cost-effective me</w:t>
      </w:r>
      <w:r w:rsidRPr="00BB3BEF" w:rsidR="004046C5">
        <w:t xml:space="preserve">ans of meeting its </w:t>
      </w:r>
      <w:r w:rsidRPr="00BB3BEF" w:rsidR="0098020A">
        <w:t>specific health care needs</w:t>
      </w:r>
      <w:r w:rsidRPr="00BB3BEF" w:rsidR="00125CA7">
        <w:t>.</w:t>
      </w:r>
      <w:r>
        <w:rPr>
          <w:rStyle w:val="FootnoteReference"/>
        </w:rPr>
        <w:footnoteReference w:id="73"/>
      </w:r>
    </w:p>
    <w:p w:rsidR="00671B8D" w:rsidRPr="00BB3BEF" w:rsidP="00671B8D" w14:paraId="23995583" w14:textId="187074E1">
      <w:pPr>
        <w:pStyle w:val="Heading2"/>
      </w:pPr>
      <w:r w:rsidRPr="00BB3BEF">
        <w:t>Administrative Deadlines and Requirements</w:t>
      </w:r>
    </w:p>
    <w:p w:rsidR="002151AB" w:rsidRPr="00BB3BEF" w:rsidP="002151AB" w14:paraId="53DF4CFE" w14:textId="660FDB0A">
      <w:pPr>
        <w:pStyle w:val="ParaNum"/>
      </w:pPr>
      <w:r>
        <w:t xml:space="preserve">We </w:t>
      </w:r>
      <w:r w:rsidRPr="00BB3BEF">
        <w:rPr>
          <w:szCs w:val="22"/>
        </w:rPr>
        <w:t xml:space="preserve">grant in part and </w:t>
      </w:r>
      <w:r>
        <w:rPr>
          <w:szCs w:val="22"/>
        </w:rPr>
        <w:t>deny</w:t>
      </w:r>
      <w:r w:rsidRPr="00BB3BEF">
        <w:rPr>
          <w:szCs w:val="22"/>
        </w:rPr>
        <w:t xml:space="preserve"> in part </w:t>
      </w:r>
      <w:r w:rsidR="00B458EA">
        <w:rPr>
          <w:szCs w:val="22"/>
        </w:rPr>
        <w:t>the</w:t>
      </w:r>
      <w:r w:rsidRPr="00BB3BEF">
        <w:rPr>
          <w:szCs w:val="22"/>
        </w:rPr>
        <w:t xml:space="preserve"> request for waivers filed by </w:t>
      </w:r>
      <w:r w:rsidRPr="00BB3BEF">
        <w:t xml:space="preserve">FG </w:t>
      </w:r>
      <w:r w:rsidR="008C2D86">
        <w:t xml:space="preserve">of the </w:t>
      </w:r>
      <w:r w:rsidRPr="00BB3BEF">
        <w:t>RHC</w:t>
      </w:r>
      <w:r w:rsidRPr="00BB3BEF">
        <w:t xml:space="preserve"> Program</w:t>
      </w:r>
      <w:r>
        <w:t xml:space="preserve"> </w:t>
      </w:r>
      <w:r w:rsidRPr="00BB3BEF">
        <w:t>service delivery deadline</w:t>
      </w:r>
      <w:r>
        <w:t>,</w:t>
      </w:r>
      <w:r w:rsidRPr="00BB3BEF">
        <w:t xml:space="preserve"> invoice filing deadline</w:t>
      </w:r>
      <w:r>
        <w:t>,</w:t>
      </w:r>
      <w:r w:rsidRPr="00BB3BEF">
        <w:t xml:space="preserve"> response deadline for USAC information requests</w:t>
      </w:r>
      <w:r>
        <w:t xml:space="preserve">, </w:t>
      </w:r>
      <w:r w:rsidRPr="00BB3BEF">
        <w:t>deadline</w:t>
      </w:r>
      <w:r>
        <w:t>s</w:t>
      </w:r>
      <w:r w:rsidRPr="00BB3BEF">
        <w:t xml:space="preserve"> for appeals and requests for waiver, and USAC audit and </w:t>
      </w:r>
      <w:r w:rsidRPr="00BB3BEF">
        <w:rPr>
          <w:rFonts w:cstheme="minorHAnsi"/>
          <w:shd w:val="clear" w:color="auto" w:fill="FFFFFF"/>
        </w:rPr>
        <w:t>PQA </w:t>
      </w:r>
      <w:r>
        <w:rPr>
          <w:rFonts w:cstheme="minorHAnsi"/>
          <w:shd w:val="clear" w:color="auto" w:fill="FFFFFF"/>
        </w:rPr>
        <w:t>activity</w:t>
      </w:r>
      <w:r w:rsidRPr="00BB3BEF">
        <w:t xml:space="preserve">.  </w:t>
      </w:r>
      <w:r w:rsidR="00220784">
        <w:rPr>
          <w:szCs w:val="22"/>
        </w:rPr>
        <w:t>We</w:t>
      </w:r>
      <w:r w:rsidRPr="00BB3BEF">
        <w:rPr>
          <w:szCs w:val="22"/>
        </w:rPr>
        <w:t xml:space="preserve"> find that good cause exists to grant </w:t>
      </w:r>
      <w:r>
        <w:t>a</w:t>
      </w:r>
      <w:r w:rsidRPr="00BB3BEF">
        <w:t xml:space="preserve"> </w:t>
      </w:r>
      <w:r>
        <w:t>one-year</w:t>
      </w:r>
      <w:r w:rsidRPr="00BB3BEF">
        <w:t xml:space="preserve"> extension of the service delivery deadline to June 30, 2022</w:t>
      </w:r>
      <w:r>
        <w:t>, to grant a</w:t>
      </w:r>
      <w:r w:rsidRPr="00BB3BEF">
        <w:t xml:space="preserve"> 120</w:t>
      </w:r>
      <w:r>
        <w:t>-</w:t>
      </w:r>
      <w:r w:rsidRPr="00BB3BEF">
        <w:t>day</w:t>
      </w:r>
      <w:r>
        <w:t xml:space="preserve"> extension</w:t>
      </w:r>
      <w:r w:rsidRPr="00BB3BEF">
        <w:t xml:space="preserve"> of the invoice filing deadline</w:t>
      </w:r>
      <w:r>
        <w:t xml:space="preserve"> for funding year 2020</w:t>
      </w:r>
      <w:r w:rsidR="0010310C">
        <w:t>,</w:t>
      </w:r>
      <w:r w:rsidR="00EE42A4">
        <w:t xml:space="preserve"> and </w:t>
      </w:r>
      <w:r w:rsidRPr="00BB3BEF">
        <w:rPr>
          <w:szCs w:val="22"/>
        </w:rPr>
        <w:t xml:space="preserve">to </w:t>
      </w:r>
      <w:r w:rsidRPr="00BB3BEF">
        <w:t>direct USAC to grant an extension of 28 days if the applicant requests the extension for an information request before the expiration of the initial 14-day deadline</w:t>
      </w:r>
      <w:r w:rsidR="00436B6E">
        <w:t xml:space="preserve"> for health care provides nationwide</w:t>
      </w:r>
      <w:r w:rsidRPr="00BB3BEF">
        <w:t xml:space="preserve">.  </w:t>
      </w:r>
      <w:r w:rsidR="00D66B27">
        <w:t>W</w:t>
      </w:r>
      <w:r w:rsidR="002274FF">
        <w:t>e do</w:t>
      </w:r>
      <w:r w:rsidRPr="00BB3BEF">
        <w:t xml:space="preserve"> not find good cause to automatically extend the deadlines for appeals and requests for waiver or </w:t>
      </w:r>
      <w:r>
        <w:t xml:space="preserve">to </w:t>
      </w:r>
      <w:r w:rsidRPr="00BB3BEF">
        <w:t xml:space="preserve">temporarily suspend USAC audit and </w:t>
      </w:r>
      <w:r w:rsidRPr="00BB3BEF">
        <w:rPr>
          <w:rFonts w:cstheme="minorHAnsi"/>
          <w:shd w:val="clear" w:color="auto" w:fill="FFFFFF"/>
        </w:rPr>
        <w:t>PQA</w:t>
      </w:r>
      <w:r w:rsidRPr="00BB3BEF">
        <w:rPr>
          <w:rFonts w:cstheme="minorHAnsi"/>
          <w:shd w:val="clear" w:color="auto" w:fill="FFFFFF"/>
        </w:rPr>
        <w:t> </w:t>
      </w:r>
      <w:r>
        <w:rPr>
          <w:rFonts w:cstheme="minorHAnsi"/>
          <w:shd w:val="clear" w:color="auto" w:fill="FFFFFF"/>
        </w:rPr>
        <w:t>activity</w:t>
      </w:r>
      <w:r w:rsidRPr="00BB3BEF">
        <w:rPr>
          <w:rFonts w:cstheme="minorHAnsi"/>
          <w:shd w:val="clear" w:color="auto" w:fill="FFFFFF"/>
        </w:rPr>
        <w:t>.</w:t>
      </w:r>
    </w:p>
    <w:p w:rsidR="009E375B" w:rsidRPr="00F34D72" w:rsidP="002B455D" w14:paraId="28DD49E9" w14:textId="6DC473E4">
      <w:pPr>
        <w:pStyle w:val="ParaNum"/>
      </w:pPr>
      <w:r w:rsidRPr="00740838">
        <w:t>We find that the</w:t>
      </w:r>
      <w:r>
        <w:t xml:space="preserve"> </w:t>
      </w:r>
      <w:r w:rsidRPr="00F34D72">
        <w:t>extensive</w:t>
      </w:r>
      <w:r>
        <w:t xml:space="preserve"> and ongoing</w:t>
      </w:r>
      <w:r w:rsidRPr="00F34D72">
        <w:t xml:space="preserve"> disruption</w:t>
      </w:r>
      <w:r>
        <w:t>s</w:t>
      </w:r>
      <w:r w:rsidRPr="00F34D72">
        <w:t xml:space="preserve"> to health care providers</w:t>
      </w:r>
      <w:r>
        <w:t xml:space="preserve"> caused by the</w:t>
      </w:r>
      <w:r w:rsidRPr="00740838">
        <w:t xml:space="preserve"> persistent and prolonged COVID-19</w:t>
      </w:r>
      <w:r>
        <w:t xml:space="preserve"> crisis</w:t>
      </w:r>
      <w:r w:rsidRPr="00740838">
        <w:t>, the</w:t>
      </w:r>
      <w:r>
        <w:t xml:space="preserve"> </w:t>
      </w:r>
      <w:r w:rsidRPr="00740838">
        <w:t>emergence</w:t>
      </w:r>
      <w:r>
        <w:t xml:space="preserve"> and</w:t>
      </w:r>
      <w:r w:rsidRPr="00740838">
        <w:t xml:space="preserve"> </w:t>
      </w:r>
      <w:r>
        <w:t>quick spreading</w:t>
      </w:r>
      <w:r w:rsidRPr="00740838">
        <w:t xml:space="preserve"> of the more contagious new variants, and the overwhelming burden </w:t>
      </w:r>
      <w:r>
        <w:t xml:space="preserve">placed on health care providers in administering </w:t>
      </w:r>
      <w:r w:rsidRPr="00740838">
        <w:t>COVID-19 testing and vaccines</w:t>
      </w:r>
      <w:r>
        <w:rPr>
          <w:rStyle w:val="FootnoteReference"/>
        </w:rPr>
        <w:footnoteReference w:id="74"/>
      </w:r>
      <w:r w:rsidRPr="00740838">
        <w:t xml:space="preserve"> present compelling and unique circumstances that merit </w:t>
      </w:r>
      <w:r w:rsidRPr="00F34D72">
        <w:t>waiver</w:t>
      </w:r>
      <w:r>
        <w:t>s</w:t>
      </w:r>
      <w:r w:rsidRPr="00F34D72">
        <w:t xml:space="preserve"> of our rules</w:t>
      </w:r>
      <w:r>
        <w:t xml:space="preserve"> and the additional relief discussed below</w:t>
      </w:r>
      <w:r w:rsidRPr="00740838">
        <w:t xml:space="preserve">. </w:t>
      </w:r>
      <w:r>
        <w:t xml:space="preserve"> </w:t>
      </w:r>
      <w:r w:rsidRPr="00740838">
        <w:rPr>
          <w:rFonts w:eastAsia="Calibri"/>
        </w:rPr>
        <w:t xml:space="preserve">We </w:t>
      </w:r>
      <w:r w:rsidR="00746AA7">
        <w:t>also</w:t>
      </w:r>
      <w:r>
        <w:t xml:space="preserve"> find</w:t>
      </w:r>
      <w:r w:rsidRPr="00740838">
        <w:rPr>
          <w:rFonts w:eastAsia="Calibri"/>
        </w:rPr>
        <w:t xml:space="preserve"> that it is in the public interest to </w:t>
      </w:r>
      <w:r>
        <w:rPr>
          <w:rFonts w:eastAsia="Calibri"/>
        </w:rPr>
        <w:t xml:space="preserve">take these actions </w:t>
      </w:r>
      <w:r w:rsidRPr="00740838">
        <w:t xml:space="preserve">to allow </w:t>
      </w:r>
      <w:r w:rsidRPr="00740838">
        <w:t>RHC</w:t>
      </w:r>
      <w:r w:rsidRPr="00740838">
        <w:t xml:space="preserve"> </w:t>
      </w:r>
      <w:r w:rsidR="0099277F">
        <w:t>P</w:t>
      </w:r>
      <w:r w:rsidRPr="00740838">
        <w:t xml:space="preserve">rogram </w:t>
      </w:r>
      <w:r w:rsidR="0099277F">
        <w:t>p</w:t>
      </w:r>
      <w:r w:rsidRPr="00740838">
        <w:t>articipants to focus their limited resources on</w:t>
      </w:r>
      <w:r w:rsidR="00B9347D">
        <w:t xml:space="preserve"> responding to COVID-19 an</w:t>
      </w:r>
      <w:r w:rsidR="00CA3610">
        <w:t xml:space="preserve">d </w:t>
      </w:r>
      <w:r w:rsidRPr="00740838">
        <w:t xml:space="preserve">providing critical health care to their patients.  </w:t>
      </w:r>
      <w:r>
        <w:t xml:space="preserve">We </w:t>
      </w:r>
      <w:r w:rsidR="00746AA7">
        <w:t>further</w:t>
      </w:r>
      <w:r>
        <w:t xml:space="preserve"> find that a</w:t>
      </w:r>
      <w:r w:rsidRPr="00740838">
        <w:t xml:space="preserve">ny potential costs to the </w:t>
      </w:r>
      <w:r w:rsidRPr="00740838">
        <w:t>RHC</w:t>
      </w:r>
      <w:r w:rsidRPr="00740838">
        <w:t xml:space="preserve"> Program that could result from th</w:t>
      </w:r>
      <w:r>
        <w:t xml:space="preserve">ese actions </w:t>
      </w:r>
      <w:r w:rsidRPr="00740838">
        <w:t>will be outweighed by the</w:t>
      </w:r>
      <w:r>
        <w:t>ir</w:t>
      </w:r>
      <w:r w:rsidRPr="00740838">
        <w:t xml:space="preserve"> benefit</w:t>
      </w:r>
      <w:r>
        <w:t>s.</w:t>
      </w:r>
    </w:p>
    <w:p w:rsidR="000D5C5F" w:rsidRPr="00F34D72" w:rsidP="000D5C5F" w14:paraId="62E8693E" w14:textId="0B9119B4">
      <w:pPr>
        <w:pStyle w:val="ParaNum"/>
      </w:pPr>
      <w:r w:rsidRPr="00BB3BEF">
        <w:rPr>
          <w:i/>
          <w:iCs/>
        </w:rPr>
        <w:t>Service Delivery Deadline</w:t>
      </w:r>
      <w:r>
        <w:rPr>
          <w:i/>
          <w:iCs/>
        </w:rPr>
        <w:t xml:space="preserve">. </w:t>
      </w:r>
      <w:r w:rsidRPr="00EF2C95">
        <w:t xml:space="preserve"> </w:t>
      </w:r>
      <w:r>
        <w:t>We</w:t>
      </w:r>
      <w:r w:rsidRPr="00EF2C95">
        <w:t xml:space="preserve"> </w:t>
      </w:r>
      <w:r w:rsidRPr="00251052">
        <w:t xml:space="preserve">waive </w:t>
      </w:r>
      <w:r>
        <w:t xml:space="preserve">the service delivery deadline in section 54.626(a) of the Commission’s rules for non-recurring services in the </w:t>
      </w:r>
      <w:r w:rsidR="00A574BD">
        <w:t>HCF</w:t>
      </w:r>
      <w:r>
        <w:t xml:space="preserve"> Program for funding year 2020 and extend that deadline an additional year.</w:t>
      </w:r>
      <w:r>
        <w:rPr>
          <w:rStyle w:val="FootnoteReference"/>
        </w:rPr>
        <w:footnoteReference w:id="75"/>
      </w:r>
      <w:r>
        <w:t xml:space="preserve">  Program rules require non-recurring services in the </w:t>
      </w:r>
      <w:r w:rsidR="00A574BD">
        <w:t>HCF</w:t>
      </w:r>
      <w:r>
        <w:t xml:space="preserve"> Program to be delivered by June 30 of the funding year for which services were sought.</w:t>
      </w:r>
      <w:r>
        <w:rPr>
          <w:rStyle w:val="FootnoteReference"/>
        </w:rPr>
        <w:footnoteReference w:id="76"/>
      </w:r>
      <w:r>
        <w:t xml:space="preserve">  Applicants may request a one-year extension of the service delivery deadline for non-recurring services (for example, </w:t>
      </w:r>
      <w:r>
        <w:t>construction and installation of network equipment) if the applicants meet one of four criteria.</w:t>
      </w:r>
      <w:r>
        <w:rPr>
          <w:rStyle w:val="FootnoteReference"/>
        </w:rPr>
        <w:footnoteReference w:id="77"/>
      </w:r>
      <w:r>
        <w:t xml:space="preserve"> </w:t>
      </w:r>
      <w:r w:rsidR="00D66B27">
        <w:t xml:space="preserve"> </w:t>
      </w:r>
      <w:r>
        <w:t>In the</w:t>
      </w:r>
      <w:r>
        <w:rPr>
          <w:i/>
          <w:iCs/>
        </w:rPr>
        <w:t xml:space="preserve"> </w:t>
      </w:r>
      <w:r w:rsidRPr="00416D98">
        <w:t>March 2020</w:t>
      </w:r>
      <w:r>
        <w:rPr>
          <w:i/>
          <w:iCs/>
        </w:rPr>
        <w:t xml:space="preserve"> </w:t>
      </w:r>
      <w:r w:rsidRPr="003053E2">
        <w:rPr>
          <w:i/>
          <w:iCs/>
        </w:rPr>
        <w:t>COVID-19</w:t>
      </w:r>
      <w:r w:rsidRPr="00BB3BEF" w:rsidR="00416D98">
        <w:rPr>
          <w:i/>
          <w:iCs/>
        </w:rPr>
        <w:t xml:space="preserve"> </w:t>
      </w:r>
      <w:r w:rsidRPr="00BB3BEF" w:rsidR="00416D98">
        <w:rPr>
          <w:i/>
          <w:iCs/>
        </w:rPr>
        <w:t>RHC</w:t>
      </w:r>
      <w:r w:rsidRPr="003053E2">
        <w:rPr>
          <w:i/>
          <w:iCs/>
        </w:rPr>
        <w:t xml:space="preserve"> Relief Order</w:t>
      </w:r>
      <w:r>
        <w:t>, the Bureau waived the service delivery deadline for non-recurring services in the</w:t>
      </w:r>
      <w:r w:rsidR="00A574BD">
        <w:t xml:space="preserve"> </w:t>
      </w:r>
      <w:r w:rsidR="00A574BD">
        <w:t>HCF</w:t>
      </w:r>
      <w:r>
        <w:t xml:space="preserve"> Program for </w:t>
      </w:r>
      <w:r w:rsidR="00914451">
        <w:t xml:space="preserve">funding year </w:t>
      </w:r>
      <w:r>
        <w:t>2019 and extended the deadline an additional year.</w:t>
      </w:r>
      <w:r>
        <w:rPr>
          <w:rStyle w:val="FootnoteReference"/>
        </w:rPr>
        <w:footnoteReference w:id="78"/>
      </w:r>
      <w:r>
        <w:t xml:space="preserve">  Given </w:t>
      </w:r>
      <w:r w:rsidR="00D66B27">
        <w:t xml:space="preserve">that </w:t>
      </w:r>
      <w:r>
        <w:t>COVID-19 continues to directly impact health care providers throughout the country,</w:t>
      </w:r>
      <w:r>
        <w:rPr>
          <w:rStyle w:val="FootnoteReference"/>
        </w:rPr>
        <w:footnoteReference w:id="79"/>
      </w:r>
      <w:r>
        <w:t xml:space="preserve"> we find a</w:t>
      </w:r>
      <w:r w:rsidR="007A50C0">
        <w:t>utomatically granting the</w:t>
      </w:r>
      <w:r>
        <w:t xml:space="preserve"> one-year extension of the service delivery deadline </w:t>
      </w:r>
      <w:r w:rsidR="007A50C0">
        <w:t>under section 54.626(b)</w:t>
      </w:r>
      <w:r w:rsidR="00464AED">
        <w:t xml:space="preserve"> for </w:t>
      </w:r>
      <w:r w:rsidR="00914451">
        <w:t xml:space="preserve">funding year </w:t>
      </w:r>
      <w:r w:rsidR="00464AED">
        <w:t>2020</w:t>
      </w:r>
      <w:r>
        <w:t xml:space="preserve"> is consistent with </w:t>
      </w:r>
      <w:r>
        <w:t>RHC</w:t>
      </w:r>
      <w:r>
        <w:t xml:space="preserve"> Program rules,</w:t>
      </w:r>
      <w:r>
        <w:rPr>
          <w:rStyle w:val="FootnoteReference"/>
        </w:rPr>
        <w:footnoteReference w:id="80"/>
      </w:r>
      <w:r>
        <w:t xml:space="preserve"> is in the public interest, and protects the integrity of the Program while easing administrative burdens on </w:t>
      </w:r>
      <w:r w:rsidR="00D66B27">
        <w:t xml:space="preserve">health care providers </w:t>
      </w:r>
      <w:r>
        <w:t>that are dedicating administrative resources to the ongoing CO</w:t>
      </w:r>
      <w:r w:rsidR="00CB5154">
        <w:t>V</w:t>
      </w:r>
      <w:r>
        <w:t>ID-19 pandemic and addressing any ongoing disruptions with supply chains.</w:t>
      </w:r>
    </w:p>
    <w:p w:rsidR="00FA5AD7" w:rsidRPr="00BB3BEF" w:rsidP="005D6874" w14:paraId="5BE0F5C0" w14:textId="45A90459">
      <w:pPr>
        <w:pStyle w:val="ParaNum"/>
        <w:widowControl/>
      </w:pPr>
      <w:r w:rsidRPr="00BB3BEF">
        <w:rPr>
          <w:i/>
          <w:iCs/>
        </w:rPr>
        <w:t>Invoice Filing Deadline</w:t>
      </w:r>
      <w:r w:rsidRPr="00BB3BEF">
        <w:t xml:space="preserve">.  </w:t>
      </w:r>
      <w:r w:rsidR="001736DA">
        <w:t>W</w:t>
      </w:r>
      <w:r w:rsidR="005478F8">
        <w:t>e</w:t>
      </w:r>
      <w:r w:rsidR="001736DA">
        <w:t xml:space="preserve"> also</w:t>
      </w:r>
      <w:r w:rsidR="005478F8">
        <w:t xml:space="preserve"> waive section 54.627(a) of the </w:t>
      </w:r>
      <w:r w:rsidR="005478F8">
        <w:t>RHC</w:t>
      </w:r>
      <w:r w:rsidR="005478F8">
        <w:t xml:space="preserve"> Program rules to provide all </w:t>
      </w:r>
      <w:r w:rsidR="005478F8">
        <w:t>RHC</w:t>
      </w:r>
      <w:r w:rsidR="005478F8">
        <w:t xml:space="preserve"> Program participants with a</w:t>
      </w:r>
      <w:r w:rsidR="0063636F">
        <w:t>n automatic</w:t>
      </w:r>
      <w:r w:rsidR="005478F8">
        <w:t xml:space="preserve"> 120-day extension of their invoice filing deadline</w:t>
      </w:r>
      <w:r w:rsidR="00844FF1">
        <w:t xml:space="preserve"> for </w:t>
      </w:r>
      <w:r w:rsidR="00914451">
        <w:t xml:space="preserve">funding year </w:t>
      </w:r>
      <w:r w:rsidR="00844FF1">
        <w:t>2020</w:t>
      </w:r>
      <w:r w:rsidR="005478F8">
        <w:t xml:space="preserve">.  </w:t>
      </w:r>
      <w:r w:rsidR="00763978">
        <w:t xml:space="preserve">Section 54.627(a) requires that </w:t>
      </w:r>
      <w:r w:rsidR="00763978">
        <w:t>RHC</w:t>
      </w:r>
      <w:r w:rsidR="00763978">
        <w:t xml:space="preserve"> Program participants submit invoices to USAC within 120 days after the later of: (1) the service delivery deadline; or (2) the date of a revised funding commitment letter issued pursuant to an approved post-commitment request made by the applicant or service provider or a successful appeal of a previously denied or reduced funding request.</w:t>
      </w:r>
      <w:r>
        <w:rPr>
          <w:rStyle w:val="FootnoteReference"/>
        </w:rPr>
        <w:footnoteReference w:id="81"/>
      </w:r>
      <w:r w:rsidR="00763978">
        <w:t xml:space="preserve">  </w:t>
      </w:r>
      <w:r w:rsidR="008A2756">
        <w:t>Program participants may request a one-time extension of the invoice filing deadline.</w:t>
      </w:r>
      <w:r>
        <w:rPr>
          <w:rStyle w:val="FootnoteReference"/>
        </w:rPr>
        <w:footnoteReference w:id="82"/>
      </w:r>
      <w:r w:rsidR="008A2756">
        <w:t xml:space="preserve">  </w:t>
      </w:r>
      <w:r w:rsidR="002534B7">
        <w:t>If the extension is timely requested, USAC is required to grant a 120-day extension.</w:t>
      </w:r>
      <w:r>
        <w:rPr>
          <w:rStyle w:val="FootnoteReference"/>
        </w:rPr>
        <w:footnoteReference w:id="83"/>
      </w:r>
      <w:r w:rsidR="002534B7">
        <w:t xml:space="preserve">  </w:t>
      </w:r>
      <w:r w:rsidR="006056EE">
        <w:t>W</w:t>
      </w:r>
      <w:r w:rsidR="003724C7">
        <w:t>e</w:t>
      </w:r>
      <w:r w:rsidR="003724C7">
        <w:t xml:space="preserve"> </w:t>
      </w:r>
      <w:r w:rsidR="006056EE">
        <w:t xml:space="preserve">recognize </w:t>
      </w:r>
      <w:r w:rsidR="003724C7">
        <w:t xml:space="preserve">that </w:t>
      </w:r>
      <w:r w:rsidR="003724C7">
        <w:t>RHC</w:t>
      </w:r>
      <w:r w:rsidR="003724C7">
        <w:t xml:space="preserve"> Program participants may have difficulty adhering to the invoicing deadline given the ongoing strain COVID-19 has placed on health care providers.  We </w:t>
      </w:r>
      <w:r w:rsidR="006056EE">
        <w:t xml:space="preserve">therefore find it appropriate to </w:t>
      </w:r>
      <w:r w:rsidR="003724C7">
        <w:t xml:space="preserve">automatically grant the 120-day extension currently available upon request to </w:t>
      </w:r>
      <w:r w:rsidR="003724C7">
        <w:t>H</w:t>
      </w:r>
      <w:r w:rsidR="00A574BD">
        <w:t>CF</w:t>
      </w:r>
      <w:r w:rsidR="003724C7">
        <w:t xml:space="preserve"> and Telecom Program participants for </w:t>
      </w:r>
      <w:r w:rsidR="00914451">
        <w:t xml:space="preserve">funding year </w:t>
      </w:r>
      <w:r w:rsidR="003724C7">
        <w:t>2020</w:t>
      </w:r>
      <w:r w:rsidR="00BE4030">
        <w:t xml:space="preserve">, which means that the invoice deadline for all </w:t>
      </w:r>
      <w:r w:rsidR="00BE4030">
        <w:t>RHC</w:t>
      </w:r>
      <w:r w:rsidR="00BE4030">
        <w:t xml:space="preserve"> Program participants wi</w:t>
      </w:r>
      <w:r w:rsidR="0073299D">
        <w:t xml:space="preserve">ll be 240 days after the service delivery deadline </w:t>
      </w:r>
      <w:r w:rsidR="0073299D">
        <w:t>o</w:t>
      </w:r>
      <w:r w:rsidR="005C60F9">
        <w:t>r</w:t>
      </w:r>
      <w:r w:rsidR="00C0546B">
        <w:t xml:space="preserve"> the</w:t>
      </w:r>
      <w:r w:rsidR="0073299D">
        <w:t xml:space="preserve"> date of a revised </w:t>
      </w:r>
      <w:r w:rsidR="00096CCD">
        <w:t>funding commitment letter</w:t>
      </w:r>
      <w:r w:rsidR="003724C7">
        <w:t>.</w:t>
      </w:r>
      <w:r>
        <w:rPr>
          <w:rStyle w:val="FootnoteReference"/>
        </w:rPr>
        <w:footnoteReference w:id="84"/>
      </w:r>
      <w:r w:rsidR="003724C7">
        <w:t xml:space="preserve">  </w:t>
      </w:r>
      <w:r w:rsidR="00911A7E">
        <w:t xml:space="preserve">We find that automatically granting the 120-day extension will ease administrative burdens on health care providers because they </w:t>
      </w:r>
      <w:r w:rsidR="00911A7E">
        <w:t>would not have to direct administrative resources to affirmatively request the extension and will have a longer invoice filing period.</w:t>
      </w:r>
      <w:r>
        <w:rPr>
          <w:rStyle w:val="FootnoteReference"/>
        </w:rPr>
        <w:footnoteReference w:id="85"/>
      </w:r>
    </w:p>
    <w:p w:rsidR="00FA5AD7" w:rsidRPr="00BB3BEF" w:rsidP="00FA5AD7" w14:paraId="2E7C8311" w14:textId="321F83B0">
      <w:pPr>
        <w:pStyle w:val="ParaNum"/>
      </w:pPr>
      <w:r w:rsidRPr="00BB3BEF">
        <w:rPr>
          <w:i/>
          <w:iCs/>
        </w:rPr>
        <w:t>Response Time for USAC Information Requests</w:t>
      </w:r>
      <w:r w:rsidRPr="00BB3BEF">
        <w:t xml:space="preserve">.  </w:t>
      </w:r>
      <w:r w:rsidR="003B1E78">
        <w:t>We direct USAC</w:t>
      </w:r>
      <w:r w:rsidR="0047118E">
        <w:t xml:space="preserve"> to grant an extension of 28 days if an applicant requests an extension for an information request before the initial 14-day response deadline expires.  </w:t>
      </w:r>
      <w:r w:rsidR="0047118E">
        <w:t>RHC</w:t>
      </w:r>
      <w:r w:rsidR="0047118E">
        <w:t xml:space="preserve"> Program applicants are given 14 calendar days to respond to information requests from USAC</w:t>
      </w:r>
      <w:r w:rsidRPr="00567930" w:rsidR="0047118E">
        <w:t>.</w:t>
      </w:r>
      <w:r>
        <w:rPr>
          <w:rStyle w:val="FootnoteReference"/>
        </w:rPr>
        <w:footnoteReference w:id="86"/>
      </w:r>
      <w:r w:rsidRPr="00567930" w:rsidR="0047118E">
        <w:t xml:space="preserve">  If an applicant does not respond by the deadline, its funding request </w:t>
      </w:r>
      <w:r w:rsidR="00B64627">
        <w:t>may</w:t>
      </w:r>
      <w:r w:rsidRPr="00567930" w:rsidR="00B64627">
        <w:t xml:space="preserve"> </w:t>
      </w:r>
      <w:r w:rsidRPr="00567930" w:rsidR="0047118E">
        <w:t>be denied</w:t>
      </w:r>
      <w:r w:rsidR="0047118E">
        <w:t>.</w:t>
      </w:r>
      <w:r>
        <w:rPr>
          <w:rStyle w:val="FootnoteReference"/>
        </w:rPr>
        <w:footnoteReference w:id="87"/>
      </w:r>
      <w:r w:rsidR="0047118E">
        <w:t xml:space="preserve">  </w:t>
      </w:r>
      <w:r w:rsidRPr="00844AA0" w:rsidR="0047118E">
        <w:t xml:space="preserve">USAC </w:t>
      </w:r>
      <w:r w:rsidR="0047118E">
        <w:t xml:space="preserve">currently </w:t>
      </w:r>
      <w:r w:rsidRPr="00844AA0" w:rsidR="0047118E">
        <w:t xml:space="preserve">allows an extension of 7 days if the applicant requests the extension for an information request before the 14-day deadline expires.  </w:t>
      </w:r>
      <w:r w:rsidR="0047118E">
        <w:t>We find that it is in the public interest to increase</w:t>
      </w:r>
      <w:r w:rsidRPr="00844AA0" w:rsidR="0047118E">
        <w:t xml:space="preserve"> the existing 7</w:t>
      </w:r>
      <w:r w:rsidR="0047118E">
        <w:t>-</w:t>
      </w:r>
      <w:r w:rsidRPr="00844AA0" w:rsidR="0047118E">
        <w:t>day extension to 28 days</w:t>
      </w:r>
      <w:r w:rsidR="0047118E">
        <w:t>, thereby allowing</w:t>
      </w:r>
      <w:r w:rsidRPr="00844AA0" w:rsidR="0047118E">
        <w:t xml:space="preserve"> those health care providers that </w:t>
      </w:r>
      <w:r w:rsidR="0047118E">
        <w:t>need additional time due to</w:t>
      </w:r>
      <w:r w:rsidRPr="00844AA0" w:rsidR="0047118E">
        <w:t xml:space="preserve"> the COVID-19 pandemic a total of 42 days to respond to USAC’s information requests</w:t>
      </w:r>
      <w:r w:rsidR="0047118E">
        <w:t>.</w:t>
      </w:r>
      <w:r w:rsidR="00DF0C31">
        <w:t xml:space="preserve">  </w:t>
      </w:r>
      <w:r w:rsidR="008F0A5D">
        <w:t xml:space="preserve">Allowing health care providers to request an extension </w:t>
      </w:r>
      <w:r w:rsidR="00B91153">
        <w:t>that would give</w:t>
      </w:r>
      <w:r w:rsidR="008F0A5D">
        <w:t xml:space="preserve"> them a total of 42 days to respond to an information request, rather than</w:t>
      </w:r>
      <w:r w:rsidR="00BB4358">
        <w:t xml:space="preserve"> </w:t>
      </w:r>
      <w:r w:rsidR="002E5886">
        <w:t xml:space="preserve">automatically </w:t>
      </w:r>
      <w:r w:rsidR="00BB4358">
        <w:t xml:space="preserve">providing a 42-day response </w:t>
      </w:r>
      <w:r w:rsidR="00E30B7F">
        <w:t>time</w:t>
      </w:r>
      <w:r w:rsidR="00BB4358">
        <w:t xml:space="preserve"> for all information requests as we did in the </w:t>
      </w:r>
      <w:r w:rsidR="00CE7AAB">
        <w:t xml:space="preserve">March 2020 </w:t>
      </w:r>
      <w:r w:rsidRPr="00D348C6" w:rsidR="00CE7AAB">
        <w:rPr>
          <w:i/>
        </w:rPr>
        <w:t>COVID-19 Relief Order</w:t>
      </w:r>
      <w:r w:rsidR="00F56491">
        <w:t>,</w:t>
      </w:r>
      <w:r w:rsidR="00CE7AAB">
        <w:rPr>
          <w:i/>
          <w:iCs/>
        </w:rPr>
        <w:t xml:space="preserve"> </w:t>
      </w:r>
      <w:r w:rsidR="00CE7AAB">
        <w:t>will ensure the timely processing of applications while</w:t>
      </w:r>
      <w:r w:rsidR="00033786">
        <w:t xml:space="preserve"> targeting administrative relief </w:t>
      </w:r>
      <w:r w:rsidR="00B003FC">
        <w:t>to those who need it</w:t>
      </w:r>
      <w:r w:rsidR="00F56491">
        <w:t>.</w:t>
      </w:r>
      <w:r>
        <w:rPr>
          <w:rStyle w:val="FootnoteReference"/>
        </w:rPr>
        <w:footnoteReference w:id="88"/>
      </w:r>
      <w:r w:rsidR="00F56491">
        <w:t xml:space="preserve">  </w:t>
      </w:r>
      <w:r w:rsidR="0047118E">
        <w:t>This relief will apply to information requests issued from the release date of this Order through December 31, 2021.</w:t>
      </w:r>
      <w:r>
        <w:rPr>
          <w:rStyle w:val="FootnoteReference"/>
        </w:rPr>
        <w:footnoteReference w:id="89"/>
      </w:r>
      <w:r w:rsidR="0047118E">
        <w:t xml:space="preserve">  </w:t>
      </w:r>
      <w:r w:rsidR="002E5886">
        <w:t xml:space="preserve">Consistent with the </w:t>
      </w:r>
      <w:r w:rsidRPr="00D348C6" w:rsidR="002E5886">
        <w:rPr>
          <w:i/>
        </w:rPr>
        <w:t>COVID-19 Relief Order</w:t>
      </w:r>
      <w:r w:rsidRPr="005161F7" w:rsidR="0047118E">
        <w:t>, th</w:t>
      </w:r>
      <w:r w:rsidR="0047118E">
        <w:t>is relief</w:t>
      </w:r>
      <w:r w:rsidRPr="005161F7" w:rsidR="0047118E">
        <w:t xml:space="preserve"> applies to information requests related to funding requests, appeals and waivers, invoices, audits, and other documentation submitted by </w:t>
      </w:r>
      <w:r w:rsidRPr="005161F7" w:rsidR="0047118E">
        <w:t>RHC</w:t>
      </w:r>
      <w:r w:rsidRPr="005161F7" w:rsidR="0047118E">
        <w:t xml:space="preserve"> </w:t>
      </w:r>
      <w:r w:rsidR="0047118E">
        <w:t>P</w:t>
      </w:r>
      <w:r w:rsidRPr="005161F7" w:rsidR="0047118E">
        <w:t>rogram applicants.</w:t>
      </w:r>
      <w:r>
        <w:rPr>
          <w:rStyle w:val="FootnoteReference"/>
        </w:rPr>
        <w:footnoteReference w:id="90"/>
      </w:r>
      <w:r w:rsidR="0047118E">
        <w:t xml:space="preserve">   </w:t>
      </w:r>
    </w:p>
    <w:p w:rsidR="00FA5AD7" w:rsidRPr="00BB3BEF" w:rsidP="00FA5AD7" w14:paraId="79BCEC4D" w14:textId="3091282C">
      <w:pPr>
        <w:pStyle w:val="ParaNum"/>
      </w:pPr>
      <w:r>
        <w:rPr>
          <w:i/>
          <w:iCs/>
        </w:rPr>
        <w:t xml:space="preserve">Deadlines for </w:t>
      </w:r>
      <w:r w:rsidR="00BB5D7C">
        <w:rPr>
          <w:i/>
          <w:iCs/>
        </w:rPr>
        <w:t xml:space="preserve">Appeals and Waiver Requests.  </w:t>
      </w:r>
      <w:r w:rsidR="00063A80">
        <w:t>W</w:t>
      </w:r>
      <w:r w:rsidR="00601D47">
        <w:t>e deny</w:t>
      </w:r>
      <w:r w:rsidR="00EA5827">
        <w:t xml:space="preserve"> FG’s</w:t>
      </w:r>
      <w:r w:rsidR="001A6508">
        <w:t xml:space="preserve"> request</w:t>
      </w:r>
      <w:r w:rsidR="001A6508">
        <w:t xml:space="preserve"> </w:t>
      </w:r>
      <w:r w:rsidR="001A6508">
        <w:t>for a waiver of the deadline</w:t>
      </w:r>
      <w:r w:rsidR="00ED2F11">
        <w:t>s</w:t>
      </w:r>
      <w:r w:rsidR="001A6508">
        <w:t xml:space="preserve"> to file appeals</w:t>
      </w:r>
      <w:r w:rsidR="009401C6">
        <w:t xml:space="preserve"> and waiver request</w:t>
      </w:r>
      <w:r w:rsidR="00CA37D6">
        <w:t>s</w:t>
      </w:r>
      <w:r w:rsidR="0031528B">
        <w:t xml:space="preserve">.  </w:t>
      </w:r>
      <w:r w:rsidRPr="5DAB0409" w:rsidR="008511C0">
        <w:t xml:space="preserve">We find that it is not in the public interest to extend the deadlines </w:t>
      </w:r>
      <w:r w:rsidRPr="00BB3BEF" w:rsidR="008511C0">
        <w:t>for appeals and requests for waiver</w:t>
      </w:r>
      <w:r w:rsidR="008511C0">
        <w:rPr>
          <w:iCs/>
        </w:rPr>
        <w:t xml:space="preserve">.  </w:t>
      </w:r>
      <w:r w:rsidR="00EA5827">
        <w:t>While</w:t>
      </w:r>
      <w:r w:rsidRPr="5DAB0409" w:rsidR="00EA5827">
        <w:t xml:space="preserve"> </w:t>
      </w:r>
      <w:r w:rsidRPr="5DAB0409" w:rsidR="00102D50">
        <w:t xml:space="preserve">some applicants filed </w:t>
      </w:r>
      <w:r w:rsidRPr="5DAB0409" w:rsidR="007952E6">
        <w:t>their</w:t>
      </w:r>
      <w:r w:rsidRPr="5DAB0409" w:rsidR="00102D50">
        <w:t xml:space="preserve"> appeals</w:t>
      </w:r>
      <w:r w:rsidR="00C26446">
        <w:rPr>
          <w:iCs/>
        </w:rPr>
        <w:t xml:space="preserve"> </w:t>
      </w:r>
      <w:r w:rsidRPr="5DAB0409" w:rsidR="00FD539D">
        <w:t xml:space="preserve">and waiver </w:t>
      </w:r>
      <w:r w:rsidRPr="5DAB0409" w:rsidR="00FD539D">
        <w:t xml:space="preserve">requests to </w:t>
      </w:r>
      <w:r w:rsidRPr="5DAB0409" w:rsidR="006A66ED">
        <w:t>USAC and the Commission within the extended 120-day deadline</w:t>
      </w:r>
      <w:r w:rsidR="00EA5827">
        <w:t xml:space="preserve"> of the March 2020 </w:t>
      </w:r>
      <w:r w:rsidRPr="5DAB0409" w:rsidR="00EA5827">
        <w:rPr>
          <w:i/>
          <w:iCs/>
        </w:rPr>
        <w:t xml:space="preserve">COVID-19 </w:t>
      </w:r>
      <w:r w:rsidRPr="5DAB0409" w:rsidR="00EA5827">
        <w:rPr>
          <w:i/>
          <w:iCs/>
        </w:rPr>
        <w:t>RHC</w:t>
      </w:r>
      <w:r w:rsidRPr="5DAB0409" w:rsidR="00EA5827">
        <w:rPr>
          <w:i/>
          <w:iCs/>
        </w:rPr>
        <w:t xml:space="preserve"> Relief Order</w:t>
      </w:r>
      <w:r w:rsidR="00EA5827">
        <w:rPr>
          <w:iCs/>
        </w:rPr>
        <w:t>,</w:t>
      </w:r>
      <w:r>
        <w:rPr>
          <w:rStyle w:val="FootnoteReference"/>
        </w:rPr>
        <w:footnoteReference w:id="91"/>
      </w:r>
      <w:r w:rsidR="008B677C">
        <w:rPr>
          <w:iCs/>
        </w:rPr>
        <w:t xml:space="preserve"> </w:t>
      </w:r>
      <w:r w:rsidRPr="5DAB0409" w:rsidR="00141207">
        <w:t xml:space="preserve">the majority of appeals </w:t>
      </w:r>
      <w:r w:rsidRPr="5DAB0409" w:rsidR="00CE773C">
        <w:t xml:space="preserve">and waiver requests </w:t>
      </w:r>
      <w:r w:rsidRPr="5DAB0409" w:rsidR="00075AA7">
        <w:t>were filed within the standard</w:t>
      </w:r>
      <w:r w:rsidR="00C26446">
        <w:rPr>
          <w:iCs/>
        </w:rPr>
        <w:t xml:space="preserve"> </w:t>
      </w:r>
      <w:r w:rsidRPr="5DAB0409" w:rsidR="00F13CC9">
        <w:t>60-day deadline</w:t>
      </w:r>
      <w:r w:rsidRPr="5DAB0409" w:rsidR="00EC2DAF">
        <w:t xml:space="preserve">, indicating </w:t>
      </w:r>
      <w:r w:rsidRPr="5DAB0409" w:rsidR="00311061">
        <w:t xml:space="preserve">that </w:t>
      </w:r>
      <w:r w:rsidRPr="5DAB0409" w:rsidR="00905C3A">
        <w:t xml:space="preserve">the relief was not needed by </w:t>
      </w:r>
      <w:r w:rsidR="00765CB8">
        <w:t xml:space="preserve">most </w:t>
      </w:r>
      <w:r w:rsidRPr="5DAB0409" w:rsidR="00905C3A">
        <w:t>applicants.</w:t>
      </w:r>
      <w:r w:rsidR="00EA5827">
        <w:t xml:space="preserve">  Therefore, the Bureau did not provide an extension for the appeals and waiver requests deadline.</w:t>
      </w:r>
      <w:r w:rsidRPr="5DAB0409" w:rsidR="00905C3A">
        <w:t xml:space="preserve"> </w:t>
      </w:r>
      <w:r w:rsidR="00C26446">
        <w:rPr>
          <w:iCs/>
        </w:rPr>
        <w:t xml:space="preserve"> </w:t>
      </w:r>
      <w:r w:rsidRPr="5DAB0409" w:rsidR="00C75FBD">
        <w:t xml:space="preserve">Furthermore, </w:t>
      </w:r>
      <w:r w:rsidRPr="5DAB0409" w:rsidR="00E0670A">
        <w:t>such an extension</w:t>
      </w:r>
      <w:r w:rsidRPr="5DAB0409" w:rsidR="004577DE">
        <w:t xml:space="preserve"> could increase the backlog of </w:t>
      </w:r>
      <w:r w:rsidRPr="5DAB0409" w:rsidR="004577DE">
        <w:t>RHC</w:t>
      </w:r>
      <w:r w:rsidRPr="5DAB0409" w:rsidR="004577DE">
        <w:t xml:space="preserve"> Program appeals by delaying the filing of appeals</w:t>
      </w:r>
      <w:r w:rsidRPr="5DAB0409" w:rsidR="00FD3158">
        <w:t xml:space="preserve"> and waiver requests</w:t>
      </w:r>
      <w:r w:rsidR="00542666">
        <w:rPr>
          <w:iCs/>
        </w:rPr>
        <w:t xml:space="preserve">. </w:t>
      </w:r>
      <w:r w:rsidR="0006641E">
        <w:rPr>
          <w:iCs/>
        </w:rPr>
        <w:t xml:space="preserve"> </w:t>
      </w:r>
      <w:r w:rsidRPr="5DAB0409" w:rsidR="00D1779D">
        <w:t>Although we decline to</w:t>
      </w:r>
      <w:r w:rsidR="00C76284">
        <w:rPr>
          <w:iCs/>
        </w:rPr>
        <w:t xml:space="preserve"> </w:t>
      </w:r>
      <w:r w:rsidRPr="5DAB0409" w:rsidR="00532877">
        <w:t>automatic</w:t>
      </w:r>
      <w:r w:rsidRPr="5DAB0409" w:rsidR="00D1779D">
        <w:t>ally</w:t>
      </w:r>
      <w:r w:rsidR="00532877">
        <w:rPr>
          <w:iCs/>
        </w:rPr>
        <w:t xml:space="preserve"> </w:t>
      </w:r>
      <w:r w:rsidRPr="5DAB0409" w:rsidR="00D1779D">
        <w:t>extend deadlines</w:t>
      </w:r>
      <w:r w:rsidR="009D0251">
        <w:rPr>
          <w:iCs/>
        </w:rPr>
        <w:t xml:space="preserve"> for </w:t>
      </w:r>
      <w:r w:rsidRPr="5DAB0409" w:rsidR="009D0251">
        <w:t xml:space="preserve">all appeals and waiver requests, </w:t>
      </w:r>
      <w:r w:rsidRPr="5DAB0409" w:rsidR="006B3B96">
        <w:t xml:space="preserve">petitioners who missed the deadline for filing an appeal or request for waiver </w:t>
      </w:r>
      <w:r w:rsidRPr="5DAB0409" w:rsidR="009D3191">
        <w:t xml:space="preserve">can </w:t>
      </w:r>
      <w:r w:rsidR="00EA5827">
        <w:t xml:space="preserve">individually </w:t>
      </w:r>
      <w:r w:rsidRPr="5DAB0409" w:rsidR="00E62B5D">
        <w:t xml:space="preserve">request relief </w:t>
      </w:r>
      <w:r w:rsidRPr="5DAB0409" w:rsidR="00A5798D">
        <w:t>for late</w:t>
      </w:r>
      <w:r w:rsidRPr="5DAB0409" w:rsidR="005B17A2">
        <w:t>-filed appeals or waiver requests</w:t>
      </w:r>
      <w:r w:rsidR="00E62B5D">
        <w:rPr>
          <w:iCs/>
        </w:rPr>
        <w:t xml:space="preserve"> </w:t>
      </w:r>
      <w:r w:rsidRPr="5DAB0409" w:rsidR="00A42775">
        <w:t>from the Commission</w:t>
      </w:r>
      <w:r w:rsidR="004C0D6B">
        <w:rPr>
          <w:iCs/>
        </w:rPr>
        <w:t>.</w:t>
      </w:r>
      <w:r w:rsidR="00A42775">
        <w:rPr>
          <w:iCs/>
        </w:rPr>
        <w:t xml:space="preserve"> </w:t>
      </w:r>
      <w:r w:rsidR="002D20F6">
        <w:rPr>
          <w:iCs/>
        </w:rPr>
        <w:t xml:space="preserve"> </w:t>
      </w:r>
      <w:r w:rsidR="00470AE9">
        <w:rPr>
          <w:iCs/>
        </w:rPr>
        <w:t xml:space="preserve">A petitioner may </w:t>
      </w:r>
      <w:r w:rsidR="00587887">
        <w:rPr>
          <w:iCs/>
        </w:rPr>
        <w:t>seek a waiver of the</w:t>
      </w:r>
      <w:r w:rsidR="00C54B1D">
        <w:rPr>
          <w:iCs/>
        </w:rPr>
        <w:t xml:space="preserve"> </w:t>
      </w:r>
      <w:r w:rsidR="00BF5A22">
        <w:t>deadline to file an</w:t>
      </w:r>
      <w:r w:rsidRPr="5DAB0409" w:rsidR="008816D2">
        <w:t xml:space="preserve"> appeal or waiver request</w:t>
      </w:r>
      <w:r w:rsidRPr="5DAB0409" w:rsidR="00AB1CA5">
        <w:t xml:space="preserve"> </w:t>
      </w:r>
      <w:r w:rsidR="00BF5A22">
        <w:t>if</w:t>
      </w:r>
      <w:r w:rsidR="00C54B1D">
        <w:t xml:space="preserve"> </w:t>
      </w:r>
      <w:r w:rsidR="00AB500A">
        <w:t xml:space="preserve">it </w:t>
      </w:r>
      <w:r w:rsidR="004D7068">
        <w:t xml:space="preserve">reasonably attempted to meet the deadline but </w:t>
      </w:r>
      <w:r w:rsidR="00AB500A">
        <w:t xml:space="preserve">was unable to </w:t>
      </w:r>
      <w:r w:rsidR="004D7068">
        <w:t>do so</w:t>
      </w:r>
      <w:r w:rsidR="00AB500A">
        <w:t xml:space="preserve"> due to</w:t>
      </w:r>
      <w:r w:rsidR="00BF5A22">
        <w:t xml:space="preserve"> </w:t>
      </w:r>
      <w:r w:rsidR="005300B3">
        <w:t xml:space="preserve">the COVID-19 pandemic </w:t>
      </w:r>
      <w:r w:rsidR="002E4E5C">
        <w:t>and it filed</w:t>
      </w:r>
      <w:r w:rsidRPr="5DAB0409" w:rsidR="00D476F5">
        <w:t xml:space="preserve"> </w:t>
      </w:r>
      <w:r w:rsidR="002F0FC3">
        <w:t>within</w:t>
      </w:r>
      <w:r w:rsidRPr="5DAB0409" w:rsidR="00D476F5">
        <w:t xml:space="preserve"> </w:t>
      </w:r>
      <w:r w:rsidRPr="5DAB0409" w:rsidR="00EA4BBE">
        <w:t xml:space="preserve">a reasonable </w:t>
      </w:r>
      <w:r w:rsidRPr="5DAB0409" w:rsidR="004C3035">
        <w:t>amount of time after the deadline</w:t>
      </w:r>
      <w:r w:rsidRPr="5DAB0409" w:rsidR="00232F2D">
        <w:t xml:space="preserve">. </w:t>
      </w:r>
      <w:r w:rsidR="00AB1CA5">
        <w:rPr>
          <w:iCs/>
        </w:rPr>
        <w:t xml:space="preserve"> </w:t>
      </w:r>
      <w:r w:rsidR="00C76284">
        <w:rPr>
          <w:iCs/>
        </w:rPr>
        <w:t xml:space="preserve"> </w:t>
      </w:r>
    </w:p>
    <w:p w:rsidR="00FA5AD7" w:rsidP="00FA5AD7" w14:paraId="5FC250F7" w14:textId="4BBEDF99">
      <w:pPr>
        <w:pStyle w:val="ParaNum"/>
      </w:pPr>
      <w:r>
        <w:rPr>
          <w:i/>
          <w:iCs/>
        </w:rPr>
        <w:t xml:space="preserve">USAC Audit and PQA Activity.  </w:t>
      </w:r>
      <w:r w:rsidR="00AA4AF8">
        <w:t xml:space="preserve">We deny FG’s request for wavier and suspension of USAC audit and PQA activities.  </w:t>
      </w:r>
      <w:r w:rsidR="007C1260">
        <w:t>We find</w:t>
      </w:r>
      <w:r w:rsidRPr="0051079B" w:rsidR="0051079B">
        <w:rPr>
          <w:bCs/>
        </w:rPr>
        <w:t xml:space="preserve"> </w:t>
      </w:r>
      <w:r w:rsidRPr="0051079B" w:rsidR="0051079B">
        <w:rPr>
          <w:bCs/>
        </w:rPr>
        <w:t xml:space="preserve">it would not serve the public interest to delay or suspend USAC’s audit or PQA activity.  </w:t>
      </w:r>
      <w:r w:rsidR="00EA1160">
        <w:rPr>
          <w:bCs/>
        </w:rPr>
        <w:t xml:space="preserve">FG </w:t>
      </w:r>
      <w:r w:rsidR="00EA1160">
        <w:t>presents</w:t>
      </w:r>
      <w:r w:rsidR="00EA1160">
        <w:t xml:space="preserve"> </w:t>
      </w:r>
      <w:r w:rsidR="008E28F4">
        <w:t xml:space="preserve">no </w:t>
      </w:r>
      <w:r w:rsidR="00EA1160">
        <w:t xml:space="preserve">evidence to suggest that USAC audit and PQA activity is unduly burdensome on </w:t>
      </w:r>
      <w:r w:rsidR="00D66B27">
        <w:t xml:space="preserve">health care providers </w:t>
      </w:r>
      <w:r w:rsidR="00EA1160">
        <w:t xml:space="preserve">while </w:t>
      </w:r>
      <w:r w:rsidR="001736DA">
        <w:t xml:space="preserve">health care providers </w:t>
      </w:r>
      <w:r w:rsidR="00EA1160">
        <w:t>combat the ongoing COVID-19 pandemic.</w:t>
      </w:r>
      <w:r w:rsidR="007C1260">
        <w:t xml:space="preserve">  While FG cites to the Bureau’s decision to suspend the periodic review of the Lifeline Program’s subscribers as support for its waiver request,</w:t>
      </w:r>
      <w:r>
        <w:rPr>
          <w:rStyle w:val="FootnoteReference"/>
        </w:rPr>
        <w:footnoteReference w:id="92"/>
      </w:r>
      <w:r w:rsidR="007C1260">
        <w:t xml:space="preserve"> we do not find the Lifeline suspension to be analogous to FG’s request.  Unlike in the Lifeline context, where the Bureau acted to ensure that low-income consumers remained connected during the ongoing pandemic,</w:t>
      </w:r>
      <w:r>
        <w:rPr>
          <w:rStyle w:val="FootnoteReference"/>
        </w:rPr>
        <w:footnoteReference w:id="93"/>
      </w:r>
      <w:r w:rsidR="007C1260">
        <w:t xml:space="preserve"> FG provides no evidence to suggest that USAC’s conduct of audits and PQA reviews creates any potential for health care providers to lose service.</w:t>
      </w:r>
      <w:r w:rsidR="00EA1160">
        <w:t xml:space="preserve"> </w:t>
      </w:r>
      <w:r w:rsidR="00E15267">
        <w:t xml:space="preserve"> </w:t>
      </w:r>
      <w:r w:rsidR="00362566">
        <w:t xml:space="preserve">Finally, the increased extension period for responding to information requests </w:t>
      </w:r>
      <w:r w:rsidR="007C1260">
        <w:t xml:space="preserve">that we grant today </w:t>
      </w:r>
      <w:r w:rsidR="00362566">
        <w:t xml:space="preserve">would apply to information requests for PQA and audit activity, which allows health care providers and service providers more time to respond to requests without a </w:t>
      </w:r>
      <w:r w:rsidR="00D81AA8">
        <w:t>temporary</w:t>
      </w:r>
      <w:r w:rsidR="00362566">
        <w:t xml:space="preserve"> suspension of necessary PQA and audit activity.</w:t>
      </w:r>
      <w:r w:rsidRPr="00F14C9C" w:rsidR="00F14C9C">
        <w:t xml:space="preserve">  </w:t>
      </w:r>
      <w:r w:rsidR="007C1260">
        <w:t>We find that a</w:t>
      </w:r>
      <w:r w:rsidR="00F14C9C">
        <w:t xml:space="preserve">ny </w:t>
      </w:r>
      <w:r w:rsidR="007C1260">
        <w:t xml:space="preserve">potential </w:t>
      </w:r>
      <w:r w:rsidR="00F14C9C">
        <w:t xml:space="preserve">benefit </w:t>
      </w:r>
      <w:r w:rsidR="007C1260">
        <w:t>resulting from the</w:t>
      </w:r>
      <w:r w:rsidR="00F14C9C">
        <w:t xml:space="preserve"> </w:t>
      </w:r>
      <w:r w:rsidR="007C1260">
        <w:t xml:space="preserve">suspension </w:t>
      </w:r>
      <w:r w:rsidR="0068086A">
        <w:t xml:space="preserve">of </w:t>
      </w:r>
      <w:r w:rsidR="00F14C9C">
        <w:t xml:space="preserve">audit and PQA activity is </w:t>
      </w:r>
      <w:r>
        <w:t xml:space="preserve">therefore </w:t>
      </w:r>
      <w:r w:rsidR="00F14C9C">
        <w:t xml:space="preserve">outweighed by the need to protect the integrity of the </w:t>
      </w:r>
      <w:r w:rsidR="00F14C9C">
        <w:t>RHC</w:t>
      </w:r>
      <w:r w:rsidR="00F14C9C">
        <w:t xml:space="preserve"> Program.  </w:t>
      </w:r>
    </w:p>
    <w:p w:rsidR="00F72F83" w:rsidRPr="00BB3BEF" w:rsidP="00B81599" w14:paraId="7EAAD1EF" w14:textId="36DFCFD0">
      <w:pPr>
        <w:pStyle w:val="ParaNum"/>
      </w:pPr>
      <w:r>
        <w:t xml:space="preserve">We are committed to guarding against waste, fraud, and abuse in the Universal Service Fund (USF) programs, including the Rural Health Care Program.  Although we grant the limited waivers described herein, program participants and service providers remain otherwise subject to audits and investigations to determine compliance with USF program rules and requirements.  We will require </w:t>
      </w:r>
      <w:r w:rsidR="000567FB">
        <w:t xml:space="preserve">USAC </w:t>
      </w:r>
      <w:r>
        <w:t xml:space="preserve">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w:t>
      </w:r>
      <w:r w:rsidR="000567FB">
        <w:t>USAC</w:t>
      </w:r>
      <w:r>
        <w:t xml:space="preserve"> to recover funds, assess retroactive fees and/or interest, or both.  We remain committed to ensuring the integrity of the Rural Health Care Program and will continue to aggressively pursue instances of waste, fraud, or abuse under our own procedures and in cooperation with law enforcement agencies.</w:t>
      </w:r>
    </w:p>
    <w:p w:rsidR="00AB554E" w:rsidP="00C36B4C" w14:paraId="5307C4FA" w14:textId="77777777">
      <w:pPr>
        <w:pStyle w:val="Heading1"/>
      </w:pPr>
      <w:r>
        <w:br w:type="page"/>
      </w:r>
    </w:p>
    <w:p w:rsidR="00412FC5" w:rsidRPr="00BB3BEF" w:rsidP="00C36B4C" w14:paraId="56B3F64D" w14:textId="2E74D478">
      <w:pPr>
        <w:pStyle w:val="Heading1"/>
      </w:pPr>
      <w:r w:rsidRPr="00BB3BEF">
        <w:t>ordering clauses</w:t>
      </w:r>
    </w:p>
    <w:p w:rsidR="0070656E" w:rsidP="00047101" w14:paraId="5C2DDB69" w14:textId="46C6BFCC">
      <w:pPr>
        <w:pStyle w:val="ParaNum"/>
      </w:pPr>
      <w:r w:rsidRPr="00BB3BEF">
        <w:t xml:space="preserve">ACCORDINGLY, IT IS ORDERED that pursuant to the authority in sections 1-4 and 254 of the Communications Act of 1934, as amended, 47 U.S.C. §§ 151-154 and 254, and pursuant to sections 0.91, 0.291, and 1.3 of the Commission’s rules, 47 CFR §§ 0.91, 0.291, and 1.3, that </w:t>
      </w:r>
      <w:r w:rsidR="00DD39AD">
        <w:t>the Request</w:t>
      </w:r>
      <w:r w:rsidR="0079335B">
        <w:t>s</w:t>
      </w:r>
      <w:r w:rsidR="001D716D">
        <w:t xml:space="preserve"> for Waiver of the Schools, Health &amp; Libraries Broadband Coalition </w:t>
      </w:r>
      <w:r w:rsidR="0079335B">
        <w:t xml:space="preserve">and </w:t>
      </w:r>
      <w:r w:rsidR="0079335B">
        <w:t>Fiberutilities</w:t>
      </w:r>
      <w:r w:rsidR="0079335B">
        <w:t xml:space="preserve"> Group are</w:t>
      </w:r>
      <w:r w:rsidR="001D716D">
        <w:t xml:space="preserve"> </w:t>
      </w:r>
      <w:r>
        <w:t xml:space="preserve">GRANTED IN PART AND DENIED IN PART to the extent </w:t>
      </w:r>
      <w:r w:rsidR="00174CC8">
        <w:t>provided</w:t>
      </w:r>
      <w:r>
        <w:t xml:space="preserve"> herein.</w:t>
      </w:r>
      <w:r w:rsidR="00DD39AD">
        <w:t xml:space="preserve"> </w:t>
      </w:r>
    </w:p>
    <w:p w:rsidR="00047101" w:rsidRPr="00BB3BEF" w:rsidP="00047101" w14:paraId="50FCCDCD" w14:textId="38F3BF03">
      <w:pPr>
        <w:pStyle w:val="ParaNum"/>
      </w:pPr>
      <w:r>
        <w:t xml:space="preserve">IT IS FURTHER ORDERED that </w:t>
      </w:r>
      <w:r w:rsidRPr="00BB3BEF" w:rsidR="006354AC">
        <w:t>section</w:t>
      </w:r>
      <w:r w:rsidRPr="00BB3BEF" w:rsidR="00E03D7C">
        <w:t>s</w:t>
      </w:r>
      <w:r w:rsidRPr="00BB3BEF" w:rsidR="006354AC">
        <w:t xml:space="preserve"> </w:t>
      </w:r>
      <w:r w:rsidR="00B24CCC">
        <w:t xml:space="preserve">54.604(a), </w:t>
      </w:r>
      <w:r w:rsidRPr="00BB3BEF" w:rsidR="006354AC">
        <w:t>54.605(a)</w:t>
      </w:r>
      <w:r w:rsidR="00400E69">
        <w:t xml:space="preserve">, </w:t>
      </w:r>
      <w:r w:rsidRPr="00BB3BEF" w:rsidR="00A71D3A">
        <w:t>54.</w:t>
      </w:r>
      <w:r w:rsidRPr="00BB3BEF" w:rsidR="00E03D7C">
        <w:t>622</w:t>
      </w:r>
      <w:r w:rsidR="00400E69">
        <w:t>, 54.626(a)</w:t>
      </w:r>
      <w:r w:rsidR="008A3CF2">
        <w:t>-(b</w:t>
      </w:r>
      <w:r w:rsidR="00400E69">
        <w:t>), and 54.</w:t>
      </w:r>
      <w:r w:rsidR="00197DC7">
        <w:t>627(a)</w:t>
      </w:r>
      <w:r w:rsidR="008A3CF2">
        <w:t>-(b</w:t>
      </w:r>
      <w:r w:rsidR="00197DC7">
        <w:t>)</w:t>
      </w:r>
      <w:r w:rsidRPr="00BB3BEF" w:rsidR="006354AC">
        <w:t xml:space="preserve"> of the Commission’s rules, 47 CFR </w:t>
      </w:r>
      <w:r w:rsidRPr="00BB3BEF" w:rsidR="00D80518">
        <w:t>§</w:t>
      </w:r>
      <w:r w:rsidRPr="00BB3BEF" w:rsidR="006354AC">
        <w:t>§ 54.605(a)</w:t>
      </w:r>
      <w:r w:rsidR="00197DC7">
        <w:t xml:space="preserve">, </w:t>
      </w:r>
      <w:r w:rsidRPr="00BB3BEF" w:rsidR="00D80518">
        <w:t>54.622</w:t>
      </w:r>
      <w:r w:rsidR="00197DC7">
        <w:t>, 54.626(a)</w:t>
      </w:r>
      <w:r w:rsidR="008A3CF2">
        <w:t>-(b</w:t>
      </w:r>
      <w:r w:rsidR="00197DC7">
        <w:t>), and 54.627(a)</w:t>
      </w:r>
      <w:r w:rsidR="008A3CF2">
        <w:t>-(b</w:t>
      </w:r>
      <w:r w:rsidR="00197DC7">
        <w:t>)</w:t>
      </w:r>
      <w:r w:rsidRPr="00BB3BEF" w:rsidR="006354AC">
        <w:t xml:space="preserve"> </w:t>
      </w:r>
      <w:r w:rsidRPr="00BB3BEF" w:rsidR="00D80518">
        <w:t xml:space="preserve">ARE </w:t>
      </w:r>
      <w:r w:rsidRPr="00BB3BEF" w:rsidR="006354AC">
        <w:t>WAIVED to the extent provided herein.</w:t>
      </w:r>
    </w:p>
    <w:p w:rsidR="00047101" w:rsidRPr="00BB3BEF" w:rsidP="00047101" w14:paraId="0D70058C" w14:textId="2E60522E">
      <w:pPr>
        <w:pStyle w:val="ParaNum"/>
      </w:pPr>
      <w:r w:rsidRPr="00BB3BEF">
        <w:t xml:space="preserve">IT IS FURTHER ORDERED that, pursuant to section 1.102(b)(1) of the Commission’s rules, 47 CFR § 1.102(b)(1), this </w:t>
      </w:r>
      <w:r w:rsidR="002151DF">
        <w:t>O</w:t>
      </w:r>
      <w:r w:rsidRPr="00BB3BEF">
        <w:t xml:space="preserve">rder SHALL BE EFFECTIVE </w:t>
      </w:r>
      <w:r w:rsidRPr="00BB3BEF" w:rsidR="00A80B20">
        <w:t>upon release</w:t>
      </w:r>
      <w:r w:rsidRPr="00BB3BEF">
        <w:t>.</w:t>
      </w:r>
    </w:p>
    <w:p w:rsidR="005E0396" w:rsidRPr="00BB3BEF" w:rsidP="00047101" w14:paraId="1D9177B2" w14:textId="77777777">
      <w:r w:rsidRPr="00BB3BEF">
        <w:tab/>
      </w:r>
      <w:r w:rsidRPr="00BB3BEF">
        <w:tab/>
      </w:r>
      <w:r w:rsidRPr="00BB3BEF">
        <w:tab/>
      </w:r>
      <w:r w:rsidRPr="00BB3BEF">
        <w:tab/>
      </w:r>
      <w:r w:rsidRPr="00BB3BEF">
        <w:tab/>
      </w:r>
      <w:r w:rsidRPr="00BB3BEF">
        <w:tab/>
      </w:r>
    </w:p>
    <w:p w:rsidR="00047101" w:rsidRPr="00BB3BEF" w:rsidP="00DF71B8" w14:paraId="70A9A51A" w14:textId="77777777">
      <w:pPr>
        <w:ind w:left="3600" w:firstLine="720"/>
      </w:pPr>
      <w:r w:rsidRPr="00BB3BEF">
        <w:t>FEDERAL COMMUNICATIONS COMMISSION</w:t>
      </w:r>
    </w:p>
    <w:p w:rsidR="00047101" w:rsidRPr="00BB3BEF" w:rsidP="00047101" w14:paraId="372FD48D" w14:textId="77777777"/>
    <w:p w:rsidR="00047101" w:rsidRPr="00BB3BEF" w:rsidP="00047101" w14:paraId="40F9F3AC" w14:textId="77777777"/>
    <w:p w:rsidR="00047101" w:rsidRPr="00BB3BEF" w:rsidP="00047101" w14:paraId="5005EE24" w14:textId="77777777"/>
    <w:p w:rsidR="00047101" w:rsidRPr="00BB3BEF" w:rsidP="00047101" w14:paraId="0E8DC10F" w14:textId="77777777"/>
    <w:p w:rsidR="00047101" w:rsidRPr="00BB3BEF" w:rsidP="00047101" w14:paraId="6F341817" w14:textId="77777777">
      <w:pPr>
        <w:pStyle w:val="ParaNum"/>
        <w:numPr>
          <w:ilvl w:val="0"/>
          <w:numId w:val="0"/>
        </w:numPr>
        <w:spacing w:after="0"/>
        <w:ind w:left="3600" w:firstLine="720"/>
      </w:pPr>
      <w:r w:rsidRPr="00BB3BEF">
        <w:t>Kris Anne Monteith</w:t>
      </w:r>
    </w:p>
    <w:p w:rsidR="00047101" w:rsidRPr="00BB3BEF" w:rsidP="00047101" w14:paraId="3C8D1AAC" w14:textId="77777777">
      <w:pPr>
        <w:pStyle w:val="ParaNum"/>
        <w:numPr>
          <w:ilvl w:val="0"/>
          <w:numId w:val="0"/>
        </w:numPr>
        <w:spacing w:after="0"/>
        <w:ind w:left="3600" w:firstLine="720"/>
      </w:pPr>
      <w:r w:rsidRPr="00BB3BEF">
        <w:t>Chief</w:t>
      </w:r>
    </w:p>
    <w:p w:rsidR="001C6FC0" w:rsidRPr="00BB3BEF" w:rsidP="00047101" w14:paraId="0C451D1E" w14:textId="77777777">
      <w:pPr>
        <w:pStyle w:val="ParaNum"/>
        <w:numPr>
          <w:ilvl w:val="0"/>
          <w:numId w:val="0"/>
        </w:numPr>
        <w:ind w:left="3600" w:firstLine="720"/>
      </w:pPr>
      <w:r w:rsidRPr="00BB3BEF">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0ADC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C9EC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D2F97" w14:paraId="680A9E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7C6E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0204" w14:paraId="77DFF1F2" w14:textId="77777777">
      <w:r>
        <w:separator/>
      </w:r>
    </w:p>
  </w:footnote>
  <w:footnote w:type="continuationSeparator" w:id="1">
    <w:p w:rsidR="00990204" w:rsidP="00C721AC" w14:paraId="0DF8BE5A" w14:textId="77777777">
      <w:pPr>
        <w:spacing w:before="120"/>
        <w:rPr>
          <w:sz w:val="20"/>
        </w:rPr>
      </w:pPr>
      <w:r>
        <w:rPr>
          <w:sz w:val="20"/>
        </w:rPr>
        <w:t xml:space="preserve">(Continued from previous page)  </w:t>
      </w:r>
      <w:r>
        <w:rPr>
          <w:sz w:val="20"/>
        </w:rPr>
        <w:separator/>
      </w:r>
    </w:p>
  </w:footnote>
  <w:footnote w:type="continuationNotice" w:id="2">
    <w:p w:rsidR="00990204" w:rsidP="00C721AC" w14:paraId="353BA84E" w14:textId="77777777">
      <w:pPr>
        <w:jc w:val="right"/>
        <w:rPr>
          <w:sz w:val="20"/>
        </w:rPr>
      </w:pPr>
      <w:r>
        <w:rPr>
          <w:sz w:val="20"/>
        </w:rPr>
        <w:t>(continued….)</w:t>
      </w:r>
    </w:p>
  </w:footnote>
  <w:footnote w:id="3">
    <w:p w:rsidR="002E4A42" w14:paraId="6F4C5101" w14:textId="403D7F7C">
      <w:pPr>
        <w:pStyle w:val="FootnoteText"/>
      </w:pPr>
      <w:r>
        <w:rPr>
          <w:rStyle w:val="FootnoteReference"/>
        </w:rPr>
        <w:footnoteRef/>
      </w:r>
      <w:r>
        <w:t xml:space="preserve"> 47 CFR §</w:t>
      </w:r>
      <w:r w:rsidR="000D50AD">
        <w:t>§ 54.604(a),</w:t>
      </w:r>
      <w:r>
        <w:t xml:space="preserve"> 54.605(a).</w:t>
      </w:r>
    </w:p>
  </w:footnote>
  <w:footnote w:id="4">
    <w:p w:rsidR="002E4A42" w14:paraId="4933B4F3" w14:textId="2D3D03DA">
      <w:pPr>
        <w:pStyle w:val="FootnoteText"/>
      </w:pPr>
      <w:r>
        <w:rPr>
          <w:rStyle w:val="FootnoteReference"/>
        </w:rPr>
        <w:footnoteRef/>
      </w:r>
      <w:r>
        <w:t xml:space="preserve"> </w:t>
      </w:r>
      <w:r w:rsidR="002F2D67">
        <w:t>47 CFR § 54.626(a).</w:t>
      </w:r>
    </w:p>
  </w:footnote>
  <w:footnote w:id="5">
    <w:p w:rsidR="002E4A42" w14:paraId="6B1DD4EE" w14:textId="186A42DC">
      <w:pPr>
        <w:pStyle w:val="FootnoteText"/>
      </w:pPr>
      <w:r>
        <w:rPr>
          <w:rStyle w:val="FootnoteReference"/>
        </w:rPr>
        <w:footnoteRef/>
      </w:r>
      <w:r>
        <w:t xml:space="preserve"> </w:t>
      </w:r>
      <w:r w:rsidR="002F2D67">
        <w:t>47 CFR § 54.627(a).</w:t>
      </w:r>
    </w:p>
  </w:footnote>
  <w:footnote w:id="6">
    <w:p w:rsidR="00E305DF" w:rsidRPr="00E24EEB" w:rsidP="00E305DF" w14:paraId="45C2539B" w14:textId="77777777">
      <w:pPr>
        <w:pStyle w:val="FootnoteText"/>
      </w:pPr>
      <w:r w:rsidRPr="00E24EEB">
        <w:rPr>
          <w:rStyle w:val="FootnoteReference"/>
        </w:rPr>
        <w:footnoteRef/>
      </w:r>
      <w:r w:rsidRPr="00E24EEB">
        <w:t xml:space="preserve"> </w:t>
      </w:r>
      <w:r w:rsidRPr="00E24EEB">
        <w:rPr>
          <w:i/>
          <w:iCs/>
        </w:rPr>
        <w:t xml:space="preserve">See </w:t>
      </w:r>
      <w:r w:rsidRPr="00E24EEB">
        <w:t xml:space="preserve">47 U.S.C. § 254(h)(1)(A); </w:t>
      </w:r>
      <w:r w:rsidRPr="00E24EEB">
        <w:rPr>
          <w:i/>
          <w:iCs/>
        </w:rPr>
        <w:t>Federal-State Joint Board on Universal Service</w:t>
      </w:r>
      <w:r w:rsidRPr="00E24EEB">
        <w:t>, CC Docket No. 96-45, Report and Order, 12 FCC Rcd 8776, 9093-161, paras. 608-749 (1997)</w:t>
      </w:r>
      <w:r w:rsidRPr="00E24EEB" w:rsidR="005E24F8">
        <w:t xml:space="preserve"> (</w:t>
      </w:r>
      <w:r w:rsidRPr="00E24EEB" w:rsidR="005E24F8">
        <w:rPr>
          <w:i/>
        </w:rPr>
        <w:t>Universal Service First Report and Order</w:t>
      </w:r>
      <w:r w:rsidRPr="00E24EEB" w:rsidR="00377C58">
        <w:rPr>
          <w:iCs/>
        </w:rPr>
        <w:t>)</w:t>
      </w:r>
      <w:r w:rsidRPr="00E24EEB">
        <w:t>.</w:t>
      </w:r>
    </w:p>
  </w:footnote>
  <w:footnote w:id="7">
    <w:p w:rsidR="00E305DF" w:rsidRPr="00E24EEB" w:rsidP="00E305DF" w14:paraId="4B0E4B68" w14:textId="77777777">
      <w:pPr>
        <w:pStyle w:val="FootnoteText"/>
      </w:pPr>
      <w:r w:rsidRPr="00E24EEB">
        <w:rPr>
          <w:rStyle w:val="FootnoteReference"/>
        </w:rPr>
        <w:footnoteRef/>
      </w:r>
      <w:r w:rsidRPr="00E24EEB">
        <w:t xml:space="preserve"> </w:t>
      </w:r>
      <w:r w:rsidRPr="00E24EEB">
        <w:rPr>
          <w:i/>
          <w:iCs/>
        </w:rPr>
        <w:t xml:space="preserve">See </w:t>
      </w:r>
      <w:r w:rsidRPr="00E24EEB">
        <w:t xml:space="preserve">47 U.S.C. § 254(h)(2)(A); 47 CFR </w:t>
      </w:r>
      <w:r w:rsidRPr="00E24EEB" w:rsidR="00462DC8">
        <w:t>§</w:t>
      </w:r>
      <w:r w:rsidRPr="00E24EEB">
        <w:t>§ 54.611</w:t>
      </w:r>
      <w:r w:rsidRPr="00E24EEB" w:rsidR="00462DC8">
        <w:t>, 54.612</w:t>
      </w:r>
      <w:r w:rsidRPr="00E24EEB">
        <w:t xml:space="preserve">; </w:t>
      </w:r>
      <w:r w:rsidRPr="00E24EEB" w:rsidR="00906725">
        <w:rPr>
          <w:i/>
          <w:iCs/>
        </w:rPr>
        <w:t>Rural Health Care Support Mechanism</w:t>
      </w:r>
      <w:r w:rsidRPr="00E24EEB" w:rsidR="00906725">
        <w:t>, WC Docket No. 02-60, Report and Order, 27 FCC Rcd 16678, 16680-81, paras. 1-3 (2012) (</w:t>
      </w:r>
      <w:r w:rsidRPr="00E24EEB" w:rsidR="00906725">
        <w:rPr>
          <w:i/>
          <w:iCs/>
        </w:rPr>
        <w:t>Healthcare Connect Fund Order</w:t>
      </w:r>
      <w:r w:rsidRPr="00E24EEB" w:rsidR="00906725">
        <w:t>)</w:t>
      </w:r>
      <w:r w:rsidRPr="00E24EEB">
        <w:t>.</w:t>
      </w:r>
    </w:p>
  </w:footnote>
  <w:footnote w:id="8">
    <w:p w:rsidR="00EA2A56" w:rsidRPr="00E24EEB" w:rsidP="00EA2A56" w14:paraId="197DA79B" w14:textId="13054382">
      <w:pPr>
        <w:pStyle w:val="FootnoteText"/>
      </w:pPr>
      <w:r w:rsidRPr="00E24EEB">
        <w:rPr>
          <w:rStyle w:val="FootnoteReference"/>
        </w:rPr>
        <w:footnoteRef/>
      </w:r>
      <w:r w:rsidRPr="00E24EEB">
        <w:t xml:space="preserve"> </w:t>
      </w:r>
      <w:r w:rsidRPr="00E24EEB">
        <w:rPr>
          <w:i/>
          <w:iCs/>
        </w:rPr>
        <w:t>See, e.g.</w:t>
      </w:r>
      <w:r w:rsidRPr="00E24EEB">
        <w:t>,</w:t>
      </w:r>
      <w:r w:rsidRPr="00E24EEB">
        <w:rPr>
          <w:i/>
          <w:iCs/>
        </w:rPr>
        <w:t xml:space="preserve"> </w:t>
      </w:r>
      <w:r w:rsidR="00E6264F">
        <w:t>47 CFR §§ 54.621, 54.626, 54.627, 54.631</w:t>
      </w:r>
      <w:r w:rsidR="001E220C">
        <w:t xml:space="preserve">; </w:t>
      </w:r>
      <w:r w:rsidRPr="00E24EEB">
        <w:rPr>
          <w:i/>
          <w:iCs/>
        </w:rPr>
        <w:t>Rural Health Care Support Mechanism</w:t>
      </w:r>
      <w:r w:rsidRPr="00E24EEB">
        <w:t>; WC Docket No. 02-60, Order, 35 FCC Rcd 2</w:t>
      </w:r>
      <w:r w:rsidRPr="00E24EEB" w:rsidR="00127213">
        <w:t>922</w:t>
      </w:r>
      <w:r w:rsidRPr="00E24EEB">
        <w:t>, 2</w:t>
      </w:r>
      <w:r w:rsidRPr="00E24EEB" w:rsidR="00127213">
        <w:t>927</w:t>
      </w:r>
      <w:r w:rsidRPr="00E24EEB">
        <w:t>, para. 1</w:t>
      </w:r>
      <w:r w:rsidRPr="00E24EEB" w:rsidR="003335DB">
        <w:t>3</w:t>
      </w:r>
      <w:r w:rsidRPr="00E24EEB">
        <w:t xml:space="preserve"> (WCB 2020) (</w:t>
      </w:r>
      <w:r w:rsidRPr="00E24EEB">
        <w:rPr>
          <w:i/>
        </w:rPr>
        <w:t xml:space="preserve">COVID-19 </w:t>
      </w:r>
      <w:r w:rsidRPr="00E24EEB" w:rsidR="0017120D">
        <w:rPr>
          <w:i/>
          <w:iCs/>
        </w:rPr>
        <w:t>RHC</w:t>
      </w:r>
      <w:r w:rsidRPr="00E24EEB" w:rsidR="0017120D">
        <w:rPr>
          <w:i/>
          <w:iCs/>
        </w:rPr>
        <w:t xml:space="preserve"> Relief </w:t>
      </w:r>
      <w:r w:rsidRPr="00E24EEB">
        <w:rPr>
          <w:i/>
        </w:rPr>
        <w:t>Order</w:t>
      </w:r>
      <w:r w:rsidRPr="00E24EEB">
        <w:t>) (reminding</w:t>
      </w:r>
      <w:r w:rsidRPr="00E24EEB" w:rsidR="0071559C">
        <w:t xml:space="preserve"> </w:t>
      </w:r>
      <w:r w:rsidRPr="00E24EEB">
        <w:t xml:space="preserve">program participants and service providers that they are subject to audits and investigations to determine compliance with </w:t>
      </w:r>
      <w:r w:rsidRPr="00E24EEB" w:rsidR="00C65BE4">
        <w:t>RHC</w:t>
      </w:r>
      <w:r w:rsidRPr="00E24EEB">
        <w:t xml:space="preserve"> </w:t>
      </w:r>
      <w:r w:rsidRPr="00E24EEB" w:rsidR="00C65BE4">
        <w:t>P</w:t>
      </w:r>
      <w:r w:rsidRPr="00E24EEB">
        <w:t xml:space="preserve">rogram rules and requirements); </w:t>
      </w:r>
      <w:r w:rsidRPr="00E24EEB">
        <w:rPr>
          <w:i/>
          <w:iCs/>
        </w:rPr>
        <w:t xml:space="preserve">Promoting Telehealth </w:t>
      </w:r>
      <w:r w:rsidR="00526C1E">
        <w:rPr>
          <w:i/>
          <w:iCs/>
        </w:rPr>
        <w:t>in Rural America</w:t>
      </w:r>
      <w:r w:rsidRPr="00E24EEB">
        <w:rPr>
          <w:i/>
          <w:iCs/>
        </w:rPr>
        <w:t>,</w:t>
      </w:r>
      <w:r w:rsidRPr="00E24EEB">
        <w:t xml:space="preserve"> </w:t>
      </w:r>
      <w:r w:rsidR="007906C5">
        <w:t xml:space="preserve">WC Docket 17-310, Report and Order, </w:t>
      </w:r>
      <w:r w:rsidRPr="00E24EEB">
        <w:t xml:space="preserve">34 FCC Rcd </w:t>
      </w:r>
      <w:r w:rsidR="007906C5">
        <w:t xml:space="preserve">7335, </w:t>
      </w:r>
      <w:r w:rsidRPr="00E24EEB">
        <w:t xml:space="preserve">7423, para. 189 </w:t>
      </w:r>
      <w:r w:rsidR="001E220C">
        <w:t xml:space="preserve">(2019) </w:t>
      </w:r>
      <w:r w:rsidR="00EC0E0A">
        <w:t>(</w:t>
      </w:r>
      <w:r w:rsidR="00EC0E0A">
        <w:rPr>
          <w:i/>
          <w:iCs/>
        </w:rPr>
        <w:t>Promoting Telehealth Report and Order</w:t>
      </w:r>
      <w:r w:rsidR="00EC0E0A">
        <w:t>)</w:t>
      </w:r>
      <w:r w:rsidRPr="00E24EEB" w:rsidR="00EC0E0A">
        <w:t xml:space="preserve"> </w:t>
      </w:r>
      <w:r w:rsidRPr="00E24EEB">
        <w:t xml:space="preserve">(explaining that “filing deadlines are necessary for efficient administration of the </w:t>
      </w:r>
      <w:r w:rsidRPr="00E24EEB">
        <w:t>RHC</w:t>
      </w:r>
      <w:r w:rsidRPr="00E24EEB">
        <w:t xml:space="preserve"> Program</w:t>
      </w:r>
      <w:r w:rsidR="00306F85">
        <w:t>.</w:t>
      </w:r>
      <w:r w:rsidRPr="00E24EEB">
        <w:t>”);</w:t>
      </w:r>
      <w:r w:rsidRPr="00E24EEB">
        <w:rPr>
          <w:i/>
          <w:snapToGrid w:val="0"/>
          <w:kern w:val="28"/>
          <w:bdr w:val="none" w:sz="0" w:space="0" w:color="auto" w:frame="1"/>
          <w:shd w:val="clear" w:color="auto" w:fill="FFFFFF"/>
        </w:rPr>
        <w:t> </w:t>
      </w:r>
      <w:hyperlink r:id="rId1" w:anchor="co_pp_sp_4493_1065" w:history="1">
        <w:r w:rsidRPr="00E24EEB">
          <w:rPr>
            <w:i/>
            <w:snapToGrid w:val="0"/>
            <w:kern w:val="28"/>
            <w:bdr w:val="none" w:sz="0" w:space="0" w:color="auto" w:frame="1"/>
            <w:shd w:val="clear" w:color="auto" w:fill="FFFFFF"/>
          </w:rPr>
          <w:t>Rural Health Care Support Mechanism</w:t>
        </w:r>
        <w:r w:rsidRPr="00E24EEB">
          <w:rPr>
            <w:snapToGrid w:val="0"/>
            <w:kern w:val="28"/>
            <w:bdr w:val="none" w:sz="0" w:space="0" w:color="auto" w:frame="1"/>
            <w:shd w:val="clear" w:color="auto" w:fill="FFFFFF"/>
          </w:rPr>
          <w:t>, WC Docket No. 02-60, Order, 30 FCC Rcd 1063, 1065, para. 6 (WCB 2015)</w:t>
        </w:r>
      </w:hyperlink>
      <w:r w:rsidRPr="00E24EEB">
        <w:rPr>
          <w:snapToGrid w:val="0"/>
          <w:kern w:val="28"/>
          <w:shd w:val="clear" w:color="auto" w:fill="FFFFFF"/>
        </w:rPr>
        <w:t> (reminding applicants that adherence to the filing </w:t>
      </w:r>
      <w:r w:rsidRPr="00E24EEB">
        <w:rPr>
          <w:snapToGrid w:val="0"/>
          <w:kern w:val="28"/>
          <w:bdr w:val="none" w:sz="0" w:space="0" w:color="auto" w:frame="1"/>
        </w:rPr>
        <w:t>deadlines</w:t>
      </w:r>
      <w:r w:rsidRPr="00E24EEB">
        <w:rPr>
          <w:snapToGrid w:val="0"/>
          <w:kern w:val="28"/>
          <w:shd w:val="clear" w:color="auto" w:fill="FFFFFF"/>
        </w:rPr>
        <w:t> and program rules are </w:t>
      </w:r>
      <w:r w:rsidRPr="00E24EEB">
        <w:rPr>
          <w:snapToGrid w:val="0"/>
          <w:kern w:val="28"/>
          <w:bdr w:val="none" w:sz="0" w:space="0" w:color="auto" w:frame="1"/>
        </w:rPr>
        <w:t>necessary</w:t>
      </w:r>
      <w:r w:rsidRPr="00E24EEB">
        <w:rPr>
          <w:snapToGrid w:val="0"/>
          <w:kern w:val="28"/>
          <w:shd w:val="clear" w:color="auto" w:fill="FFFFFF"/>
        </w:rPr>
        <w:t> for the </w:t>
      </w:r>
      <w:r w:rsidRPr="00E24EEB">
        <w:rPr>
          <w:snapToGrid w:val="0"/>
          <w:kern w:val="28"/>
          <w:bdr w:val="none" w:sz="0" w:space="0" w:color="auto" w:frame="1"/>
        </w:rPr>
        <w:t>efficient</w:t>
      </w:r>
      <w:r w:rsidRPr="00E24EEB">
        <w:rPr>
          <w:snapToGrid w:val="0"/>
          <w:kern w:val="28"/>
          <w:shd w:val="clear" w:color="auto" w:fill="FFFFFF"/>
        </w:rPr>
        <w:t xml:space="preserve"> administration of the </w:t>
      </w:r>
      <w:r w:rsidRPr="00E24EEB">
        <w:rPr>
          <w:snapToGrid w:val="0"/>
          <w:kern w:val="28"/>
          <w:shd w:val="clear" w:color="auto" w:fill="FFFFFF"/>
        </w:rPr>
        <w:t>RHC</w:t>
      </w:r>
      <w:r w:rsidRPr="00E24EEB">
        <w:rPr>
          <w:snapToGrid w:val="0"/>
          <w:kern w:val="28"/>
          <w:shd w:val="clear" w:color="auto" w:fill="FFFFFF"/>
        </w:rPr>
        <w:t xml:space="preserve"> Program). </w:t>
      </w:r>
    </w:p>
  </w:footnote>
  <w:footnote w:id="9">
    <w:p w:rsidR="00EF0E72" w:rsidRPr="00E24EEB" w14:paraId="7E6FB669" w14:textId="2BABAB3F">
      <w:pPr>
        <w:pStyle w:val="FootnoteText"/>
      </w:pPr>
      <w:r w:rsidRPr="00E24EEB">
        <w:rPr>
          <w:rStyle w:val="FootnoteReference"/>
        </w:rPr>
        <w:footnoteRef/>
      </w:r>
      <w:r w:rsidRPr="00E24EEB">
        <w:t xml:space="preserve"> </w:t>
      </w:r>
      <w:r w:rsidRPr="00E24EEB">
        <w:rPr>
          <w:i/>
          <w:iCs/>
        </w:rPr>
        <w:t xml:space="preserve">See </w:t>
      </w:r>
      <w:r w:rsidRPr="00E24EEB">
        <w:t xml:space="preserve">47 CFR § 54.607 (2019).  All references herein to section 54.607 refer to this version of the rule and its subparts as set forth in the Commission’s rules prior to the effective date of the Rural Health Care Program reforms adopted in 2019.  Except as otherwise provided in this Order, section 54.607 remains in effect through the end of </w:t>
      </w:r>
      <w:r w:rsidRPr="00E24EEB" w:rsidR="00F82C83">
        <w:t>f</w:t>
      </w:r>
      <w:r w:rsidRPr="00E24EEB">
        <w:t xml:space="preserve">unding </w:t>
      </w:r>
      <w:r w:rsidRPr="00E24EEB" w:rsidR="00F82C83">
        <w:t>y</w:t>
      </w:r>
      <w:r w:rsidRPr="00E24EEB">
        <w:t xml:space="preserve">ear 2020.  </w:t>
      </w:r>
      <w:r w:rsidRPr="00E24EEB">
        <w:rPr>
          <w:i/>
          <w:iCs/>
        </w:rPr>
        <w:t>See Wireline Competition Bureau Provides Guidance on the Implementation Schedule for Reforms Adopted by the Rural Health Care Program Promoting Telehealth Report and Order</w:t>
      </w:r>
      <w:r w:rsidRPr="00E24EEB">
        <w:t>, WC Docket No. 17-310, Public Notice, 34 FCC Rcd 11983, 11985 (WCB 2019) (</w:t>
      </w:r>
      <w:r w:rsidRPr="00E24EEB">
        <w:rPr>
          <w:i/>
          <w:iCs/>
        </w:rPr>
        <w:t>Promoting Telehealth Implementation Public Notice</w:t>
      </w:r>
      <w:r w:rsidRPr="00E24EEB">
        <w:t>) (announcing the effective date of section 54.605(a), which replaces section 54.607 as the means for determining rural rates, at the beginning of the funding year 2021 competitive bidding period).</w:t>
      </w:r>
    </w:p>
  </w:footnote>
  <w:footnote w:id="10">
    <w:p w:rsidR="00A44CF5" w:rsidRPr="00E24EEB" w:rsidP="00A44CF5" w14:paraId="1EB5CDFC" w14:textId="77777777">
      <w:pPr>
        <w:pStyle w:val="FootnoteText"/>
      </w:pPr>
      <w:r w:rsidRPr="00E24EEB">
        <w:rPr>
          <w:rStyle w:val="FootnoteReference"/>
        </w:rPr>
        <w:footnoteRef/>
      </w:r>
      <w:r w:rsidRPr="00E24EEB">
        <w:t xml:space="preserve"> For the purposes of </w:t>
      </w:r>
      <w:r w:rsidRPr="00E24EEB" w:rsidR="00B4475C">
        <w:t>s</w:t>
      </w:r>
      <w:r w:rsidRPr="00E24EEB">
        <w:t xml:space="preserve">ection 254 of the Communications Act, a “rate” is a single rate for a complete end-to-end service, and not rates for components of a service.  </w:t>
      </w:r>
      <w:r w:rsidRPr="00E24EEB">
        <w:rPr>
          <w:i/>
        </w:rPr>
        <w:t>See Universal Service First Report and Order</w:t>
      </w:r>
      <w:r w:rsidRPr="00E24EEB">
        <w:t>, 12 FCC Rcd at 9128, paras. 674-75.</w:t>
      </w:r>
    </w:p>
  </w:footnote>
  <w:footnote w:id="11">
    <w:p w:rsidR="00A44CF5" w:rsidRPr="00E24EEB" w:rsidP="00A44CF5" w14:paraId="3FAC0F7E" w14:textId="77777777">
      <w:pPr>
        <w:pStyle w:val="FootnoteText"/>
      </w:pPr>
      <w:r w:rsidRPr="00E24EEB">
        <w:rPr>
          <w:rStyle w:val="FootnoteReference"/>
        </w:rPr>
        <w:footnoteRef/>
      </w:r>
      <w:r w:rsidRPr="00E24EEB">
        <w:t xml:space="preserve"> 47 CFR § 54.607(a), (b)</w:t>
      </w:r>
      <w:r w:rsidRPr="00E24EEB" w:rsidR="00D74B39">
        <w:t xml:space="preserve"> (2019)</w:t>
      </w:r>
      <w:r w:rsidRPr="00E24EEB">
        <w:t>.</w:t>
      </w:r>
    </w:p>
  </w:footnote>
  <w:footnote w:id="12">
    <w:p w:rsidR="00A44CF5" w:rsidRPr="00E24EEB" w:rsidP="00A44CF5" w14:paraId="46DB3189" w14:textId="77777777">
      <w:pPr>
        <w:pStyle w:val="FootnoteText"/>
      </w:pPr>
      <w:r w:rsidRPr="00E24EEB">
        <w:rPr>
          <w:rStyle w:val="FootnoteReference"/>
        </w:rPr>
        <w:footnoteRef/>
      </w:r>
      <w:r w:rsidRPr="00E24EEB">
        <w:t xml:space="preserve"> 47 CFR § 54.607(b)(1)</w:t>
      </w:r>
      <w:r w:rsidRPr="00E24EEB" w:rsidR="00D74B39">
        <w:t xml:space="preserve"> (2019)</w:t>
      </w:r>
      <w:r w:rsidRPr="00E24EEB">
        <w:t xml:space="preserve">. </w:t>
      </w:r>
    </w:p>
  </w:footnote>
  <w:footnote w:id="13">
    <w:p w:rsidR="007A14B4" w14:paraId="74B99FAF" w14:textId="2A87B4A1">
      <w:pPr>
        <w:pStyle w:val="FootnoteText"/>
      </w:pPr>
      <w:r>
        <w:rPr>
          <w:rStyle w:val="FootnoteReference"/>
        </w:rPr>
        <w:footnoteRef/>
      </w:r>
      <w:r>
        <w:t xml:space="preserve"> </w:t>
      </w:r>
      <w:r w:rsidR="00C43980">
        <w:t>47 CFR § 54.605(a) (2019)</w:t>
      </w:r>
      <w:r w:rsidR="00631E43">
        <w:t xml:space="preserve">.  </w:t>
      </w:r>
      <w:r w:rsidR="00A956D0">
        <w:t xml:space="preserve"> </w:t>
      </w:r>
    </w:p>
  </w:footnote>
  <w:footnote w:id="14">
    <w:p w:rsidR="00CB68B3" w:rsidRPr="000C6A91" w14:paraId="782ED9CA" w14:textId="55DD4940">
      <w:pPr>
        <w:pStyle w:val="FootnoteText"/>
      </w:pPr>
      <w:r>
        <w:rPr>
          <w:rStyle w:val="FootnoteReference"/>
        </w:rPr>
        <w:footnoteRef/>
      </w:r>
      <w:r>
        <w:t xml:space="preserve"> </w:t>
      </w:r>
      <w:r w:rsidR="008559CA">
        <w:rPr>
          <w:i/>
          <w:iCs/>
        </w:rPr>
        <w:t>See</w:t>
      </w:r>
      <w:r w:rsidR="008559CA">
        <w:t xml:space="preserve"> FCC Form 466 Instructions, at 8</w:t>
      </w:r>
      <w:r w:rsidR="00464DBD">
        <w:t xml:space="preserve"> (2019)</w:t>
      </w:r>
      <w:r w:rsidR="008559CA">
        <w:t xml:space="preserve">.  </w:t>
      </w:r>
    </w:p>
  </w:footnote>
  <w:footnote w:id="15">
    <w:p w:rsidR="00A87A86" w:rsidRPr="00334EB9" w14:paraId="0EF7AA0B" w14:textId="0371E647">
      <w:pPr>
        <w:pStyle w:val="FootnoteText"/>
        <w:rPr>
          <w:i/>
          <w:iCs/>
        </w:rPr>
      </w:pPr>
      <w:r>
        <w:rPr>
          <w:rStyle w:val="FootnoteReference"/>
        </w:rPr>
        <w:footnoteRef/>
      </w:r>
      <w:r>
        <w:t xml:space="preserve"> </w:t>
      </w:r>
      <w:r w:rsidR="00D81D35">
        <w:rPr>
          <w:i/>
          <w:iCs/>
        </w:rPr>
        <w:t xml:space="preserve">See id. </w:t>
      </w:r>
    </w:p>
  </w:footnote>
  <w:footnote w:id="16">
    <w:p w:rsidR="0056232E" w:rsidRPr="00E24EEB" w14:paraId="620829A9" w14:textId="2851DC97">
      <w:pPr>
        <w:pStyle w:val="FootnoteText"/>
      </w:pPr>
      <w:r w:rsidRPr="00E24EEB">
        <w:rPr>
          <w:rStyle w:val="FootnoteReference"/>
        </w:rPr>
        <w:footnoteRef/>
      </w:r>
      <w:r w:rsidRPr="00E24EEB">
        <w:t xml:space="preserve"> </w:t>
      </w:r>
      <w:r w:rsidRPr="00E24EEB">
        <w:rPr>
          <w:i/>
          <w:iCs/>
        </w:rPr>
        <w:t>Promoting Telehealth Report and Order</w:t>
      </w:r>
      <w:r w:rsidRPr="00E24EEB">
        <w:t>, 34 FCC Rcd at 7372-73, para. 78</w:t>
      </w:r>
      <w:r w:rsidRPr="00E24EEB" w:rsidR="00A33FE6">
        <w:t>; 47 CFR §§ 54.604(b) (</w:t>
      </w:r>
      <w:r w:rsidR="00756DDB">
        <w:t xml:space="preserve">determining the </w:t>
      </w:r>
      <w:r w:rsidRPr="00E24EEB" w:rsidR="00A33FE6">
        <w:t>urban rate); 54.605(b) (</w:t>
      </w:r>
      <w:r w:rsidR="00756DDB">
        <w:t xml:space="preserve">determining the </w:t>
      </w:r>
      <w:r w:rsidRPr="00E24EEB" w:rsidR="00A33FE6">
        <w:t>rural rate).</w:t>
      </w:r>
      <w:r w:rsidRPr="00E24EEB" w:rsidR="00206BD5">
        <w:t xml:space="preserve">  Under the Commission’s rules, the rurality tiers are defined as Less Rural, Rural, Extremely Rural, and Frontier.  Less Rural areas are those </w:t>
      </w:r>
      <w:r w:rsidR="00756DDB">
        <w:t xml:space="preserve">in a Core Based Statistical area </w:t>
      </w:r>
      <w:r w:rsidRPr="00E24EEB" w:rsidR="00206BD5">
        <w:t>that contain</w:t>
      </w:r>
      <w:r w:rsidR="00756DDB">
        <w:t>s</w:t>
      </w:r>
      <w:r w:rsidRPr="00E24EEB" w:rsidR="00206BD5">
        <w:t xml:space="preserve"> an urban area with a population of 25,000 or greater but are within a specific census tract that itself does not contain any part of a Place or Urban Area with a population of greater than 25,000.  Rural areas are those that are within a Core Based Statistical Area that does not have an Urban Area with a population of 25,000 or greater.  Extremely Rural areas are those that are entirely outside of a Core Based Statistical Area.  Frontier areas </w:t>
      </w:r>
      <w:r w:rsidRPr="00E24EEB" w:rsidR="00206BD5">
        <w:t>are located in</w:t>
      </w:r>
      <w:r w:rsidRPr="00E24EEB" w:rsidR="00206BD5">
        <w:t xml:space="preserve"> Alaska only, in areas outside of a Core Based Statistical Area that are inaccessible by road as determined by the Alaska Department of Commerce, Community, and Economic Development, Division of Community and Regional Affairs.  47 CFR § 54.605(a)(1).</w:t>
      </w:r>
    </w:p>
  </w:footnote>
  <w:footnote w:id="17">
    <w:p w:rsidR="00AB18D8" w:rsidRPr="00E24EEB" w14:paraId="337D1B91" w14:textId="77777777">
      <w:pPr>
        <w:pStyle w:val="FootnoteText"/>
      </w:pPr>
      <w:r w:rsidRPr="00E24EEB">
        <w:rPr>
          <w:rStyle w:val="FootnoteReference"/>
        </w:rPr>
        <w:footnoteRef/>
      </w:r>
      <w:r w:rsidRPr="00E24EEB">
        <w:t xml:space="preserve"> 47 CFR § 54.605(a).</w:t>
      </w:r>
    </w:p>
  </w:footnote>
  <w:footnote w:id="18">
    <w:p w:rsidR="00F26A46" w14:paraId="32147334" w14:textId="6C74C79B">
      <w:pPr>
        <w:pStyle w:val="FootnoteText"/>
      </w:pPr>
      <w:r>
        <w:rPr>
          <w:rStyle w:val="FootnoteReference"/>
        </w:rPr>
        <w:footnoteRef/>
      </w:r>
      <w:r>
        <w:t xml:space="preserve"> 47 CFR § 54.604(a).</w:t>
      </w:r>
    </w:p>
  </w:footnote>
  <w:footnote w:id="19">
    <w:p w:rsidR="00CF11C9" w:rsidRPr="00E24EEB" w14:paraId="037922AE" w14:textId="77777777">
      <w:pPr>
        <w:pStyle w:val="FootnoteText"/>
        <w:rPr>
          <w:i/>
          <w:iCs/>
        </w:rPr>
      </w:pPr>
      <w:r w:rsidRPr="00E24EEB">
        <w:rPr>
          <w:rStyle w:val="FootnoteReference"/>
        </w:rPr>
        <w:footnoteRef/>
      </w:r>
      <w:r w:rsidRPr="00E24EEB">
        <w:t xml:space="preserve"> </w:t>
      </w:r>
      <w:r w:rsidRPr="00E24EEB">
        <w:rPr>
          <w:i/>
          <w:iCs/>
        </w:rPr>
        <w:t xml:space="preserve">See </w:t>
      </w:r>
      <w:r w:rsidRPr="00E24EEB" w:rsidR="002C57F7">
        <w:rPr>
          <w:i/>
          <w:iCs/>
        </w:rPr>
        <w:t xml:space="preserve">Promoting Telehealth </w:t>
      </w:r>
      <w:r w:rsidRPr="00E24EEB" w:rsidR="006468B3">
        <w:rPr>
          <w:i/>
          <w:iCs/>
        </w:rPr>
        <w:t>Implementation</w:t>
      </w:r>
      <w:r w:rsidRPr="00E24EEB">
        <w:rPr>
          <w:i/>
          <w:iCs/>
        </w:rPr>
        <w:t xml:space="preserve"> </w:t>
      </w:r>
      <w:r w:rsidRPr="00E24EEB" w:rsidR="00836674">
        <w:rPr>
          <w:i/>
          <w:iCs/>
        </w:rPr>
        <w:t>P</w:t>
      </w:r>
      <w:r w:rsidRPr="00E24EEB" w:rsidR="00761E68">
        <w:rPr>
          <w:i/>
          <w:iCs/>
        </w:rPr>
        <w:t xml:space="preserve">ublic </w:t>
      </w:r>
      <w:r w:rsidRPr="00E24EEB" w:rsidR="00836674">
        <w:rPr>
          <w:i/>
          <w:iCs/>
        </w:rPr>
        <w:t>N</w:t>
      </w:r>
      <w:r w:rsidRPr="00E24EEB" w:rsidR="00761E68">
        <w:rPr>
          <w:i/>
          <w:iCs/>
        </w:rPr>
        <w:t>otice</w:t>
      </w:r>
      <w:r w:rsidRPr="00E24EEB" w:rsidR="00021E59">
        <w:t xml:space="preserve">, </w:t>
      </w:r>
      <w:r w:rsidRPr="00E24EEB" w:rsidR="00A4504F">
        <w:t xml:space="preserve">34 FCC Rcd at </w:t>
      </w:r>
      <w:r w:rsidRPr="00E24EEB" w:rsidR="00ED026E">
        <w:t>11985</w:t>
      </w:r>
      <w:r w:rsidRPr="00E24EEB" w:rsidR="00990487">
        <w:rPr>
          <w:i/>
          <w:iCs/>
        </w:rPr>
        <w:t>.</w:t>
      </w:r>
    </w:p>
  </w:footnote>
  <w:footnote w:id="20">
    <w:p w:rsidR="00CF3702" w14:paraId="4A977554" w14:textId="2BECD29A">
      <w:pPr>
        <w:pStyle w:val="FootnoteText"/>
      </w:pPr>
      <w:r>
        <w:rPr>
          <w:rStyle w:val="FootnoteReference"/>
        </w:rPr>
        <w:footnoteRef/>
      </w:r>
      <w:r>
        <w:t xml:space="preserve"> </w:t>
      </w:r>
      <w:r w:rsidRPr="00E24EEB" w:rsidR="00B4093B">
        <w:rPr>
          <w:i/>
          <w:iCs/>
        </w:rPr>
        <w:t>Promoting Telehealth in Rural America</w:t>
      </w:r>
      <w:r w:rsidRPr="00E24EEB" w:rsidR="00B4093B">
        <w:t>, WC Docket No. 17-310, Order, DA 21-83</w:t>
      </w:r>
      <w:r w:rsidR="00B4093B">
        <w:t>, at 1, para. 2</w:t>
      </w:r>
      <w:r w:rsidRPr="00E24EEB" w:rsidR="00B4093B">
        <w:t xml:space="preserve"> (WCB Jan. 19, 2021) (</w:t>
      </w:r>
      <w:r w:rsidRPr="00E24EEB" w:rsidR="00B4093B">
        <w:rPr>
          <w:i/>
          <w:iCs/>
        </w:rPr>
        <w:t>Alaska Rates Database Waiver Order</w:t>
      </w:r>
      <w:r w:rsidRPr="00E24EEB" w:rsidR="00B4093B">
        <w:t>).</w:t>
      </w:r>
    </w:p>
  </w:footnote>
  <w:footnote w:id="21">
    <w:p w:rsidR="000E184D" w:rsidRPr="00E24EEB" w:rsidP="000E184D" w14:paraId="1D8DCCDC" w14:textId="6D19DD64">
      <w:pPr>
        <w:pStyle w:val="FootnoteText"/>
      </w:pPr>
      <w:r w:rsidRPr="00E24EEB">
        <w:rPr>
          <w:rStyle w:val="FootnoteReference"/>
        </w:rPr>
        <w:footnoteRef/>
      </w:r>
      <w:r w:rsidR="002A0373">
        <w:rPr>
          <w:i/>
          <w:iCs/>
        </w:rPr>
        <w:t>Id</w:t>
      </w:r>
      <w:r w:rsidR="002A0373">
        <w:t>.</w:t>
      </w:r>
      <w:r w:rsidR="00B4093B">
        <w:t xml:space="preserve"> at </w:t>
      </w:r>
      <w:r w:rsidR="00345F6D">
        <w:t>3, para. 8</w:t>
      </w:r>
      <w:r w:rsidRPr="00E24EEB">
        <w:t>.</w:t>
      </w:r>
    </w:p>
  </w:footnote>
  <w:footnote w:id="22">
    <w:p w:rsidR="002A0373" w14:paraId="36512FB1" w14:textId="283312F8">
      <w:pPr>
        <w:pStyle w:val="FootnoteText"/>
      </w:pPr>
      <w:r>
        <w:rPr>
          <w:rStyle w:val="FootnoteReference"/>
        </w:rPr>
        <w:footnoteRef/>
      </w:r>
      <w:r>
        <w:t xml:space="preserve"> </w:t>
      </w:r>
      <w:r w:rsidRPr="002A0373">
        <w:rPr>
          <w:i/>
          <w:iCs/>
        </w:rPr>
        <w:t>Id</w:t>
      </w:r>
      <w:r>
        <w:t>. at 5-6, paras. 12-13.</w:t>
      </w:r>
    </w:p>
  </w:footnote>
  <w:footnote w:id="23">
    <w:p w:rsidR="00A83D01" w:rsidRPr="00E24EEB" w:rsidP="00A83D01" w14:paraId="1B3F5906" w14:textId="144F39FF">
      <w:pPr>
        <w:pStyle w:val="FootnoteText"/>
      </w:pPr>
      <w:r w:rsidRPr="00E24EEB">
        <w:rPr>
          <w:rStyle w:val="FootnoteReference"/>
        </w:rPr>
        <w:footnoteRef/>
      </w:r>
      <w:r w:rsidRPr="00E24EEB">
        <w:t xml:space="preserve"> </w:t>
      </w:r>
      <w:r w:rsidRPr="00E24EEB" w:rsidR="008D2FBE">
        <w:t xml:space="preserve">Letter from John Windhausen, Jr., Executive Director, </w:t>
      </w:r>
      <w:r w:rsidRPr="00E24EEB" w:rsidR="008D2FBE">
        <w:t>SHLB</w:t>
      </w:r>
      <w:r w:rsidRPr="00E24EEB" w:rsidR="008D2FBE">
        <w:t>, to Jessica Rosenworcel, Acting Chairwoman, FCC, et al., WC Docket No. 17-310 (filed Jan. 25, 2021) (</w:t>
      </w:r>
      <w:r w:rsidRPr="00E24EEB" w:rsidR="008D2FBE">
        <w:rPr>
          <w:i/>
          <w:iCs/>
        </w:rPr>
        <w:t>SHLB</w:t>
      </w:r>
      <w:r w:rsidRPr="00E24EEB" w:rsidR="008D2FBE">
        <w:rPr>
          <w:i/>
          <w:iCs/>
        </w:rPr>
        <w:t xml:space="preserve"> Request Letter</w:t>
      </w:r>
      <w:r w:rsidRPr="00E24EEB" w:rsidR="008D2FBE">
        <w:t>).</w:t>
      </w:r>
      <w:r w:rsidRPr="00E24EEB" w:rsidR="00554A9B">
        <w:t xml:space="preserve"> </w:t>
      </w:r>
      <w:r w:rsidR="008E4A33">
        <w:rPr>
          <w:i/>
          <w:iCs/>
        </w:rPr>
        <w:t>See</w:t>
      </w:r>
      <w:r w:rsidR="0041553A">
        <w:rPr>
          <w:i/>
          <w:iCs/>
        </w:rPr>
        <w:t xml:space="preserve"> also </w:t>
      </w:r>
      <w:r w:rsidR="0041553A">
        <w:t xml:space="preserve">Letter from Dan </w:t>
      </w:r>
      <w:r w:rsidR="0041553A">
        <w:t>Kettwich</w:t>
      </w:r>
      <w:r w:rsidR="0041553A">
        <w:t xml:space="preserve">, Chief Executive Officer, </w:t>
      </w:r>
      <w:r w:rsidR="00EB7BAA">
        <w:t xml:space="preserve">ADS Advanced Data Services, to Jessica Rosenworcel, Acting </w:t>
      </w:r>
      <w:r w:rsidR="00FF0DE4">
        <w:t>Chairwoman</w:t>
      </w:r>
      <w:r w:rsidR="00B1187D">
        <w:t>, Federal Communications Commission, et. al, WC Docket No. 17-310 (filed Feb. 3, 2021) (</w:t>
      </w:r>
      <w:r w:rsidR="00B1187D">
        <w:rPr>
          <w:i/>
          <w:iCs/>
        </w:rPr>
        <w:t>ADS Letter</w:t>
      </w:r>
      <w:r w:rsidR="00B1187D">
        <w:t>);</w:t>
      </w:r>
      <w:r w:rsidR="008E4A33">
        <w:rPr>
          <w:i/>
          <w:iCs/>
        </w:rPr>
        <w:t xml:space="preserve"> </w:t>
      </w:r>
      <w:r w:rsidRPr="00E24EEB" w:rsidR="0041553A">
        <w:t>Letter from Kristi Walker, Senior Project Manager, Community Care of West Virginia, to Jessica Rosenworcel, Acting Chairwoman, Federal Communications Commission, et al., WC Docket No. 17-310 (filed Feb. 18, 2021)</w:t>
      </w:r>
      <w:r w:rsidR="0041553A">
        <w:t xml:space="preserve"> (</w:t>
      </w:r>
      <w:r w:rsidR="0041553A">
        <w:rPr>
          <w:i/>
          <w:iCs/>
        </w:rPr>
        <w:t>CCWV</w:t>
      </w:r>
      <w:r w:rsidR="0041553A">
        <w:rPr>
          <w:i/>
          <w:iCs/>
        </w:rPr>
        <w:t xml:space="preserve"> Letter</w:t>
      </w:r>
      <w:r w:rsidR="0041553A">
        <w:t>)</w:t>
      </w:r>
      <w:r w:rsidRPr="00E24EEB" w:rsidR="0041553A">
        <w:t xml:space="preserve">; </w:t>
      </w:r>
      <w:r w:rsidRPr="00E24EEB" w:rsidR="00C24504">
        <w:t xml:space="preserve">Letter from </w:t>
      </w:r>
      <w:r w:rsidRPr="00E24EEB" w:rsidR="00C24504">
        <w:t>Whittney</w:t>
      </w:r>
      <w:r w:rsidRPr="00E24EEB" w:rsidR="00C24504">
        <w:t xml:space="preserve"> Walker, Director, Telecom Funding Programs, Community Hospital Corp., to Jessica Rosenworcel, Acting Chairwoman, et. al, WC Docket No. 17-310 (filed Feb. 5, 2021)</w:t>
      </w:r>
      <w:r w:rsidR="00302A99">
        <w:t xml:space="preserve"> (</w:t>
      </w:r>
      <w:r w:rsidR="00302A99">
        <w:rPr>
          <w:i/>
          <w:iCs/>
        </w:rPr>
        <w:t>CHC</w:t>
      </w:r>
      <w:r w:rsidR="00302A99">
        <w:rPr>
          <w:i/>
          <w:iCs/>
        </w:rPr>
        <w:t xml:space="preserve"> Letter</w:t>
      </w:r>
      <w:r w:rsidR="00302A99">
        <w:t>)</w:t>
      </w:r>
      <w:r w:rsidR="006908FF">
        <w:t xml:space="preserve">; </w:t>
      </w:r>
      <w:r w:rsidRPr="00E24EEB" w:rsidR="00C33217">
        <w:t xml:space="preserve">Letter from Angie Kronenberg, Chief Advocate and General Counsel, </w:t>
      </w:r>
      <w:r w:rsidRPr="00E24EEB" w:rsidR="00C33217">
        <w:t>INCOMPAS</w:t>
      </w:r>
      <w:r w:rsidRPr="00E24EEB" w:rsidR="00C33217">
        <w:t>, to Marlene H. Dortch, Secretary, Federal Communications Commission, WC Docket No. 17-310 (filed Feb. 12, 2021)</w:t>
      </w:r>
      <w:r w:rsidR="00C33217">
        <w:t xml:space="preserve"> (</w:t>
      </w:r>
      <w:r w:rsidR="00C33217">
        <w:rPr>
          <w:i/>
          <w:iCs/>
        </w:rPr>
        <w:t>INCOMPAS</w:t>
      </w:r>
      <w:r w:rsidR="00C33217">
        <w:rPr>
          <w:i/>
          <w:iCs/>
        </w:rPr>
        <w:t xml:space="preserve"> Letter</w:t>
      </w:r>
      <w:r w:rsidR="00C33217">
        <w:t>)</w:t>
      </w:r>
      <w:r w:rsidRPr="00E24EEB" w:rsidR="00C33217">
        <w:t xml:space="preserve">; </w:t>
      </w:r>
      <w:r w:rsidRPr="00E24EEB" w:rsidR="006908FF">
        <w:t>Letter from Carl Baranowski, Vice President and Chief Legal Officer, University of Texas Health Science Center at Tyler, to Acting Chairwoman Jessica Rosenworcel, et. al, WC Docket No. 17-310 (filed Jan. 27, 2021</w:t>
      </w:r>
      <w:r w:rsidR="000D1915">
        <w:t>)</w:t>
      </w:r>
      <w:r w:rsidR="00601BA7">
        <w:t xml:space="preserve"> (</w:t>
      </w:r>
      <w:r w:rsidR="00601BA7">
        <w:rPr>
          <w:i/>
          <w:iCs/>
        </w:rPr>
        <w:t>UT</w:t>
      </w:r>
      <w:r w:rsidR="007245EC">
        <w:rPr>
          <w:i/>
          <w:iCs/>
        </w:rPr>
        <w:t>HSC</w:t>
      </w:r>
      <w:r w:rsidR="007245EC">
        <w:rPr>
          <w:i/>
          <w:iCs/>
        </w:rPr>
        <w:t xml:space="preserve"> Letter</w:t>
      </w:r>
      <w:r w:rsidR="007245EC">
        <w:t>)</w:t>
      </w:r>
      <w:r w:rsidR="00FF0DE4">
        <w:t xml:space="preserve"> (all supporting </w:t>
      </w:r>
      <w:r w:rsidR="00FF0DE4">
        <w:t>SHLB’s</w:t>
      </w:r>
      <w:r w:rsidR="00FF0DE4">
        <w:t xml:space="preserve"> waiver request)</w:t>
      </w:r>
      <w:r w:rsidRPr="00E24EEB" w:rsidR="00C24504">
        <w:t>.</w:t>
      </w:r>
      <w:r w:rsidR="00302A99">
        <w:t xml:space="preserve">  </w:t>
      </w:r>
      <w:r w:rsidRPr="00E24EEB" w:rsidR="004F3236">
        <w:t xml:space="preserve">This request also sought an extension of the application filing window for funding year 2021.  </w:t>
      </w:r>
      <w:r w:rsidRPr="00E24EEB" w:rsidR="004F3236">
        <w:rPr>
          <w:i/>
          <w:iCs/>
        </w:rPr>
        <w:t>SHLB</w:t>
      </w:r>
      <w:r w:rsidRPr="00E24EEB" w:rsidR="004F3236">
        <w:rPr>
          <w:i/>
          <w:iCs/>
        </w:rPr>
        <w:t xml:space="preserve"> Request Letter</w:t>
      </w:r>
      <w:r w:rsidRPr="00E24EEB" w:rsidR="004F3236">
        <w:t xml:space="preserve">, at 1.  The Bureau </w:t>
      </w:r>
      <w:r w:rsidRPr="00E24EEB" w:rsidR="00F5695B">
        <w:t>has already</w:t>
      </w:r>
      <w:r w:rsidRPr="00E24EEB" w:rsidR="004F3236">
        <w:t xml:space="preserve"> waived section 54.621(a)(1) of the Commission’s rules and extended the close of the funding year 2021 application filing window for the </w:t>
      </w:r>
      <w:r w:rsidRPr="00E24EEB" w:rsidR="004F3236">
        <w:t>RHC</w:t>
      </w:r>
      <w:r w:rsidRPr="00E24EEB" w:rsidR="004F3236">
        <w:t xml:space="preserve"> Program until June 1, 2021.  </w:t>
      </w:r>
      <w:r w:rsidRPr="00E24EEB" w:rsidR="004F3236">
        <w:rPr>
          <w:i/>
          <w:iCs/>
        </w:rPr>
        <w:t>Rural Health Care Support Mechanism; Promoting Telehealth in Rural America</w:t>
      </w:r>
      <w:r w:rsidRPr="00E24EEB" w:rsidR="004F3236">
        <w:t>, WC Docket No. 02-60, WC Docket No. 17-310, Order, DA 21-168, 2021 WL 631033, at *1, para. 1 (WCB Feb. 12, 2021).</w:t>
      </w:r>
    </w:p>
  </w:footnote>
  <w:footnote w:id="24">
    <w:p w:rsidR="00956FEF" w14:paraId="5A32CED1" w14:textId="77777777">
      <w:pPr>
        <w:pStyle w:val="FootnoteText"/>
      </w:pPr>
      <w:r>
        <w:rPr>
          <w:rStyle w:val="FootnoteReference"/>
        </w:rPr>
        <w:footnoteRef/>
      </w:r>
      <w:r>
        <w:t xml:space="preserve"> </w:t>
      </w:r>
      <w:r w:rsidRPr="00E24EEB">
        <w:t>Letter from Richard Cameron, Counsel for Alaska Communications, to Marlene H. Dortch, Secretary, Federal Communications Commission, WC Docket No. 17-310 (filed February 25, 2021) (</w:t>
      </w:r>
      <w:r w:rsidRPr="00E24EEB">
        <w:rPr>
          <w:i/>
          <w:iCs/>
        </w:rPr>
        <w:t>Alaska Communications Clarification Request</w:t>
      </w:r>
      <w:r w:rsidRPr="00E24EEB">
        <w:t>).</w:t>
      </w:r>
    </w:p>
  </w:footnote>
  <w:footnote w:id="25">
    <w:p w:rsidR="00EE0984" w:rsidRPr="00377F27" w:rsidP="00EE0984" w14:paraId="3693AB80" w14:textId="77777777">
      <w:pPr>
        <w:pStyle w:val="FootnoteText"/>
      </w:pPr>
      <w:r>
        <w:rPr>
          <w:rStyle w:val="FootnoteReference"/>
        </w:rPr>
        <w:footnoteRef/>
      </w:r>
      <w:r>
        <w:t xml:space="preserve"> Letter from John T. </w:t>
      </w:r>
      <w:r>
        <w:t>Nakahata</w:t>
      </w:r>
      <w:r>
        <w:t>, Counsel for GCI Communication Corp, to Marlene H. Dortch, Secretary, Federal Communications Commission, WC Docket No. 17-310 (filed March 23, 2021) (</w:t>
      </w:r>
      <w:r>
        <w:rPr>
          <w:i/>
          <w:iCs/>
        </w:rPr>
        <w:t>GCI Clarification Request</w:t>
      </w:r>
      <w:r>
        <w:t>).</w:t>
      </w:r>
    </w:p>
  </w:footnote>
  <w:footnote w:id="26">
    <w:p w:rsidR="007C3443" w:rsidRPr="00E24EEB" w:rsidP="007C3443" w14:paraId="19BD30C9" w14:textId="7FC5F5FE">
      <w:pPr>
        <w:pStyle w:val="FootnoteText"/>
      </w:pPr>
      <w:r w:rsidRPr="00E24EEB">
        <w:rPr>
          <w:rStyle w:val="FootnoteReference"/>
        </w:rPr>
        <w:footnoteRef/>
      </w:r>
      <w:r w:rsidRPr="00E24EEB">
        <w:t xml:space="preserve"> </w:t>
      </w:r>
      <w:r w:rsidRPr="00E24EEB" w:rsidR="005D1712">
        <w:rPr>
          <w:i/>
          <w:iCs/>
        </w:rPr>
        <w:t>Rural Health Care Universal Service Support Mechanism</w:t>
      </w:r>
      <w:r w:rsidRPr="00E24EEB" w:rsidR="005D1712">
        <w:t xml:space="preserve">; </w:t>
      </w:r>
      <w:r w:rsidRPr="00E24EEB" w:rsidR="005D1712">
        <w:rPr>
          <w:i/>
        </w:rPr>
        <w:t>Schools and Libraries Universal Service Support Mechanism</w:t>
      </w:r>
      <w:r w:rsidRPr="00E24EEB" w:rsidR="005D1712">
        <w:t>, WC Docket No. 02-60, CC Docket No. 02-6, Order, 35 FCC Rcd 2741, 27</w:t>
      </w:r>
      <w:r w:rsidRPr="00E24EEB" w:rsidR="00A942D7">
        <w:t>41-42</w:t>
      </w:r>
      <w:r w:rsidRPr="00E24EEB" w:rsidR="005D1712">
        <w:t>, para. 1 (WCB 2020)</w:t>
      </w:r>
      <w:r w:rsidRPr="00E24EEB" w:rsidR="006A1F7E">
        <w:t xml:space="preserve"> (</w:t>
      </w:r>
      <w:r w:rsidRPr="00E24EEB" w:rsidR="006A1F7E">
        <w:rPr>
          <w:i/>
          <w:iCs/>
        </w:rPr>
        <w:t>COVID-19 Gift Rules Waiver Order</w:t>
      </w:r>
      <w:r w:rsidRPr="00E24EEB" w:rsidR="006A1F7E">
        <w:t>)</w:t>
      </w:r>
      <w:r w:rsidRPr="00E24EEB" w:rsidR="00A942D7">
        <w:t xml:space="preserve"> (initially waiving the </w:t>
      </w:r>
      <w:r w:rsidRPr="00E24EEB" w:rsidR="00A942D7">
        <w:t>RHC</w:t>
      </w:r>
      <w:r w:rsidRPr="00E24EEB" w:rsidR="00A942D7">
        <w:t xml:space="preserve"> and E-Rate Programs</w:t>
      </w:r>
      <w:r w:rsidRPr="00E24EEB" w:rsidR="00127B2B">
        <w:t>’ gift rules</w:t>
      </w:r>
      <w:r w:rsidRPr="00E24EEB" w:rsidR="00A942D7">
        <w:t xml:space="preserve"> through September 30, 2020).</w:t>
      </w:r>
    </w:p>
  </w:footnote>
  <w:footnote w:id="27">
    <w:p w:rsidR="007C3443" w:rsidRPr="00E24EEB" w:rsidP="007C3443" w14:paraId="0A05535C" w14:textId="456CE2BD">
      <w:pPr>
        <w:pStyle w:val="FootnoteText"/>
      </w:pPr>
      <w:r w:rsidRPr="00E24EEB">
        <w:rPr>
          <w:rStyle w:val="FootnoteReference"/>
        </w:rPr>
        <w:footnoteRef/>
      </w:r>
      <w:r w:rsidRPr="00E24EEB">
        <w:t xml:space="preserve"> </w:t>
      </w:r>
      <w:r w:rsidRPr="00E24EEB">
        <w:rPr>
          <w:i/>
          <w:iCs/>
        </w:rPr>
        <w:t>Rural Health Care Universal Service Support Mechanism</w:t>
      </w:r>
      <w:r w:rsidRPr="00E24EEB">
        <w:t>;</w:t>
      </w:r>
      <w:r w:rsidRPr="00E24EEB">
        <w:rPr>
          <w:i/>
          <w:iCs/>
        </w:rPr>
        <w:t xml:space="preserve"> Schools and Libraries Universal Service Support Mechanism</w:t>
      </w:r>
      <w:r w:rsidRPr="00E24EEB">
        <w:t>, WC Docket No. 02-60, CC Docket No. 02-6, Order, 35 FCC Rcd 9416</w:t>
      </w:r>
      <w:r w:rsidRPr="00E24EEB" w:rsidR="00042C26">
        <w:t>, 9</w:t>
      </w:r>
      <w:r w:rsidRPr="00E24EEB" w:rsidR="005A62C1">
        <w:t>416, para. 1</w:t>
      </w:r>
      <w:r w:rsidRPr="00E24EEB">
        <w:t xml:space="preserve"> (WCB 2020) (</w:t>
      </w:r>
      <w:r w:rsidRPr="00E24EEB">
        <w:rPr>
          <w:i/>
          <w:iCs/>
        </w:rPr>
        <w:t>COVID-19 Gift Rules Waiver Extension Order</w:t>
      </w:r>
      <w:r w:rsidRPr="00E24EEB">
        <w:t xml:space="preserve">) (extending the waivers of the </w:t>
      </w:r>
      <w:r w:rsidRPr="00E24EEB">
        <w:t>RHC</w:t>
      </w:r>
      <w:r w:rsidRPr="00E24EEB">
        <w:t xml:space="preserve"> and E-Rate Programs’ gift rules </w:t>
      </w:r>
      <w:r w:rsidRPr="00E24EEB" w:rsidR="005A62C1">
        <w:t>through</w:t>
      </w:r>
      <w:r w:rsidRPr="00E24EEB">
        <w:t xml:space="preserve"> December 31, 2020); </w:t>
      </w:r>
      <w:r w:rsidRPr="00E24EEB">
        <w:rPr>
          <w:i/>
          <w:iCs/>
        </w:rPr>
        <w:t>Rural Health Care Universal Service Support Mechanism</w:t>
      </w:r>
      <w:r w:rsidRPr="00E24EEB">
        <w:t>;</w:t>
      </w:r>
      <w:r w:rsidRPr="00E24EEB">
        <w:rPr>
          <w:i/>
          <w:iCs/>
        </w:rPr>
        <w:t xml:space="preserve"> Schools and Libraries Universal Service Support Mechanism</w:t>
      </w:r>
      <w:r w:rsidRPr="00E24EEB">
        <w:t>, WC Docket No. 02-60, CC Docket No. 02-6, Order, 35 FCC Rcd 14544</w:t>
      </w:r>
      <w:r w:rsidRPr="00E24EEB" w:rsidR="00765C10">
        <w:t>, 14544, para. 1</w:t>
      </w:r>
      <w:r w:rsidRPr="00E24EEB">
        <w:t xml:space="preserve"> (WCB 2020) (extending the waivers of the </w:t>
      </w:r>
      <w:r w:rsidRPr="00E24EEB">
        <w:t>RHC</w:t>
      </w:r>
      <w:r w:rsidRPr="00E24EEB">
        <w:t xml:space="preserve"> and E-Rate Programs’ gift rules </w:t>
      </w:r>
      <w:r w:rsidRPr="00E24EEB" w:rsidR="00765C10">
        <w:t>through</w:t>
      </w:r>
      <w:r w:rsidRPr="00E24EEB">
        <w:t xml:space="preserve"> June 30, 2021).</w:t>
      </w:r>
    </w:p>
  </w:footnote>
  <w:footnote w:id="28">
    <w:p w:rsidR="007C3443" w:rsidRPr="00E24EEB" w:rsidP="007C3443" w14:paraId="095B96B7" w14:textId="523CC819">
      <w:pPr>
        <w:pStyle w:val="FootnoteText"/>
      </w:pPr>
      <w:r w:rsidRPr="00E24EEB">
        <w:rPr>
          <w:rStyle w:val="FootnoteReference"/>
        </w:rPr>
        <w:footnoteRef/>
      </w:r>
      <w:r w:rsidRPr="00E24EEB">
        <w:t xml:space="preserve"> </w:t>
      </w:r>
      <w:r w:rsidRPr="00E24EEB" w:rsidR="0096231A">
        <w:rPr>
          <w:i/>
          <w:iCs/>
        </w:rPr>
        <w:t xml:space="preserve">COVID-19 </w:t>
      </w:r>
      <w:r w:rsidRPr="00E24EEB" w:rsidR="0096231A">
        <w:rPr>
          <w:i/>
          <w:iCs/>
        </w:rPr>
        <w:t>RHC</w:t>
      </w:r>
      <w:r w:rsidRPr="00E24EEB" w:rsidR="0096231A">
        <w:rPr>
          <w:i/>
          <w:iCs/>
        </w:rPr>
        <w:t xml:space="preserve"> Relief Order</w:t>
      </w:r>
      <w:r w:rsidRPr="00E24EEB">
        <w:t xml:space="preserve">, </w:t>
      </w:r>
      <w:bookmarkStart w:id="4" w:name="_Hlk63952654"/>
      <w:r w:rsidRPr="00E24EEB">
        <w:t xml:space="preserve">35 FCC Rcd </w:t>
      </w:r>
      <w:r w:rsidRPr="00E24EEB" w:rsidR="0096231A">
        <w:t>at</w:t>
      </w:r>
      <w:r w:rsidRPr="00E24EEB">
        <w:t xml:space="preserve"> 2924-27, paras. 6-12</w:t>
      </w:r>
      <w:bookmarkEnd w:id="4"/>
      <w:r w:rsidRPr="00E24EEB">
        <w:t xml:space="preserve"> (extending the </w:t>
      </w:r>
      <w:r w:rsidRPr="00E24EEB">
        <w:rPr>
          <w:szCs w:val="22"/>
        </w:rPr>
        <w:t>RHC</w:t>
      </w:r>
      <w:r w:rsidRPr="00E24EEB">
        <w:rPr>
          <w:szCs w:val="22"/>
        </w:rPr>
        <w:t xml:space="preserve"> </w:t>
      </w:r>
      <w:r w:rsidRPr="00E24EEB" w:rsidR="00222C5E">
        <w:rPr>
          <w:szCs w:val="22"/>
        </w:rPr>
        <w:t>P</w:t>
      </w:r>
      <w:r w:rsidRPr="00E24EEB">
        <w:rPr>
          <w:szCs w:val="22"/>
        </w:rPr>
        <w:t xml:space="preserve">rogram funding year 2020 application filing window, </w:t>
      </w:r>
      <w:r w:rsidRPr="00E24EEB">
        <w:t>expiring evergreen contracts, the deadline for responses to USAC information requests, the service delivery deadline, the invoicing deadline, and deadlines for filing appeals and requests for waiver).</w:t>
      </w:r>
    </w:p>
  </w:footnote>
  <w:footnote w:id="29">
    <w:p w:rsidR="007C3443" w:rsidRPr="00E24EEB" w:rsidP="007C3443" w14:paraId="19B196FE" w14:textId="05F22FF6">
      <w:pPr>
        <w:pStyle w:val="FootnoteText"/>
      </w:pPr>
      <w:r w:rsidRPr="00E24EEB">
        <w:rPr>
          <w:rStyle w:val="FootnoteReference"/>
        </w:rPr>
        <w:footnoteRef/>
      </w:r>
      <w:r w:rsidRPr="00E24EEB">
        <w:t xml:space="preserve"> </w:t>
      </w:r>
      <w:r w:rsidRPr="00E24EEB" w:rsidR="002E7AE9">
        <w:rPr>
          <w:i/>
          <w:iCs/>
        </w:rPr>
        <w:t>Id.</w:t>
      </w:r>
      <w:r w:rsidRPr="00E24EEB" w:rsidR="002E7AE9">
        <w:t xml:space="preserve"> </w:t>
      </w:r>
      <w:r w:rsidRPr="00E24EEB">
        <w:t>at 2926, para. 11.</w:t>
      </w:r>
      <w:r w:rsidRPr="00E24EEB" w:rsidR="002E7AE9">
        <w:t xml:space="preserve"> </w:t>
      </w:r>
    </w:p>
  </w:footnote>
  <w:footnote w:id="30">
    <w:p w:rsidR="007C3443" w:rsidRPr="00E24EEB" w:rsidP="007C3443" w14:paraId="4CFA3DB4" w14:textId="6E386E73">
      <w:pPr>
        <w:pStyle w:val="FootnoteText"/>
      </w:pPr>
      <w:r w:rsidRPr="00E24EEB">
        <w:rPr>
          <w:rStyle w:val="FootnoteReference"/>
        </w:rPr>
        <w:footnoteRef/>
      </w:r>
      <w:r w:rsidRPr="00E24EEB">
        <w:t xml:space="preserve"> </w:t>
      </w:r>
      <w:r w:rsidRPr="00E24EEB" w:rsidR="002E7AE9">
        <w:rPr>
          <w:i/>
          <w:iCs/>
        </w:rPr>
        <w:t>Id.</w:t>
      </w:r>
      <w:r w:rsidRPr="00E24EEB">
        <w:t xml:space="preserve"> at 2926, para. 10. </w:t>
      </w:r>
    </w:p>
  </w:footnote>
  <w:footnote w:id="31">
    <w:p w:rsidR="007C3443" w:rsidRPr="00E24EEB" w:rsidP="007C3443" w14:paraId="371DFB68" w14:textId="4C197FE7">
      <w:pPr>
        <w:pStyle w:val="FootnoteText"/>
      </w:pPr>
      <w:r w:rsidRPr="00E24EEB">
        <w:rPr>
          <w:rStyle w:val="FootnoteReference"/>
        </w:rPr>
        <w:footnoteRef/>
      </w:r>
      <w:r w:rsidRPr="00E24EEB">
        <w:t xml:space="preserve"> </w:t>
      </w:r>
      <w:r w:rsidRPr="00E24EEB" w:rsidR="002E7AE9">
        <w:rPr>
          <w:i/>
          <w:iCs/>
        </w:rPr>
        <w:t>Id.</w:t>
      </w:r>
      <w:r w:rsidRPr="00E24EEB">
        <w:t xml:space="preserve"> at 2925-26, para. 9.  </w:t>
      </w:r>
      <w:r w:rsidRPr="00E24EEB" w:rsidR="002E7AE9">
        <w:t xml:space="preserve"> </w:t>
      </w:r>
    </w:p>
  </w:footnote>
  <w:footnote w:id="32">
    <w:p w:rsidR="007C3443" w:rsidRPr="00E24EEB" w:rsidP="007C3443" w14:paraId="14429688" w14:textId="5A165EF1">
      <w:pPr>
        <w:pStyle w:val="FootnoteText"/>
        <w:rPr>
          <w:iCs/>
        </w:rPr>
      </w:pPr>
      <w:r w:rsidRPr="00E24EEB">
        <w:rPr>
          <w:rStyle w:val="FootnoteReference"/>
        </w:rPr>
        <w:footnoteRef/>
      </w:r>
      <w:r w:rsidRPr="00E24EEB">
        <w:t xml:space="preserve"> </w:t>
      </w:r>
      <w:r w:rsidRPr="00E24EEB" w:rsidR="002E7AE9">
        <w:rPr>
          <w:i/>
          <w:iCs/>
        </w:rPr>
        <w:t>Id.</w:t>
      </w:r>
      <w:r w:rsidRPr="00E24EEB">
        <w:t xml:space="preserve"> at 2927, para. 12.  </w:t>
      </w:r>
    </w:p>
  </w:footnote>
  <w:footnote w:id="33">
    <w:p w:rsidR="007C3443" w:rsidRPr="00E24EEB" w:rsidP="007C3443" w14:paraId="59959966" w14:textId="2334839A">
      <w:pPr>
        <w:pStyle w:val="FootnoteText"/>
      </w:pPr>
      <w:r w:rsidRPr="00E24EEB">
        <w:rPr>
          <w:rStyle w:val="FootnoteReference"/>
        </w:rPr>
        <w:footnoteRef/>
      </w:r>
      <w:r w:rsidRPr="00E24EEB">
        <w:t xml:space="preserve"> </w:t>
      </w:r>
      <w:r w:rsidRPr="00E24EEB" w:rsidR="002E7AE9">
        <w:rPr>
          <w:i/>
          <w:iCs/>
        </w:rPr>
        <w:t>Id.</w:t>
      </w:r>
      <w:r w:rsidRPr="00E24EEB">
        <w:t xml:space="preserve"> at 2925-27, paras. 9, 12.</w:t>
      </w:r>
    </w:p>
  </w:footnote>
  <w:footnote w:id="34">
    <w:p w:rsidR="007C3443" w:rsidRPr="00E24EEB" w:rsidP="007C3443" w14:paraId="5B2ACE85" w14:textId="7F35E1B0">
      <w:pPr>
        <w:pStyle w:val="FootnoteText"/>
      </w:pPr>
      <w:r w:rsidRPr="00E24EEB">
        <w:rPr>
          <w:rStyle w:val="FootnoteReference"/>
        </w:rPr>
        <w:footnoteRef/>
      </w:r>
      <w:r w:rsidRPr="00E24EEB">
        <w:t xml:space="preserve"> </w:t>
      </w:r>
      <w:r w:rsidRPr="00E24EEB">
        <w:rPr>
          <w:i/>
          <w:iCs/>
        </w:rPr>
        <w:t>COVID-19 Gift Rules Waiver Extension Order</w:t>
      </w:r>
      <w:r w:rsidRPr="00E24EEB">
        <w:t>, 35 FCC Rcd at 94</w:t>
      </w:r>
      <w:r w:rsidRPr="00E24EEB" w:rsidR="00824C15">
        <w:t>21</w:t>
      </w:r>
      <w:r w:rsidRPr="00E24EEB">
        <w:t>, para. 1</w:t>
      </w:r>
      <w:r w:rsidRPr="00E24EEB" w:rsidR="00824C15">
        <w:t>2</w:t>
      </w:r>
      <w:r w:rsidRPr="00E24EEB" w:rsidR="00C17518">
        <w:t>.</w:t>
      </w:r>
    </w:p>
  </w:footnote>
  <w:footnote w:id="35">
    <w:p w:rsidR="00644649" w:rsidRPr="00E24EEB" w:rsidP="00644649" w14:paraId="6B93E541" w14:textId="5301A720">
      <w:pPr>
        <w:pStyle w:val="FootnoteText"/>
      </w:pPr>
      <w:r w:rsidRPr="00E24EEB">
        <w:rPr>
          <w:rStyle w:val="FootnoteReference"/>
        </w:rPr>
        <w:footnoteRef/>
      </w:r>
      <w:r w:rsidRPr="00E24EEB">
        <w:t xml:space="preserve"> </w:t>
      </w:r>
      <w:r w:rsidRPr="00E24EEB" w:rsidR="001459FE">
        <w:t xml:space="preserve">Letter from John J. </w:t>
      </w:r>
      <w:r w:rsidRPr="00E24EEB" w:rsidR="001459FE">
        <w:t>Heitmann</w:t>
      </w:r>
      <w:r w:rsidRPr="00E24EEB" w:rsidR="001459FE">
        <w:t xml:space="preserve">, Counsel for </w:t>
      </w:r>
      <w:r w:rsidRPr="00E24EEB" w:rsidR="001459FE">
        <w:t>Fiberutilities</w:t>
      </w:r>
      <w:r w:rsidRPr="00E24EEB" w:rsidR="001459FE">
        <w:t xml:space="preserve"> Group, LLC, to Jessica Rosenworcel, Acting Chairwoman, FCC, et al., WC Docket No. 17-310, at 4 (filed Feb. 1, 2021) (</w:t>
      </w:r>
      <w:r w:rsidRPr="00E24EEB" w:rsidR="001459FE">
        <w:rPr>
          <w:i/>
          <w:iCs/>
        </w:rPr>
        <w:t>FG Request Letter</w:t>
      </w:r>
      <w:r w:rsidRPr="00E24EEB" w:rsidR="001459FE">
        <w:t>).</w:t>
      </w:r>
      <w:r w:rsidR="007D6A54">
        <w:t xml:space="preserve">  </w:t>
      </w:r>
      <w:r w:rsidRPr="5DAB0409" w:rsidR="007D6A54">
        <w:t xml:space="preserve">FG also requested that the Commission extend the </w:t>
      </w:r>
      <w:r w:rsidRPr="5DAB0409" w:rsidR="007D6A54">
        <w:t>RHC</w:t>
      </w:r>
      <w:r w:rsidRPr="5DAB0409" w:rsidR="007D6A54">
        <w:t xml:space="preserve"> Program’s </w:t>
      </w:r>
      <w:r w:rsidRPr="00BB3BEF" w:rsidR="007D6A54">
        <w:t>funding year 2021</w:t>
      </w:r>
      <w:r w:rsidRPr="5DAB0409" w:rsidR="007D6A54">
        <w:t xml:space="preserve"> application filing window, in support of </w:t>
      </w:r>
      <w:r w:rsidRPr="5DAB0409" w:rsidR="007D6A54">
        <w:t>SHLB’s</w:t>
      </w:r>
      <w:r w:rsidRPr="5DAB0409" w:rsidR="007D6A54">
        <w:t xml:space="preserve"> request.</w:t>
      </w:r>
      <w:r w:rsidR="007D6A54">
        <w:t xml:space="preserve">  </w:t>
      </w:r>
      <w:r w:rsidRPr="00E24EEB" w:rsidR="007D6A54">
        <w:t xml:space="preserve">The Bureau already extended the end date of the </w:t>
      </w:r>
      <w:r w:rsidRPr="00E24EEB" w:rsidR="007D6A54">
        <w:t>RHC</w:t>
      </w:r>
      <w:r w:rsidRPr="00E24EEB" w:rsidR="007D6A54">
        <w:t xml:space="preserve"> Program’s funding year 2021 application filing window to June 1, 2021.</w:t>
      </w:r>
      <w:r w:rsidRPr="00E24EEB" w:rsidR="007D6A54">
        <w:rPr>
          <w:i/>
          <w:iCs/>
        </w:rPr>
        <w:t xml:space="preserve"> See supra</w:t>
      </w:r>
      <w:r w:rsidRPr="00E24EEB" w:rsidR="007D6A54">
        <w:t xml:space="preserve"> note </w:t>
      </w:r>
      <w:hyperlink w:anchor="_Rates_Database" w:history="1">
        <w:r w:rsidRPr="00E24EEB" w:rsidR="007D6A54">
          <w:rPr>
            <w:rStyle w:val="Hyperlink"/>
            <w:color w:val="auto"/>
          </w:rPr>
          <w:fldChar w:fldCharType="begin"/>
        </w:r>
        <w:r w:rsidRPr="00E24EEB" w:rsidR="007D6A54">
          <w:rPr>
            <w:rStyle w:val="Hyperlink"/>
            <w:color w:val="auto"/>
          </w:rPr>
          <w:instrText xml:space="preserve"> NOTEREF _Ref66201171 \h </w:instrText>
        </w:r>
        <w:r w:rsidRPr="00E24EEB" w:rsidR="007D6A54">
          <w:rPr>
            <w:rStyle w:val="Hyperlink"/>
            <w:color w:val="auto"/>
          </w:rPr>
          <w:fldChar w:fldCharType="separate"/>
        </w:r>
        <w:r w:rsidR="00592980">
          <w:rPr>
            <w:rStyle w:val="Hyperlink"/>
            <w:color w:val="auto"/>
          </w:rPr>
          <w:t>21</w:t>
        </w:r>
        <w:r w:rsidRPr="00E24EEB" w:rsidR="007D6A54">
          <w:rPr>
            <w:rStyle w:val="Hyperlink"/>
            <w:color w:val="auto"/>
          </w:rPr>
          <w:fldChar w:fldCharType="end"/>
        </w:r>
      </w:hyperlink>
      <w:r w:rsidRPr="00E24EEB" w:rsidR="007D6A54">
        <w:t>.</w:t>
      </w:r>
    </w:p>
  </w:footnote>
  <w:footnote w:id="36">
    <w:p w:rsidR="00F91221" w:rsidRPr="00E24EEB" w:rsidP="00F91221" w14:paraId="59340FD4" w14:textId="77777777">
      <w:pPr>
        <w:pStyle w:val="FootnoteText"/>
      </w:pPr>
      <w:r w:rsidRPr="00E24EEB">
        <w:rPr>
          <w:rStyle w:val="FootnoteReference"/>
        </w:rPr>
        <w:footnoteRef/>
      </w:r>
      <w:r w:rsidRPr="00E24EEB">
        <w:t xml:space="preserve"> 47 CFR § 1.3.</w:t>
      </w:r>
    </w:p>
  </w:footnote>
  <w:footnote w:id="37">
    <w:p w:rsidR="00F91221" w:rsidRPr="00E24EEB" w:rsidP="00F91221" w14:paraId="3D500EB5" w14:textId="77777777">
      <w:pPr>
        <w:pStyle w:val="FootnoteText"/>
      </w:pPr>
      <w:r w:rsidRPr="00E24EEB">
        <w:rPr>
          <w:rStyle w:val="FootnoteReference"/>
        </w:rPr>
        <w:footnoteRef/>
      </w:r>
      <w:r w:rsidRPr="00E24EEB">
        <w:t xml:space="preserve"> </w:t>
      </w:r>
      <w:r w:rsidRPr="00E24EEB">
        <w:rPr>
          <w:i/>
        </w:rPr>
        <w:t>Northeast Cellular Telephone Co. v. FCC</w:t>
      </w:r>
      <w:r w:rsidRPr="00E24EEB">
        <w:t xml:space="preserve">, 897 </w:t>
      </w:r>
      <w:r w:rsidRPr="00E24EEB">
        <w:t>F.2d</w:t>
      </w:r>
      <w:r w:rsidRPr="00E24EEB">
        <w:t xml:space="preserve"> 1164, 1166 (D.C. Cir. 1990) (</w:t>
      </w:r>
      <w:r w:rsidRPr="00E24EEB">
        <w:rPr>
          <w:i/>
        </w:rPr>
        <w:t>Northeast Cellular</w:t>
      </w:r>
      <w:r w:rsidRPr="00E24EEB">
        <w:t xml:space="preserve">). </w:t>
      </w:r>
    </w:p>
  </w:footnote>
  <w:footnote w:id="38">
    <w:p w:rsidR="00F91221" w:rsidRPr="00E24EEB" w:rsidP="00F91221" w14:paraId="435115AA" w14:textId="77777777">
      <w:pPr>
        <w:pStyle w:val="FootnoteText"/>
      </w:pPr>
      <w:r w:rsidRPr="00E24EEB">
        <w:rPr>
          <w:rStyle w:val="FootnoteReference"/>
        </w:rPr>
        <w:footnoteRef/>
      </w:r>
      <w:r w:rsidRPr="00E24EEB">
        <w:t xml:space="preserve"> </w:t>
      </w:r>
      <w:r w:rsidRPr="00E24EEB">
        <w:rPr>
          <w:i/>
        </w:rPr>
        <w:t>WAIT Radio v. FCC</w:t>
      </w:r>
      <w:r w:rsidRPr="00E24EEB">
        <w:t xml:space="preserve">, 418 </w:t>
      </w:r>
      <w:r w:rsidRPr="00E24EEB">
        <w:t>F.2d</w:t>
      </w:r>
      <w:r w:rsidRPr="00E24EEB">
        <w:t xml:space="preserve"> 1153, 1159 (D.C. Cir. 1969); </w:t>
      </w:r>
      <w:r w:rsidRPr="00E24EEB">
        <w:rPr>
          <w:i/>
        </w:rPr>
        <w:t>Northeast Cellular</w:t>
      </w:r>
      <w:r w:rsidRPr="00E24EEB">
        <w:t xml:space="preserve">, 897 </w:t>
      </w:r>
      <w:r w:rsidRPr="00E24EEB">
        <w:t>F.2d</w:t>
      </w:r>
      <w:r w:rsidRPr="00E24EEB">
        <w:t xml:space="preserve"> at 1166.</w:t>
      </w:r>
    </w:p>
  </w:footnote>
  <w:footnote w:id="39">
    <w:p w:rsidR="00F91221" w:rsidRPr="00E24EEB" w:rsidP="00F91221" w14:paraId="18B8E16B" w14:textId="77777777">
      <w:pPr>
        <w:pStyle w:val="FootnoteText"/>
      </w:pPr>
      <w:r w:rsidRPr="00E24EEB">
        <w:rPr>
          <w:rStyle w:val="FootnoteReference"/>
        </w:rPr>
        <w:footnoteRef/>
      </w:r>
      <w:r w:rsidRPr="00E24EEB">
        <w:t xml:space="preserve"> </w:t>
      </w:r>
      <w:r w:rsidRPr="00E24EEB">
        <w:rPr>
          <w:i/>
        </w:rPr>
        <w:t>Northeast Cellular</w:t>
      </w:r>
      <w:r w:rsidRPr="00E24EEB">
        <w:t xml:space="preserve">, 897 </w:t>
      </w:r>
      <w:r w:rsidRPr="00E24EEB">
        <w:t>F.2d</w:t>
      </w:r>
      <w:r w:rsidRPr="00E24EEB">
        <w:t xml:space="preserve"> at 1166.</w:t>
      </w:r>
    </w:p>
  </w:footnote>
  <w:footnote w:id="40">
    <w:p w:rsidR="000E184D" w14:paraId="202C6ECE" w14:textId="085B7848">
      <w:pPr>
        <w:pStyle w:val="FootnoteText"/>
      </w:pPr>
      <w:r>
        <w:rPr>
          <w:rStyle w:val="FootnoteReference"/>
        </w:rPr>
        <w:footnoteRef/>
      </w:r>
      <w:r>
        <w:t xml:space="preserve"> 47 CFR § 54.605(a).</w:t>
      </w:r>
    </w:p>
  </w:footnote>
  <w:footnote w:id="41">
    <w:p w:rsidR="008951CA" w:rsidRPr="00A63257" w:rsidP="008951CA" w14:paraId="6F3540CB" w14:textId="2C16FCE2">
      <w:pPr>
        <w:pStyle w:val="FootnoteText"/>
      </w:pPr>
      <w:r>
        <w:rPr>
          <w:rStyle w:val="FootnoteReference"/>
        </w:rPr>
        <w:footnoteRef/>
      </w:r>
      <w:r>
        <w:t xml:space="preserve"> In the </w:t>
      </w:r>
      <w:r>
        <w:rPr>
          <w:i/>
          <w:iCs/>
        </w:rPr>
        <w:t>Alaska Rates Database Waiver Order</w:t>
      </w:r>
      <w:r>
        <w:t xml:space="preserve">, the Bureau waived section 54.605(a) for funding year 2022 unless the Commission separately addressed pending petitions for reconsideration of the </w:t>
      </w:r>
      <w:r>
        <w:rPr>
          <w:i/>
          <w:iCs/>
        </w:rPr>
        <w:t>Promoting Telehealth Report and Order</w:t>
      </w:r>
      <w:r>
        <w:t xml:space="preserve"> by January 19, 2022. </w:t>
      </w:r>
      <w:r w:rsidR="009A535D">
        <w:t xml:space="preserve"> </w:t>
      </w:r>
      <w:r>
        <w:rPr>
          <w:i/>
          <w:iCs/>
        </w:rPr>
        <w:t>Alaska Rates Database Waiver Order</w:t>
      </w:r>
      <w:r>
        <w:t xml:space="preserve"> at 1, para. 2.</w:t>
      </w:r>
      <w:r w:rsidR="00C548F9">
        <w:t xml:space="preserve">  To provide certainty to applicants and service provi</w:t>
      </w:r>
      <w:r w:rsidR="005438BB">
        <w:t xml:space="preserve">ders </w:t>
      </w:r>
      <w:r w:rsidR="00B25B89">
        <w:t xml:space="preserve">on the rates available for funding year 2022 </w:t>
      </w:r>
      <w:r w:rsidR="005438BB">
        <w:t>when competitive bidding for funding year 2022 begins on July 1, 2021</w:t>
      </w:r>
      <w:r w:rsidR="008D2FB0">
        <w:t xml:space="preserve">, we extend </w:t>
      </w:r>
      <w:r w:rsidR="005C06DC">
        <w:t>the</w:t>
      </w:r>
      <w:r w:rsidR="00FD6452">
        <w:t xml:space="preserve"> waiver granted in the</w:t>
      </w:r>
      <w:r w:rsidR="005C06DC">
        <w:t xml:space="preserve"> </w:t>
      </w:r>
      <w:r w:rsidR="005C06DC">
        <w:rPr>
          <w:i/>
          <w:iCs/>
        </w:rPr>
        <w:t xml:space="preserve">Alaska Rates Database Waiver Order </w:t>
      </w:r>
      <w:r w:rsidR="008D2FB0">
        <w:t xml:space="preserve">through funding year 2022 regardless of when </w:t>
      </w:r>
      <w:r w:rsidR="00632B82">
        <w:t xml:space="preserve">the pending petitions for reconsideration are resolved.  </w:t>
      </w:r>
    </w:p>
  </w:footnote>
  <w:footnote w:id="42">
    <w:p w:rsidR="00120425" w:rsidRPr="00E24EEB" w:rsidP="00120425" w14:paraId="07AC845D" w14:textId="77777777">
      <w:pPr>
        <w:pStyle w:val="FootnoteText"/>
        <w:rPr>
          <w:i/>
        </w:rPr>
      </w:pPr>
      <w:r w:rsidRPr="00E24EEB">
        <w:rPr>
          <w:rStyle w:val="FootnoteReference"/>
        </w:rPr>
        <w:footnoteRef/>
      </w:r>
      <w:r w:rsidRPr="00E24EEB">
        <w:t xml:space="preserve"> </w:t>
      </w:r>
      <w:r w:rsidRPr="00E24EEB">
        <w:rPr>
          <w:i/>
          <w:iCs/>
        </w:rPr>
        <w:t>Promoting Telehealth Report and Order</w:t>
      </w:r>
      <w:r w:rsidRPr="00E24EEB">
        <w:t>, 34 FCC Rcd</w:t>
      </w:r>
      <w:r w:rsidRPr="00E24EEB">
        <w:rPr>
          <w:i/>
          <w:iCs/>
        </w:rPr>
        <w:t xml:space="preserve"> </w:t>
      </w:r>
      <w:r w:rsidRPr="00E24EEB">
        <w:t>at 7351, para. 33;</w:t>
      </w:r>
      <w:r w:rsidRPr="00E24EEB">
        <w:rPr>
          <w:i/>
          <w:iCs/>
        </w:rPr>
        <w:t xml:space="preserve"> see also</w:t>
      </w:r>
      <w:r w:rsidRPr="00E24EEB">
        <w:t xml:space="preserve"> </w:t>
      </w:r>
      <w:r w:rsidRPr="00E24EEB">
        <w:rPr>
          <w:i/>
        </w:rPr>
        <w:t>Connect America Fund, et al.</w:t>
      </w:r>
      <w:r w:rsidRPr="00E24EEB">
        <w:t xml:space="preserve">, WC Docket No. 10-90, et al., Report and Order and Further Notice of Proposed Rulemaking, 26 FCC Rcd 17663, 17717 </w:t>
      </w:r>
      <w:r w:rsidRPr="00E24EEB">
        <w:t>n.220</w:t>
      </w:r>
      <w:r w:rsidRPr="00E24EEB">
        <w:t xml:space="preserve"> (2011) (noting that the same characteristics, such as lack of density, that make it expensive to provide voice service make it expensive to provide broadband service as well); Federal Communications Commission, </w:t>
      </w:r>
      <w:r w:rsidRPr="00E24EEB">
        <w:rPr>
          <w:i/>
          <w:iCs/>
        </w:rPr>
        <w:t>Connecting America: The National Broadband Plan</w:t>
      </w:r>
      <w:r w:rsidRPr="00E24EEB">
        <w:t xml:space="preserve">, at 136 (rel. Mar. 16, 2010), </w:t>
      </w:r>
      <w:hyperlink r:id="rId2" w:history="1">
        <w:r w:rsidRPr="00E24EEB">
          <w:rPr>
            <w:rStyle w:val="Hyperlink"/>
            <w:color w:val="auto"/>
          </w:rPr>
          <w:t>www.broadband.gov/download-plan</w:t>
        </w:r>
      </w:hyperlink>
      <w:r w:rsidRPr="00E24EEB">
        <w:t xml:space="preserve"> (last visited Jan. 11, 2021)</w:t>
      </w:r>
      <w:r w:rsidRPr="00E24EEB">
        <w:rPr>
          <w:i/>
        </w:rPr>
        <w:t xml:space="preserve"> </w:t>
      </w:r>
      <w:r w:rsidRPr="00E24EEB">
        <w:t>(observing that “[b]</w:t>
      </w:r>
      <w:r w:rsidRPr="00E24EEB">
        <w:t>ecause</w:t>
      </w:r>
      <w:r w:rsidRPr="00E24EEB">
        <w:t xml:space="preserve"> service providers in these [areas with low population density] cannot earn enough revenue to cover the costs of deploying and operating broadband networks, including expected returns on capital, there is no business case to offer broadband services in these areas”).</w:t>
      </w:r>
    </w:p>
  </w:footnote>
  <w:footnote w:id="43">
    <w:p w:rsidR="004E13A5" w:rsidRPr="00E24EEB" w14:paraId="4AAC56AE" w14:textId="7320653E">
      <w:pPr>
        <w:pStyle w:val="FootnoteText"/>
      </w:pPr>
      <w:r w:rsidRPr="00E24EEB">
        <w:rPr>
          <w:rStyle w:val="FootnoteReference"/>
        </w:rPr>
        <w:footnoteRef/>
      </w:r>
      <w:r w:rsidRPr="00E24EEB">
        <w:t xml:space="preserve"> </w:t>
      </w:r>
      <w:r w:rsidRPr="00E24EEB" w:rsidR="002124F3">
        <w:rPr>
          <w:i/>
          <w:iCs/>
        </w:rPr>
        <w:t>See</w:t>
      </w:r>
      <w:r w:rsidRPr="00E24EEB" w:rsidR="002124F3">
        <w:t xml:space="preserve"> </w:t>
      </w:r>
      <w:r w:rsidRPr="00E24EEB" w:rsidR="00AF0952">
        <w:t xml:space="preserve">USAC Rural Health Care Telecom Program Rates Database, </w:t>
      </w:r>
      <w:hyperlink r:id="rId3" w:anchor="/ratesSearch" w:history="1">
        <w:r w:rsidRPr="00E24EEB" w:rsidR="0091472E">
          <w:rPr>
            <w:rStyle w:val="Hyperlink"/>
            <w:color w:val="auto"/>
          </w:rPr>
          <w:t>https://rhc.usac.org/ratesdb/#/ratesSearch</w:t>
        </w:r>
      </w:hyperlink>
      <w:r w:rsidRPr="00E24EEB" w:rsidR="0091472E">
        <w:t xml:space="preserve"> </w:t>
      </w:r>
      <w:r w:rsidRPr="00E24EEB" w:rsidR="009B5993">
        <w:t xml:space="preserve">(last visited </w:t>
      </w:r>
      <w:r w:rsidRPr="00E24EEB" w:rsidR="006260C7">
        <w:t>March 10</w:t>
      </w:r>
      <w:r w:rsidRPr="00E24EEB" w:rsidR="009B5993">
        <w:t>, 2021)</w:t>
      </w:r>
      <w:r w:rsidR="00293278">
        <w:t>.</w:t>
      </w:r>
      <w:r w:rsidRPr="00E24EEB" w:rsidR="00144335">
        <w:t xml:space="preserve"> </w:t>
      </w:r>
    </w:p>
  </w:footnote>
  <w:footnote w:id="44">
    <w:p w:rsidR="004F69CA" w:rsidRPr="00E24EEB" w14:paraId="50863025" w14:textId="3385C9D8">
      <w:pPr>
        <w:pStyle w:val="FootnoteText"/>
      </w:pPr>
      <w:r w:rsidRPr="00E24EEB">
        <w:rPr>
          <w:rStyle w:val="FootnoteReference"/>
        </w:rPr>
        <w:footnoteRef/>
      </w:r>
      <w:r w:rsidRPr="00E24EEB">
        <w:t xml:space="preserve"> </w:t>
      </w:r>
      <w:r w:rsidRPr="00E24EEB" w:rsidR="005C10C7">
        <w:rPr>
          <w:i/>
          <w:iCs/>
        </w:rPr>
        <w:t>Id.</w:t>
      </w:r>
      <w:r w:rsidRPr="00E24EEB" w:rsidR="00211315">
        <w:t xml:space="preserve">; </w:t>
      </w:r>
      <w:r w:rsidRPr="00E24EEB" w:rsidR="00211315">
        <w:rPr>
          <w:i/>
          <w:iCs/>
        </w:rPr>
        <w:t>SHLB</w:t>
      </w:r>
      <w:r w:rsidRPr="00E24EEB" w:rsidR="00211315">
        <w:rPr>
          <w:i/>
          <w:iCs/>
        </w:rPr>
        <w:t xml:space="preserve"> Letter </w:t>
      </w:r>
      <w:r w:rsidRPr="00E24EEB" w:rsidR="00211315">
        <w:t>at 4.</w:t>
      </w:r>
    </w:p>
  </w:footnote>
  <w:footnote w:id="45">
    <w:p w:rsidR="00154F43" w:rsidRPr="00E24EEB" w14:paraId="43DE050E" w14:textId="77777777">
      <w:pPr>
        <w:pStyle w:val="FootnoteText"/>
      </w:pPr>
      <w:r w:rsidRPr="00E24EEB">
        <w:rPr>
          <w:rStyle w:val="FootnoteReference"/>
        </w:rPr>
        <w:footnoteRef/>
      </w:r>
      <w:r w:rsidRPr="00E24EEB">
        <w:t xml:space="preserve"> 47 U.S.C. § 254(b)(5).</w:t>
      </w:r>
    </w:p>
  </w:footnote>
  <w:footnote w:id="46">
    <w:p w:rsidR="00947570" w:rsidRPr="00E24EEB" w14:paraId="400B6EA2" w14:textId="4D8273FB">
      <w:pPr>
        <w:pStyle w:val="FootnoteText"/>
      </w:pPr>
      <w:r w:rsidRPr="00E24EEB">
        <w:rPr>
          <w:rStyle w:val="FootnoteReference"/>
        </w:rPr>
        <w:footnoteRef/>
      </w:r>
      <w:r w:rsidRPr="00E24EEB">
        <w:t xml:space="preserve"> </w:t>
      </w:r>
      <w:r w:rsidRPr="00E24EEB" w:rsidR="00DD7D2F">
        <w:rPr>
          <w:i/>
          <w:iCs/>
        </w:rPr>
        <w:t xml:space="preserve">See </w:t>
      </w:r>
      <w:r w:rsidR="009D19B6">
        <w:rPr>
          <w:i/>
          <w:iCs/>
        </w:rPr>
        <w:t>INCOMPAS</w:t>
      </w:r>
      <w:r w:rsidR="009D19B6">
        <w:rPr>
          <w:i/>
          <w:iCs/>
        </w:rPr>
        <w:t xml:space="preserve"> Letter</w:t>
      </w:r>
      <w:r w:rsidR="009D19B6">
        <w:t xml:space="preserve"> </w:t>
      </w:r>
      <w:r w:rsidRPr="00E24EEB" w:rsidR="0002131E">
        <w:t>at 1</w:t>
      </w:r>
      <w:r w:rsidRPr="00E24EEB" w:rsidR="002C75A6">
        <w:t xml:space="preserve">; </w:t>
      </w:r>
      <w:r w:rsidR="0063678F">
        <w:rPr>
          <w:i/>
          <w:iCs/>
        </w:rPr>
        <w:t>CHC</w:t>
      </w:r>
      <w:r w:rsidR="0063678F">
        <w:rPr>
          <w:i/>
          <w:iCs/>
        </w:rPr>
        <w:t xml:space="preserve"> Letter</w:t>
      </w:r>
      <w:r w:rsidRPr="00E24EEB" w:rsidR="008342CC">
        <w:t xml:space="preserve"> at 2</w:t>
      </w:r>
      <w:r w:rsidRPr="00E24EEB" w:rsidR="00537D44">
        <w:t>.</w:t>
      </w:r>
    </w:p>
  </w:footnote>
  <w:footnote w:id="47">
    <w:p w:rsidR="00511E23" w:rsidRPr="00511E23" w14:paraId="3FECD30A" w14:textId="64FD2A99">
      <w:pPr>
        <w:pStyle w:val="FootnoteText"/>
      </w:pPr>
      <w:r>
        <w:rPr>
          <w:rStyle w:val="FootnoteReference"/>
        </w:rPr>
        <w:footnoteRef/>
      </w:r>
      <w:r>
        <w:t xml:space="preserve"> </w:t>
      </w:r>
      <w:r>
        <w:rPr>
          <w:i/>
          <w:iCs/>
        </w:rPr>
        <w:t>See</w:t>
      </w:r>
      <w:r>
        <w:t xml:space="preserve"> 47 CFR § 54.607 (2019).</w:t>
      </w:r>
    </w:p>
  </w:footnote>
  <w:footnote w:id="48">
    <w:p w:rsidR="00BD767E" w:rsidRPr="00E24EEB" w:rsidP="00BD767E" w14:paraId="5A937049" w14:textId="7DE3DC72">
      <w:pPr>
        <w:pStyle w:val="FootnoteText"/>
      </w:pPr>
      <w:r w:rsidRPr="00E24EEB">
        <w:rPr>
          <w:rStyle w:val="FootnoteReference"/>
        </w:rPr>
        <w:footnoteRef/>
      </w:r>
      <w:r w:rsidRPr="00E24EEB">
        <w:t xml:space="preserve"> </w:t>
      </w:r>
      <w:r w:rsidRPr="00E24EEB">
        <w:rPr>
          <w:i/>
        </w:rPr>
        <w:t>See</w:t>
      </w:r>
      <w:r w:rsidRPr="00E24EEB">
        <w:t xml:space="preserve"> 47 CFR § 54.607(a)</w:t>
      </w:r>
      <w:r w:rsidR="00511E23">
        <w:t xml:space="preserve"> (2019)</w:t>
      </w:r>
      <w:r w:rsidRPr="00E24EEB">
        <w:t xml:space="preserve">.  </w:t>
      </w:r>
    </w:p>
  </w:footnote>
  <w:footnote w:id="49">
    <w:p w:rsidR="00BD767E" w:rsidRPr="00E24EEB" w:rsidP="00BD767E" w14:paraId="6547830C" w14:textId="6F6C5C42">
      <w:pPr>
        <w:pStyle w:val="FootnoteText"/>
      </w:pPr>
      <w:r w:rsidRPr="00E24EEB">
        <w:rPr>
          <w:rStyle w:val="FootnoteReference"/>
        </w:rPr>
        <w:footnoteRef/>
      </w:r>
      <w:r w:rsidRPr="00E24EEB">
        <w:t xml:space="preserve"> </w:t>
      </w:r>
      <w:r w:rsidRPr="00E24EEB">
        <w:rPr>
          <w:i/>
        </w:rPr>
        <w:t>See</w:t>
      </w:r>
      <w:r w:rsidRPr="00E24EEB">
        <w:t xml:space="preserve"> 47 CFR § 54.607(b) </w:t>
      </w:r>
      <w:r w:rsidR="00511E23">
        <w:t xml:space="preserve">(2019) </w:t>
      </w:r>
      <w:r w:rsidRPr="00E24EEB">
        <w:t xml:space="preserve">(“If the telecommunications carrier serving the health care provider is not providing identical or similar services in the rural area, then the rural rate shall be the average of tariffed and other publicly available rates, not including any rates reduced by universal service programs, charged for the same or similar services in that rural area over the same distance as the eligible service by other carriers.”).  </w:t>
      </w:r>
    </w:p>
  </w:footnote>
  <w:footnote w:id="50">
    <w:p w:rsidR="00BD767E" w:rsidRPr="00E24EEB" w:rsidP="00BD767E" w14:paraId="037B5E19" w14:textId="775F25A3">
      <w:pPr>
        <w:pStyle w:val="FootnoteText"/>
      </w:pPr>
      <w:r w:rsidRPr="00E24EEB">
        <w:rPr>
          <w:rStyle w:val="FootnoteReference"/>
        </w:rPr>
        <w:footnoteRef/>
      </w:r>
      <w:r w:rsidRPr="00E24EEB">
        <w:t xml:space="preserve"> </w:t>
      </w:r>
      <w:r w:rsidRPr="00E24EEB">
        <w:rPr>
          <w:i/>
        </w:rPr>
        <w:t>See</w:t>
      </w:r>
      <w:r w:rsidRPr="00E24EEB">
        <w:t xml:space="preserve"> 47 CFR § 54.607(b)</w:t>
      </w:r>
      <w:r w:rsidR="00825C3F">
        <w:t xml:space="preserve"> (2019)</w:t>
      </w:r>
      <w:r w:rsidRPr="00E24EEB">
        <w:t xml:space="preserve"> (“If there are no tariffed or publicly available rates for such services in that rural area, or if the carrier reasonably determines that this method for calculating the rural rate is unfair, then the carrier shall submit for the state commission’s approval, for intrastate rates, or the Commission’s approval, for interstate rates, a cost-based rate for the provision of the service in the most economically efficient, reasonably available manner.”).  </w:t>
      </w:r>
    </w:p>
  </w:footnote>
  <w:footnote w:id="51">
    <w:p w:rsidR="00F57E02" w:rsidRPr="00E24EEB" w14:paraId="0492CFDF" w14:textId="33915E19">
      <w:pPr>
        <w:pStyle w:val="FootnoteText"/>
      </w:pPr>
      <w:r w:rsidRPr="00E24EEB">
        <w:rPr>
          <w:rStyle w:val="FootnoteReference"/>
        </w:rPr>
        <w:footnoteRef/>
      </w:r>
      <w:r w:rsidRPr="00E24EEB">
        <w:t xml:space="preserve"> </w:t>
      </w:r>
      <w:r w:rsidRPr="00E24EEB">
        <w:rPr>
          <w:i/>
          <w:iCs/>
        </w:rPr>
        <w:t>Alaska Rates Database Waiver Order</w:t>
      </w:r>
      <w:r w:rsidRPr="00E24EEB">
        <w:t xml:space="preserve"> at 5-6, para. 13.</w:t>
      </w:r>
    </w:p>
  </w:footnote>
  <w:footnote w:id="52">
    <w:p w:rsidR="00406573" w:rsidRPr="002C70CA" w14:paraId="1C57FB5A" w14:textId="1D0D5725">
      <w:pPr>
        <w:pStyle w:val="FootnoteText"/>
      </w:pPr>
      <w:r>
        <w:rPr>
          <w:rStyle w:val="FootnoteReference"/>
        </w:rPr>
        <w:footnoteRef/>
      </w:r>
      <w:r>
        <w:t xml:space="preserve"> </w:t>
      </w:r>
      <w:r w:rsidR="002C70CA">
        <w:rPr>
          <w:i/>
          <w:iCs/>
        </w:rPr>
        <w:t>Id</w:t>
      </w:r>
      <w:r w:rsidR="002C70CA">
        <w:t>.</w:t>
      </w:r>
    </w:p>
  </w:footnote>
  <w:footnote w:id="53">
    <w:p w:rsidR="00235CDC" w:rsidRPr="00E24EEB" w:rsidP="00E7655D" w14:paraId="79A1A911" w14:textId="20A84E5C">
      <w:pPr>
        <w:pStyle w:val="FootnoteText"/>
      </w:pPr>
      <w:r w:rsidRPr="00E24EEB">
        <w:rPr>
          <w:rStyle w:val="FootnoteReference"/>
        </w:rPr>
        <w:footnoteRef/>
      </w:r>
      <w:r w:rsidRPr="00E24EEB">
        <w:t xml:space="preserve"> </w:t>
      </w:r>
      <w:r w:rsidRPr="00E24EEB" w:rsidR="00F7266A">
        <w:rPr>
          <w:i/>
          <w:iCs/>
        </w:rPr>
        <w:t>Promoting Telehealth Report and Order</w:t>
      </w:r>
      <w:r w:rsidRPr="00E24EEB" w:rsidR="00F7266A">
        <w:t>, 34 FCC Rcd</w:t>
      </w:r>
      <w:r w:rsidRPr="00E24EEB">
        <w:rPr>
          <w:i/>
          <w:iCs/>
        </w:rPr>
        <w:t>.</w:t>
      </w:r>
      <w:r w:rsidRPr="00E24EEB">
        <w:t xml:space="preserve"> at 7343–46, 7349–54, paras. 14–20, 29–37</w:t>
      </w:r>
      <w:r w:rsidRPr="00E24EEB" w:rsidR="00E7655D">
        <w:t xml:space="preserve">; </w:t>
      </w:r>
      <w:r w:rsidRPr="00E24EEB" w:rsidR="00E7655D">
        <w:rPr>
          <w:i/>
          <w:iCs/>
        </w:rPr>
        <w:t>see</w:t>
      </w:r>
      <w:r w:rsidRPr="00E24EEB" w:rsidR="00E7655D">
        <w:t xml:space="preserve"> </w:t>
      </w:r>
      <w:r w:rsidRPr="00E24EEB" w:rsidR="00E7655D">
        <w:rPr>
          <w:i/>
          <w:iCs/>
        </w:rPr>
        <w:t>id.</w:t>
      </w:r>
      <w:r w:rsidRPr="00E24EEB" w:rsidR="00E7655D">
        <w:t xml:space="preserve"> at 7344, para. 16 (“[W]e </w:t>
      </w:r>
      <w:r w:rsidRPr="00E24EEB" w:rsidR="00E7655D">
        <w:t>anticipate</w:t>
      </w:r>
      <w:r w:rsidRPr="00E24EEB" w:rsidR="00E7655D">
        <w:t xml:space="preserve"> a 30% range will provide a sufficiently large range of functionally similar services to enable reasonable rate comparisons</w:t>
      </w:r>
      <w:r w:rsidRPr="00E24EEB">
        <w:t>.</w:t>
      </w:r>
      <w:r w:rsidRPr="00E24EEB" w:rsidR="00E7655D">
        <w:t>”).</w:t>
      </w:r>
    </w:p>
  </w:footnote>
  <w:footnote w:id="54">
    <w:p w:rsidR="005E7A0D" w:rsidRPr="0049416E" w14:paraId="2C2790DE" w14:textId="72C4183E">
      <w:pPr>
        <w:pStyle w:val="FootnoteText"/>
      </w:pPr>
      <w:r>
        <w:rPr>
          <w:rStyle w:val="FootnoteReference"/>
        </w:rPr>
        <w:footnoteRef/>
      </w:r>
      <w:r>
        <w:t xml:space="preserve"> </w:t>
      </w:r>
      <w:r w:rsidR="0049416E">
        <w:rPr>
          <w:i/>
          <w:iCs/>
        </w:rPr>
        <w:t xml:space="preserve">See </w:t>
      </w:r>
      <w:r w:rsidR="0049416E">
        <w:t>47 CFR § 54.607 (2019).</w:t>
      </w:r>
    </w:p>
  </w:footnote>
  <w:footnote w:id="55">
    <w:p w:rsidR="002C554F" w:rsidRPr="00E73BB4" w:rsidP="002C554F" w14:paraId="6E9A6F43" w14:textId="77777777">
      <w:pPr>
        <w:pStyle w:val="FootnoteText"/>
      </w:pPr>
      <w:r>
        <w:rPr>
          <w:rStyle w:val="FootnoteReference"/>
        </w:rPr>
        <w:footnoteRef/>
      </w:r>
      <w:r>
        <w:rPr>
          <w:i/>
          <w:iCs/>
        </w:rPr>
        <w:t xml:space="preserve">Alaska Communications Clarification Request </w:t>
      </w:r>
      <w:r>
        <w:t xml:space="preserve">at 2-3; </w:t>
      </w:r>
      <w:r>
        <w:rPr>
          <w:i/>
          <w:iCs/>
        </w:rPr>
        <w:t>GCI Clarification Request</w:t>
      </w:r>
      <w:r>
        <w:t xml:space="preserve"> at 3.</w:t>
      </w:r>
    </w:p>
  </w:footnote>
  <w:footnote w:id="56">
    <w:p w:rsidR="002C554F" w:rsidRPr="00756FB9" w:rsidP="002C554F" w14:paraId="35AB5CF2" w14:textId="77777777">
      <w:pPr>
        <w:pStyle w:val="FootnoteText"/>
      </w:pPr>
      <w:r>
        <w:rPr>
          <w:rStyle w:val="FootnoteReference"/>
        </w:rPr>
        <w:footnoteRef/>
      </w:r>
      <w:r>
        <w:t xml:space="preserve"> </w:t>
      </w:r>
      <w:r>
        <w:rPr>
          <w:i/>
          <w:iCs/>
        </w:rPr>
        <w:t xml:space="preserve">GCI Clarification Request </w:t>
      </w:r>
      <w:r>
        <w:t>at 3.</w:t>
      </w:r>
    </w:p>
  </w:footnote>
  <w:footnote w:id="57">
    <w:p w:rsidR="002C554F" w:rsidP="002C554F" w14:paraId="0A197048" w14:textId="6CC9314A">
      <w:pPr>
        <w:pStyle w:val="FootnoteText"/>
      </w:pPr>
      <w:r>
        <w:rPr>
          <w:rStyle w:val="FootnoteReference"/>
        </w:rPr>
        <w:footnoteRef/>
      </w:r>
      <w:r>
        <w:t xml:space="preserve"> </w:t>
      </w:r>
      <w:r w:rsidR="00632774">
        <w:rPr>
          <w:i/>
          <w:iCs/>
        </w:rPr>
        <w:t xml:space="preserve">Promoting Telehealth Report and Order </w:t>
      </w:r>
      <w:r w:rsidR="00632774">
        <w:t>34 FCC Rcd at 7366, para. 64, n. 179</w:t>
      </w:r>
      <w:r w:rsidRPr="00E24EEB">
        <w:t>.</w:t>
      </w:r>
    </w:p>
  </w:footnote>
  <w:footnote w:id="58">
    <w:p w:rsidR="002C554F" w:rsidRPr="00935F69" w:rsidP="002C554F" w14:paraId="0CF52EC2" w14:textId="77777777">
      <w:pPr>
        <w:pStyle w:val="FootnoteText"/>
      </w:pPr>
      <w:r>
        <w:rPr>
          <w:rStyle w:val="FootnoteReference"/>
        </w:rPr>
        <w:footnoteRef/>
      </w:r>
      <w:r>
        <w:t xml:space="preserve"> </w:t>
      </w:r>
      <w:r>
        <w:rPr>
          <w:i/>
          <w:iCs/>
        </w:rPr>
        <w:t xml:space="preserve">See supra </w:t>
      </w:r>
      <w:r>
        <w:t>paras. 15-16.</w:t>
      </w:r>
    </w:p>
  </w:footnote>
  <w:footnote w:id="59">
    <w:p w:rsidR="002C554F" w:rsidRPr="00E24EEB" w:rsidP="002C554F" w14:paraId="350F8F96" w14:textId="77777777">
      <w:pPr>
        <w:pStyle w:val="FootnoteText"/>
      </w:pPr>
      <w:r w:rsidRPr="00E24EEB">
        <w:rPr>
          <w:rStyle w:val="FootnoteReference"/>
        </w:rPr>
        <w:footnoteRef/>
      </w:r>
      <w:r w:rsidRPr="00E24EEB">
        <w:t xml:space="preserve"> </w:t>
      </w:r>
      <w:r w:rsidRPr="00E24EEB">
        <w:rPr>
          <w:i/>
          <w:iCs/>
        </w:rPr>
        <w:t xml:space="preserve">Alaska Communications Clarification Request </w:t>
      </w:r>
      <w:r w:rsidRPr="00E24EEB">
        <w:t>at 3</w:t>
      </w:r>
      <w:r>
        <w:t xml:space="preserve">; </w:t>
      </w:r>
      <w:r>
        <w:rPr>
          <w:i/>
          <w:iCs/>
        </w:rPr>
        <w:t xml:space="preserve">see also GCI Clarification Request </w:t>
      </w:r>
      <w:r>
        <w:t>at 4</w:t>
      </w:r>
      <w:r w:rsidRPr="00E24EEB">
        <w:t>.</w:t>
      </w:r>
    </w:p>
  </w:footnote>
  <w:footnote w:id="60">
    <w:p w:rsidR="002C554F" w:rsidRPr="00E24EEB" w:rsidP="002C554F" w14:paraId="31042F6E" w14:textId="77777777">
      <w:pPr>
        <w:pStyle w:val="FootnoteText"/>
      </w:pPr>
      <w:r w:rsidRPr="00E24EEB">
        <w:rPr>
          <w:rStyle w:val="FootnoteReference"/>
        </w:rPr>
        <w:footnoteRef/>
      </w:r>
      <w:r w:rsidRPr="00E24EEB">
        <w:t xml:space="preserve"> </w:t>
      </w:r>
      <w:r w:rsidRPr="00E24EEB">
        <w:rPr>
          <w:i/>
          <w:iCs/>
        </w:rPr>
        <w:t xml:space="preserve">See Alaska Rates Database Waiver Order </w:t>
      </w:r>
      <w:r w:rsidRPr="00E24EEB">
        <w:t>at 6, para. 13.</w:t>
      </w:r>
      <w:r>
        <w:t xml:space="preserve">  Alaska Communications expresses concern that it may not be able to use funding year 2020 rural rates for funding year 2021 because it had not yet received funding commitments for funding year 2021 as of late February 2021.  </w:t>
      </w:r>
      <w:r>
        <w:rPr>
          <w:i/>
          <w:iCs/>
        </w:rPr>
        <w:t>See Alaska Communications Clarification Request</w:t>
      </w:r>
      <w:r>
        <w:t xml:space="preserve"> at 3.  We clarify that, for the limited purpose of this process to determine rural rates for funding years 2021 and 2022, service providers may use rural rates approved for funding year 2018, funding year 2019, or funding year 2020 even if USAC has not yet issued a funding commitment for the rates.  </w:t>
      </w:r>
    </w:p>
  </w:footnote>
  <w:footnote w:id="61">
    <w:p w:rsidR="002C554F" w:rsidRPr="008C398A" w:rsidP="002C554F" w14:paraId="089C62CF" w14:textId="77777777">
      <w:pPr>
        <w:pStyle w:val="FootnoteText"/>
      </w:pPr>
      <w:r>
        <w:rPr>
          <w:rStyle w:val="FootnoteReference"/>
        </w:rPr>
        <w:footnoteRef/>
      </w:r>
      <w:r>
        <w:t xml:space="preserve"> </w:t>
      </w:r>
      <w:r>
        <w:rPr>
          <w:i/>
          <w:iCs/>
        </w:rPr>
        <w:t xml:space="preserve">GCI Clarification Request </w:t>
      </w:r>
      <w:r>
        <w:t>at 4.</w:t>
      </w:r>
    </w:p>
  </w:footnote>
  <w:footnote w:id="62">
    <w:p w:rsidR="002C554F" w:rsidRPr="00114762" w:rsidP="002C554F" w14:paraId="72875C7D" w14:textId="77777777">
      <w:pPr>
        <w:pStyle w:val="FootnoteText"/>
      </w:pPr>
      <w:r>
        <w:rPr>
          <w:rStyle w:val="FootnoteReference"/>
        </w:rPr>
        <w:footnoteRef/>
      </w:r>
      <w:r>
        <w:t xml:space="preserve"> </w:t>
      </w:r>
      <w:r>
        <w:rPr>
          <w:i/>
          <w:iCs/>
        </w:rPr>
        <w:t xml:space="preserve">Id. </w:t>
      </w:r>
      <w:r>
        <w:t>at 5-6.</w:t>
      </w:r>
    </w:p>
  </w:footnote>
  <w:footnote w:id="63">
    <w:p w:rsidR="000D50AD" w:rsidP="000D50AD" w14:paraId="4ABDD24D" w14:textId="77777777">
      <w:pPr>
        <w:pStyle w:val="FootnoteText"/>
      </w:pPr>
      <w:r>
        <w:rPr>
          <w:rStyle w:val="FootnoteReference"/>
        </w:rPr>
        <w:footnoteRef/>
      </w:r>
      <w:r>
        <w:t xml:space="preserve"> 47 CFR § 54.604(a).</w:t>
      </w:r>
    </w:p>
  </w:footnote>
  <w:footnote w:id="64">
    <w:p w:rsidR="000D50AD" w:rsidRPr="004E7D7F" w:rsidP="000D50AD" w14:paraId="6F39A8B7" w14:textId="08F03A81">
      <w:pPr>
        <w:pStyle w:val="FootnoteText"/>
      </w:pPr>
      <w:r>
        <w:rPr>
          <w:rStyle w:val="FootnoteReference"/>
        </w:rPr>
        <w:footnoteRef/>
      </w:r>
      <w:r>
        <w:t xml:space="preserve"> </w:t>
      </w:r>
      <w:r>
        <w:rPr>
          <w:i/>
          <w:iCs/>
        </w:rPr>
        <w:t xml:space="preserve">See </w:t>
      </w:r>
      <w:r w:rsidR="00B01818">
        <w:t xml:space="preserve">Letter from Gina Spade, Counsel for </w:t>
      </w:r>
      <w:r w:rsidR="005C5C68">
        <w:t>Schools, Health &amp; Libraries Broadband Coalition to Marlen</w:t>
      </w:r>
      <w:r w:rsidR="001253F6">
        <w:t xml:space="preserve">e H. Dortch, Secretary, FCC, </w:t>
      </w:r>
      <w:r w:rsidR="00B05638">
        <w:t xml:space="preserve">at 3-9, </w:t>
      </w:r>
      <w:r w:rsidR="00E67508">
        <w:t>WC Docket No. 17-310 (dated Mar. 27, 2021)</w:t>
      </w:r>
      <w:r>
        <w:t xml:space="preserve"> (showing that the urban rate for a 10 Mbps dedicated service exceeds the urban rate for a 100 Mbps dedicated service</w:t>
      </w:r>
      <w:r w:rsidRPr="00004AD2">
        <w:t xml:space="preserve"> </w:t>
      </w:r>
      <w:r>
        <w:t xml:space="preserve">in Connecticut, that the urban rate for a 20 Mbps dedicated service exceeds the urban rate for a 100 Mbps dedicated service in Alabama, and that the urban rate for a 10 Mbps dedicated service exceeds the urban rate for a 100 Mbps dedicated service in Illinois).  </w:t>
      </w:r>
      <w:r>
        <w:rPr>
          <w:i/>
          <w:iCs/>
        </w:rPr>
        <w:t xml:space="preserve">See also </w:t>
      </w:r>
      <w:r>
        <w:rPr>
          <w:i/>
          <w:iCs/>
        </w:rPr>
        <w:t>SHLB</w:t>
      </w:r>
      <w:r>
        <w:rPr>
          <w:i/>
          <w:iCs/>
        </w:rPr>
        <w:t xml:space="preserve"> Request Letter</w:t>
      </w:r>
      <w:r>
        <w:t xml:space="preserve"> at 4; </w:t>
      </w:r>
      <w:r>
        <w:rPr>
          <w:i/>
          <w:iCs/>
        </w:rPr>
        <w:t>CCWV</w:t>
      </w:r>
      <w:r>
        <w:rPr>
          <w:i/>
          <w:iCs/>
        </w:rPr>
        <w:t xml:space="preserve"> Letter</w:t>
      </w:r>
      <w:r w:rsidRPr="00E24EEB">
        <w:t xml:space="preserve"> at 2 (noting that the Extremely Rural Tier rate for a 1 Gbps service in West Virginia is lower than the urban rate)</w:t>
      </w:r>
      <w:r>
        <w:t xml:space="preserve">; </w:t>
      </w:r>
      <w:r>
        <w:rPr>
          <w:i/>
          <w:iCs/>
        </w:rPr>
        <w:t>UTHSC</w:t>
      </w:r>
      <w:r>
        <w:rPr>
          <w:i/>
          <w:iCs/>
        </w:rPr>
        <w:t xml:space="preserve"> Letter </w:t>
      </w:r>
      <w:r>
        <w:t>at 1</w:t>
      </w:r>
      <w:r w:rsidRPr="00E24EEB">
        <w:t xml:space="preserve"> (many sites would receive no support for 1 Gbps Ethernet service without a waiver of Rates Database rural rates)</w:t>
      </w:r>
      <w:r>
        <w:t>.</w:t>
      </w:r>
    </w:p>
  </w:footnote>
  <w:footnote w:id="65">
    <w:p w:rsidR="000D50AD" w:rsidRPr="00E24EEB" w:rsidP="000D50AD" w14:paraId="120A5F08" w14:textId="77777777">
      <w:pPr>
        <w:pStyle w:val="FootnoteText"/>
      </w:pPr>
      <w:r w:rsidRPr="00E24EEB">
        <w:rPr>
          <w:rStyle w:val="FootnoteReference"/>
        </w:rPr>
        <w:footnoteRef/>
      </w:r>
      <w:r w:rsidRPr="00E24EEB">
        <w:t xml:space="preserve"> </w:t>
      </w:r>
      <w:r>
        <w:rPr>
          <w:i/>
          <w:iCs/>
        </w:rPr>
        <w:t xml:space="preserve">See </w:t>
      </w:r>
      <w:r w:rsidRPr="00E24EEB">
        <w:rPr>
          <w:i/>
          <w:iCs/>
        </w:rPr>
        <w:t xml:space="preserve">Alaska Rates Database Waiver Order </w:t>
      </w:r>
      <w:r w:rsidRPr="00E24EEB">
        <w:t>at 6, para. 14.</w:t>
      </w:r>
    </w:p>
  </w:footnote>
  <w:footnote w:id="66">
    <w:p w:rsidR="000D50AD" w:rsidRPr="00612D04" w:rsidP="000D50AD" w14:paraId="32EC74C6" w14:textId="77777777">
      <w:pPr>
        <w:pStyle w:val="FootnoteText"/>
      </w:pPr>
      <w:r>
        <w:rPr>
          <w:rStyle w:val="FootnoteReference"/>
        </w:rPr>
        <w:footnoteRef/>
      </w:r>
      <w:r>
        <w:t xml:space="preserve"> </w:t>
      </w:r>
      <w:r>
        <w:rPr>
          <w:i/>
          <w:iCs/>
        </w:rPr>
        <w:t>Promoting Telehealth Report and Order</w:t>
      </w:r>
      <w:r>
        <w:t xml:space="preserve">, 34 FCC Rcd at 7357-60, paras. 42-45 </w:t>
      </w:r>
      <w:r w:rsidRPr="00E24EEB">
        <w:t>(expressing concern that pre-Rates Database urban rates are artificially low and demonstrating that median urban rates in the Telecom Program were significantly higher than rates for similar or the same E-Rate supported services in urban areas).</w:t>
      </w:r>
    </w:p>
  </w:footnote>
  <w:footnote w:id="67">
    <w:p w:rsidR="000D50AD" w:rsidRPr="00E24EEB" w:rsidP="000D50AD" w14:paraId="3448929E" w14:textId="3D867B81">
      <w:pPr>
        <w:pStyle w:val="FootnoteText"/>
      </w:pPr>
      <w:r w:rsidRPr="00E24EEB">
        <w:rPr>
          <w:rStyle w:val="FootnoteReference"/>
        </w:rPr>
        <w:footnoteRef/>
      </w:r>
      <w:r w:rsidRPr="00E24EEB">
        <w:t xml:space="preserve"> </w:t>
      </w:r>
      <w:r>
        <w:rPr>
          <w:i/>
          <w:iCs/>
        </w:rPr>
        <w:t xml:space="preserve">See supra </w:t>
      </w:r>
      <w:r>
        <w:t>para</w:t>
      </w:r>
      <w:r w:rsidR="004D4CCA">
        <w:t>. 16</w:t>
      </w:r>
      <w:r w:rsidRPr="00E24EEB">
        <w:t>.</w:t>
      </w:r>
    </w:p>
  </w:footnote>
  <w:footnote w:id="68">
    <w:p w:rsidR="000D50AD" w:rsidRPr="00E24EEB" w:rsidP="000D50AD" w14:paraId="5F2D8433" w14:textId="77777777">
      <w:pPr>
        <w:pStyle w:val="FootnoteText"/>
      </w:pPr>
      <w:r w:rsidRPr="00E24EEB">
        <w:rPr>
          <w:rStyle w:val="FootnoteReference"/>
        </w:rPr>
        <w:footnoteRef/>
      </w:r>
      <w:r w:rsidRPr="00E24EEB">
        <w:t xml:space="preserve"> </w:t>
      </w:r>
      <w:r>
        <w:rPr>
          <w:i/>
          <w:iCs/>
        </w:rPr>
        <w:t>Id.</w:t>
      </w:r>
    </w:p>
  </w:footnote>
  <w:footnote w:id="69">
    <w:p w:rsidR="000D50AD" w:rsidRPr="0049416E" w:rsidP="000D50AD" w14:paraId="70357955" w14:textId="77777777">
      <w:pPr>
        <w:pStyle w:val="FootnoteText"/>
      </w:pPr>
      <w:r>
        <w:rPr>
          <w:rStyle w:val="FootnoteReference"/>
        </w:rPr>
        <w:footnoteRef/>
      </w:r>
      <w:r>
        <w:t xml:space="preserve"> </w:t>
      </w:r>
      <w:r>
        <w:rPr>
          <w:i/>
          <w:iCs/>
        </w:rPr>
        <w:t xml:space="preserve">See </w:t>
      </w:r>
      <w:r>
        <w:t>47 CFR § 54.605 (2019).</w:t>
      </w:r>
    </w:p>
  </w:footnote>
  <w:footnote w:id="70">
    <w:p w:rsidR="00BB4A92" w14:paraId="226A10EB" w14:textId="47896E1A">
      <w:pPr>
        <w:pStyle w:val="FootnoteText"/>
      </w:pPr>
      <w:r>
        <w:rPr>
          <w:rStyle w:val="FootnoteReference"/>
        </w:rPr>
        <w:footnoteRef/>
      </w:r>
      <w:r>
        <w:t xml:space="preserve"> </w:t>
      </w:r>
      <w:r w:rsidRPr="00E24EEB">
        <w:rPr>
          <w:i/>
          <w:iCs/>
        </w:rPr>
        <w:t xml:space="preserve">Alaska Rates Database Waiver Order </w:t>
      </w:r>
      <w:r w:rsidRPr="00E24EEB">
        <w:t>at 6, para. 1</w:t>
      </w:r>
      <w:r>
        <w:t>5</w:t>
      </w:r>
      <w:r w:rsidRPr="00E24EEB">
        <w:t>.</w:t>
      </w:r>
    </w:p>
  </w:footnote>
  <w:footnote w:id="71">
    <w:p w:rsidR="0072591D" w:rsidRPr="00E24EEB" w14:paraId="678A5716" w14:textId="77777777">
      <w:pPr>
        <w:pStyle w:val="FootnoteText"/>
      </w:pPr>
      <w:r w:rsidRPr="00E24EEB">
        <w:rPr>
          <w:rStyle w:val="FootnoteReference"/>
        </w:rPr>
        <w:footnoteRef/>
      </w:r>
      <w:r w:rsidRPr="00E24EEB">
        <w:t xml:space="preserve"> </w:t>
      </w:r>
      <w:r w:rsidRPr="00E24EEB" w:rsidR="000F39C0">
        <w:rPr>
          <w:i/>
          <w:iCs/>
        </w:rPr>
        <w:t xml:space="preserve">See </w:t>
      </w:r>
      <w:r w:rsidRPr="00E24EEB" w:rsidR="000F39C0">
        <w:t xml:space="preserve">47 CFR </w:t>
      </w:r>
      <w:r w:rsidRPr="00E24EEB" w:rsidR="00F51D7B">
        <w:t xml:space="preserve">§ </w:t>
      </w:r>
      <w:r w:rsidRPr="00E24EEB" w:rsidR="000F39C0">
        <w:t>54.622 (</w:t>
      </w:r>
      <w:r w:rsidRPr="00E24EEB" w:rsidR="00CC1878">
        <w:t>competitive bidding requirements and e</w:t>
      </w:r>
      <w:r w:rsidRPr="00E24EEB" w:rsidR="00E54EE7">
        <w:t>xemptions).</w:t>
      </w:r>
    </w:p>
  </w:footnote>
  <w:footnote w:id="72">
    <w:p w:rsidR="004D5F61" w:rsidRPr="00E24EEB" w14:paraId="413BC660" w14:textId="77777777">
      <w:pPr>
        <w:pStyle w:val="FootnoteText"/>
        <w:rPr>
          <w:i/>
        </w:rPr>
      </w:pPr>
      <w:r w:rsidRPr="00E24EEB">
        <w:rPr>
          <w:rStyle w:val="FootnoteReference"/>
        </w:rPr>
        <w:footnoteRef/>
      </w:r>
      <w:r w:rsidRPr="00E24EEB">
        <w:t xml:space="preserve"> </w:t>
      </w:r>
      <w:r w:rsidRPr="00E24EEB" w:rsidR="00ED700E">
        <w:rPr>
          <w:i/>
          <w:iCs/>
        </w:rPr>
        <w:t>Id</w:t>
      </w:r>
      <w:r w:rsidRPr="00E24EEB" w:rsidR="00ED700E">
        <w:t>.</w:t>
      </w:r>
      <w:r w:rsidRPr="00E24EEB" w:rsidR="00F43D45">
        <w:rPr>
          <w:i/>
          <w:iCs/>
        </w:rPr>
        <w:t xml:space="preserve"> </w:t>
      </w:r>
    </w:p>
  </w:footnote>
  <w:footnote w:id="73">
    <w:p w:rsidR="00125CA7" w:rsidRPr="001B214C" w14:paraId="2D36337B" w14:textId="1B78528F">
      <w:pPr>
        <w:pStyle w:val="FootnoteText"/>
      </w:pPr>
      <w:r w:rsidRPr="00E24EEB">
        <w:rPr>
          <w:rStyle w:val="FootnoteReference"/>
        </w:rPr>
        <w:footnoteRef/>
      </w:r>
      <w:r w:rsidRPr="00E24EEB">
        <w:t xml:space="preserve"> </w:t>
      </w:r>
      <w:r w:rsidRPr="00E24EEB" w:rsidR="0079227D">
        <w:rPr>
          <w:i/>
          <w:iCs/>
        </w:rPr>
        <w:t>Se</w:t>
      </w:r>
      <w:r w:rsidRPr="00E24EEB" w:rsidR="0007265C">
        <w:rPr>
          <w:i/>
          <w:iCs/>
        </w:rPr>
        <w:t>e id.</w:t>
      </w:r>
      <w:r w:rsidR="001B214C">
        <w:t xml:space="preserve"> </w:t>
      </w:r>
      <w:r w:rsidR="001B214C">
        <w:rPr>
          <w:i/>
          <w:iCs/>
        </w:rPr>
        <w:t>See also</w:t>
      </w:r>
      <w:r w:rsidR="001B214C">
        <w:t xml:space="preserve"> </w:t>
      </w:r>
      <w:r w:rsidRPr="00E24EEB" w:rsidR="001B214C">
        <w:rPr>
          <w:i/>
          <w:iCs/>
        </w:rPr>
        <w:t xml:space="preserve">Alaska Rates Database Waiver Order </w:t>
      </w:r>
      <w:r w:rsidRPr="00E24EEB" w:rsidR="001B214C">
        <w:t>at 6</w:t>
      </w:r>
      <w:r w:rsidR="001B214C">
        <w:t>-7</w:t>
      </w:r>
      <w:r w:rsidRPr="00E24EEB" w:rsidR="001B214C">
        <w:t>, para. 1</w:t>
      </w:r>
      <w:r w:rsidR="001B214C">
        <w:t>6</w:t>
      </w:r>
      <w:r w:rsidRPr="00E24EEB" w:rsidR="001B214C">
        <w:t>.</w:t>
      </w:r>
    </w:p>
  </w:footnote>
  <w:footnote w:id="74">
    <w:p w:rsidR="000F73E3" w:rsidRPr="00E24EEB" w14:paraId="6379A524" w14:textId="39F343BB">
      <w:pPr>
        <w:pStyle w:val="FootnoteText"/>
      </w:pPr>
      <w:r w:rsidRPr="00E24EEB">
        <w:rPr>
          <w:rStyle w:val="FootnoteReference"/>
        </w:rPr>
        <w:footnoteRef/>
      </w:r>
      <w:r w:rsidRPr="00E24EEB">
        <w:t xml:space="preserve"> </w:t>
      </w:r>
      <w:r w:rsidRPr="00E24EEB" w:rsidR="00D21306">
        <w:rPr>
          <w:i/>
          <w:iCs/>
        </w:rPr>
        <w:t>See, e.g.</w:t>
      </w:r>
      <w:r w:rsidRPr="00E24EEB" w:rsidR="00D21306">
        <w:t xml:space="preserve">, Centers for Disease Control and Prevention, </w:t>
      </w:r>
      <w:r w:rsidRPr="00E24EEB" w:rsidR="00D21306">
        <w:rPr>
          <w:i/>
          <w:iCs/>
        </w:rPr>
        <w:t>US COVID-19 Cases Caused by Variants</w:t>
      </w:r>
      <w:r w:rsidRPr="00E24EEB" w:rsidR="00D21306">
        <w:t xml:space="preserve">, </w:t>
      </w:r>
      <w:hyperlink r:id="rId4" w:history="1">
        <w:r w:rsidRPr="00E24EEB" w:rsidR="00D21306">
          <w:rPr>
            <w:rStyle w:val="Hyperlink"/>
            <w:color w:val="auto"/>
          </w:rPr>
          <w:t>https://www.cdc.gov/coronavirus/2019-ncov/transmission/variant-cases.html</w:t>
        </w:r>
      </w:hyperlink>
      <w:r w:rsidRPr="00E24EEB" w:rsidR="00D21306">
        <w:rPr>
          <w:rStyle w:val="Hyperlink"/>
          <w:color w:val="auto"/>
        </w:rPr>
        <w:t xml:space="preserve"> </w:t>
      </w:r>
      <w:r w:rsidRPr="00E24EEB" w:rsidR="00D21306">
        <w:t xml:space="preserve">(last visited Mar. </w:t>
      </w:r>
      <w:r w:rsidRPr="00E24EEB" w:rsidR="000107B5">
        <w:t>10</w:t>
      </w:r>
      <w:r w:rsidRPr="00E24EEB" w:rsidR="00D21306">
        <w:t xml:space="preserve">, 2021); Robert Bollinger and Stuart Ray, </w:t>
      </w:r>
      <w:r w:rsidRPr="00E24EEB" w:rsidR="00D21306">
        <w:rPr>
          <w:i/>
          <w:iCs/>
        </w:rPr>
        <w:t>New Variants of Coronavirus: What You Should Know</w:t>
      </w:r>
      <w:r w:rsidRPr="00E24EEB" w:rsidR="00D21306">
        <w:t xml:space="preserve">, Johns Hopkins Medicine (Feb. 22, 2021), </w:t>
      </w:r>
      <w:hyperlink r:id="rId5" w:history="1">
        <w:r w:rsidRPr="00E24EEB" w:rsidR="00D21306">
          <w:rPr>
            <w:rStyle w:val="Hyperlink"/>
            <w:color w:val="auto"/>
          </w:rPr>
          <w:t>https://www.hopkinsmedicine.org/health/conditions-and-diseases/coronavirus/a-new-strain-of-coronavirus-what-you-should-know</w:t>
        </w:r>
      </w:hyperlink>
      <w:r w:rsidRPr="00E24EEB" w:rsidR="00D21306">
        <w:t xml:space="preserve">; Joel Achenbach and Carolyn Y. Johnson, </w:t>
      </w:r>
      <w:r w:rsidRPr="00E24EEB" w:rsidR="00D21306">
        <w:rPr>
          <w:i/>
          <w:iCs/>
        </w:rPr>
        <w:t>New research shows California coronavirus variant is more transmissible</w:t>
      </w:r>
      <w:r w:rsidRPr="00E24EEB" w:rsidR="00D21306">
        <w:t xml:space="preserve">, The Washington Post (Feb. 24, 2021), </w:t>
      </w:r>
      <w:hyperlink r:id="rId6" w:history="1">
        <w:r w:rsidRPr="00E24EEB" w:rsidR="00D21306">
          <w:rPr>
            <w:rStyle w:val="Hyperlink"/>
            <w:color w:val="auto"/>
          </w:rPr>
          <w:t>https://www.washingtonpost.com/health/california-covid-variant/2021/02/24/0fb75550-76a3-11eb-948d-19472e683521_story.html</w:t>
        </w:r>
      </w:hyperlink>
      <w:r w:rsidRPr="00E24EEB" w:rsidR="00D21306">
        <w:t xml:space="preserve">; </w:t>
      </w:r>
      <w:r w:rsidRPr="00E24EEB" w:rsidR="004150C7">
        <w:t xml:space="preserve">Jared S. Hopkins and Arian Campo-Flores, </w:t>
      </w:r>
      <w:r w:rsidRPr="00E24EEB" w:rsidR="004150C7">
        <w:rPr>
          <w:i/>
          <w:iCs/>
        </w:rPr>
        <w:t>Demand for COVID-19 Vaccines Overwhelms State Health Providers</w:t>
      </w:r>
      <w:r w:rsidRPr="00E24EEB" w:rsidR="004150C7">
        <w:t xml:space="preserve">, The Wall Street Journal (Feb. 8, 2021), </w:t>
      </w:r>
      <w:hyperlink r:id="rId7" w:history="1">
        <w:r w:rsidRPr="00E24EEB" w:rsidR="004150C7">
          <w:rPr>
            <w:rStyle w:val="Hyperlink"/>
            <w:color w:val="auto"/>
            <w:u w:val="none"/>
          </w:rPr>
          <w:t>https://www.wsj.com/articles/demand-for-covid-19-vaccines-overwhelms-state-health-providers-11612789789</w:t>
        </w:r>
      </w:hyperlink>
      <w:r w:rsidRPr="00E24EEB" w:rsidR="007F1A65">
        <w:rPr>
          <w:rStyle w:val="Hyperlink"/>
          <w:color w:val="auto"/>
          <w:u w:val="none"/>
        </w:rPr>
        <w:t xml:space="preserve">; </w:t>
      </w:r>
      <w:r w:rsidRPr="00E24EEB" w:rsidR="00D21306">
        <w:t xml:space="preserve">Sean </w:t>
      </w:r>
      <w:r w:rsidRPr="00E24EEB" w:rsidR="00D21306">
        <w:t>Mcminn</w:t>
      </w:r>
      <w:r w:rsidRPr="00E24EEB" w:rsidR="00D21306">
        <w:t xml:space="preserve">, Audrey Carlsen, and Zach Levitt, </w:t>
      </w:r>
      <w:r w:rsidRPr="00E24EEB" w:rsidR="00D21306">
        <w:rPr>
          <w:i/>
          <w:iCs/>
        </w:rPr>
        <w:t>Many Hospitals Are Still Overwhelmed By COVID-19 Patients. Is Yours?</w:t>
      </w:r>
      <w:r w:rsidRPr="00E24EEB" w:rsidR="00D21306">
        <w:t xml:space="preserve"> National Public Radio (</w:t>
      </w:r>
      <w:r w:rsidRPr="00E24EEB" w:rsidR="00752BEC">
        <w:t>March 8</w:t>
      </w:r>
      <w:r w:rsidRPr="00E24EEB" w:rsidR="00D21306">
        <w:t xml:space="preserve">, 2021), </w:t>
      </w:r>
      <w:hyperlink r:id="rId8" w:history="1">
        <w:r w:rsidRPr="00E24EEB" w:rsidR="00D21306">
          <w:rPr>
            <w:rStyle w:val="Hyperlink"/>
            <w:color w:val="auto"/>
          </w:rPr>
          <w:t>https://www.npr.org/sections/health-shots/2020/12/09/944379919/new-data-reveal-which-hospitals-are-dangerously-full-is-yours</w:t>
        </w:r>
      </w:hyperlink>
      <w:r w:rsidRPr="00E24EEB" w:rsidR="007F1A65">
        <w:t>.</w:t>
      </w:r>
      <w:r w:rsidRPr="00E24EEB" w:rsidR="006F5387">
        <w:t xml:space="preserve"> </w:t>
      </w:r>
      <w:r w:rsidRPr="00E24EEB" w:rsidR="007F1A65">
        <w:t xml:space="preserve"> </w:t>
      </w:r>
    </w:p>
  </w:footnote>
  <w:footnote w:id="75">
    <w:p w:rsidR="000D5C5F" w:rsidRPr="00E24EEB" w:rsidP="000D5C5F" w14:paraId="5223D372" w14:textId="77777777">
      <w:pPr>
        <w:pStyle w:val="FootnoteText"/>
      </w:pPr>
      <w:r w:rsidRPr="00E24EEB">
        <w:rPr>
          <w:rStyle w:val="FootnoteReference"/>
        </w:rPr>
        <w:footnoteRef/>
      </w:r>
      <w:r w:rsidRPr="00E24EEB">
        <w:t xml:space="preserve"> 47 CFR § 54.626(a) (requiring that all applicants use non-recurring services for which Healthcare Connect Fund Program funding has been approved by June 30 of the funding year for which the program support was sought).</w:t>
      </w:r>
    </w:p>
  </w:footnote>
  <w:footnote w:id="76">
    <w:p w:rsidR="000D5C5F" w:rsidRPr="00E24EEB" w:rsidP="000D5C5F" w14:paraId="43739DD2" w14:textId="77777777">
      <w:pPr>
        <w:pStyle w:val="FootnoteText"/>
      </w:pPr>
      <w:r w:rsidRPr="00E24EEB">
        <w:rPr>
          <w:rStyle w:val="FootnoteReference"/>
        </w:rPr>
        <w:footnoteRef/>
      </w:r>
      <w:r w:rsidRPr="00E24EEB">
        <w:t xml:space="preserve"> </w:t>
      </w:r>
      <w:r w:rsidRPr="00E24EEB">
        <w:rPr>
          <w:i/>
          <w:iCs/>
        </w:rPr>
        <w:t>Id.</w:t>
      </w:r>
    </w:p>
  </w:footnote>
  <w:footnote w:id="77">
    <w:p w:rsidR="000D5C5F" w:rsidRPr="00E24EEB" w:rsidP="000D5C5F" w14:paraId="457A6039" w14:textId="77777777">
      <w:pPr>
        <w:pStyle w:val="FootnoteText"/>
      </w:pPr>
      <w:r w:rsidRPr="00E24EEB">
        <w:rPr>
          <w:rStyle w:val="FootnoteReference"/>
        </w:rPr>
        <w:footnoteRef/>
      </w:r>
      <w:r w:rsidRPr="00E24EEB">
        <w:t xml:space="preserve"> 47 CFR § 54.626(b) (“An applicant may request and receive a one-year extension of the implementation deadline for non-recurring services if it satisfies one of the following criteria: (1) Applicants whose funding commitment letters are issued by the Administrator on or after March 1 of the funding year for which discounts are authorized; (2) Applicants that receive service provider change authorizations or site and service authorizations from the Administrator on or after March 1 of the funding year for which discounts are authorized; (3) Applicants whose service providers are unable to complete implementation for reasons beyond the service provider's control; or (4) Applicants whose service providers are unwilling to complete delivery and installation because the applicant's funding request is under review by the Administrator for program compliance.”).</w:t>
      </w:r>
    </w:p>
  </w:footnote>
  <w:footnote w:id="78">
    <w:p w:rsidR="000D5C5F" w:rsidRPr="00E24EEB" w:rsidP="000D5C5F" w14:paraId="2580975A" w14:textId="681CE987">
      <w:pPr>
        <w:pStyle w:val="FootnoteText"/>
      </w:pPr>
      <w:r w:rsidRPr="00E24EEB">
        <w:rPr>
          <w:rStyle w:val="FootnoteReference"/>
        </w:rPr>
        <w:footnoteRef/>
      </w:r>
      <w:r w:rsidRPr="00E24EEB">
        <w:t xml:space="preserve"> </w:t>
      </w:r>
      <w:r w:rsidRPr="00E24EEB" w:rsidR="00416D98">
        <w:rPr>
          <w:i/>
          <w:iCs/>
        </w:rPr>
        <w:t xml:space="preserve">COVID-19 </w:t>
      </w:r>
      <w:r w:rsidRPr="00E24EEB" w:rsidR="00416D98">
        <w:rPr>
          <w:i/>
          <w:iCs/>
        </w:rPr>
        <w:t>RHC</w:t>
      </w:r>
      <w:r w:rsidRPr="00E24EEB" w:rsidR="00416D98">
        <w:rPr>
          <w:i/>
          <w:iCs/>
        </w:rPr>
        <w:t xml:space="preserve"> Relief Order</w:t>
      </w:r>
      <w:r w:rsidRPr="00E24EEB" w:rsidR="00416D98">
        <w:t xml:space="preserve">, 35 FCC Rcd at </w:t>
      </w:r>
      <w:r w:rsidRPr="00E24EEB">
        <w:t>2926, para. 1</w:t>
      </w:r>
      <w:r w:rsidRPr="00E24EEB" w:rsidR="00416D98">
        <w:t>0</w:t>
      </w:r>
      <w:r w:rsidRPr="00E24EEB">
        <w:t xml:space="preserve">. </w:t>
      </w:r>
    </w:p>
  </w:footnote>
  <w:footnote w:id="79">
    <w:p w:rsidR="000D5C5F" w:rsidRPr="00E24EEB" w:rsidP="000D5C5F" w14:paraId="513B1909" w14:textId="22641D87">
      <w:pPr>
        <w:pStyle w:val="FootnoteText"/>
      </w:pPr>
      <w:r w:rsidRPr="00E24EEB">
        <w:rPr>
          <w:rStyle w:val="FootnoteReference"/>
        </w:rPr>
        <w:footnoteRef/>
      </w:r>
      <w:r w:rsidRPr="00E24EEB">
        <w:t xml:space="preserve"> </w:t>
      </w:r>
      <w:r w:rsidRPr="00E24EEB">
        <w:rPr>
          <w:i/>
          <w:iCs/>
        </w:rPr>
        <w:t>See, e.g.</w:t>
      </w:r>
      <w:r w:rsidRPr="00E24EEB">
        <w:t xml:space="preserve">, Carla K. Johnson and Nicky Forster, 2 in 5 Americans Live Where COVID-19 Strains Hospital ICUs, AP News, </w:t>
      </w:r>
      <w:hyperlink r:id="rId9" w:history="1">
        <w:r w:rsidRPr="00E24EEB">
          <w:rPr>
            <w:rStyle w:val="Hyperlink"/>
            <w:color w:val="auto"/>
          </w:rPr>
          <w:t>https://apnews.com/article/us-news-coronavirus-pandemic-faf144ff9442077a9f2bb292614e1342</w:t>
        </w:r>
      </w:hyperlink>
      <w:r w:rsidRPr="00E24EEB">
        <w:t xml:space="preserve"> (Jan. 24, 2021) (reporting that ICUs across the country are at or nearing capacity); </w:t>
      </w:r>
      <w:r w:rsidRPr="00E24EEB">
        <w:rPr>
          <w:i/>
          <w:iCs/>
        </w:rPr>
        <w:t>see also</w:t>
      </w:r>
      <w:r w:rsidRPr="00E24EEB">
        <w:t xml:space="preserve"> Centers for Disease Control and Prevention, </w:t>
      </w:r>
      <w:r w:rsidRPr="00E24EEB">
        <w:rPr>
          <w:i/>
          <w:iCs/>
        </w:rPr>
        <w:t>Coronavirus Disease 2019 (COVID-19) Data Tracker</w:t>
      </w:r>
      <w:r w:rsidRPr="00E24EEB">
        <w:t xml:space="preserve">, </w:t>
      </w:r>
      <w:hyperlink r:id="rId10" w:anchor="datatracker-home" w:history="1">
        <w:r w:rsidRPr="00E24EEB">
          <w:rPr>
            <w:rStyle w:val="Hyperlink"/>
            <w:color w:val="auto"/>
          </w:rPr>
          <w:t>https://covid.cdc.gov/covid-data-tracker/#datatracker-home</w:t>
        </w:r>
      </w:hyperlink>
      <w:r w:rsidRPr="00E24EEB">
        <w:t xml:space="preserve"> (last visited Mar. 2, 2021).  In addition to treating coronavirus patients, health care providers are also attempting to meet demand for the coronavirus vaccine. </w:t>
      </w:r>
      <w:r w:rsidRPr="00E24EEB">
        <w:rPr>
          <w:i/>
          <w:iCs/>
        </w:rPr>
        <w:t>See</w:t>
      </w:r>
      <w:r w:rsidRPr="00E24EEB">
        <w:t xml:space="preserve"> Chris Wilson, </w:t>
      </w:r>
      <w:r w:rsidRPr="00E24EEB">
        <w:rPr>
          <w:i/>
          <w:iCs/>
        </w:rPr>
        <w:t>The U.S. COVID-19 Vaccine Rollout Is Getting Faster. But Is it Enough?,</w:t>
      </w:r>
      <w:r w:rsidRPr="00E24EEB">
        <w:t xml:space="preserve"> TIME, </w:t>
      </w:r>
      <w:hyperlink r:id="rId11" w:history="1">
        <w:r w:rsidRPr="00E24EEB">
          <w:rPr>
            <w:rStyle w:val="Hyperlink"/>
            <w:color w:val="auto"/>
          </w:rPr>
          <w:t>https://time.com/5938128/covid-19-vaccine-rollout-biden/</w:t>
        </w:r>
      </w:hyperlink>
      <w:r w:rsidRPr="00E24EEB">
        <w:t xml:space="preserve"> (Feb. 12, 2021) (citing reports of hospitals and other facilities experiencing a supply shortage). </w:t>
      </w:r>
    </w:p>
  </w:footnote>
  <w:footnote w:id="80">
    <w:p w:rsidR="000D5C5F" w:rsidRPr="00E24EEB" w:rsidP="000D5C5F" w14:paraId="633C47BB" w14:textId="77777777">
      <w:pPr>
        <w:pStyle w:val="FootnoteText"/>
      </w:pPr>
      <w:r w:rsidRPr="00E24EEB">
        <w:rPr>
          <w:rStyle w:val="FootnoteReference"/>
        </w:rPr>
        <w:footnoteRef/>
      </w:r>
      <w:r w:rsidRPr="00E24EEB">
        <w:t xml:space="preserve"> 47 CFR § 54.626(b). </w:t>
      </w:r>
    </w:p>
  </w:footnote>
  <w:footnote w:id="81">
    <w:p w:rsidR="00763978" w:rsidRPr="00E24EEB" w:rsidP="00763978" w14:paraId="560D0F87" w14:textId="77777777">
      <w:pPr>
        <w:pStyle w:val="FootnoteText"/>
      </w:pPr>
      <w:r w:rsidRPr="00E24EEB">
        <w:rPr>
          <w:rStyle w:val="FootnoteReference"/>
        </w:rPr>
        <w:footnoteRef/>
      </w:r>
      <w:r w:rsidRPr="00E24EEB">
        <w:t xml:space="preserve"> 47 CFR § 54.627(a).  </w:t>
      </w:r>
    </w:p>
  </w:footnote>
  <w:footnote w:id="82">
    <w:p w:rsidR="008A2756" w:rsidRPr="00E24EEB" w:rsidP="008A2756" w14:paraId="29145B3E" w14:textId="77777777">
      <w:pPr>
        <w:pStyle w:val="FootnoteText"/>
      </w:pPr>
      <w:r w:rsidRPr="00E24EEB">
        <w:rPr>
          <w:rStyle w:val="FootnoteReference"/>
        </w:rPr>
        <w:footnoteRef/>
      </w:r>
      <w:r w:rsidRPr="00E24EEB">
        <w:t xml:space="preserve"> 47 CFR § 54.627(b).</w:t>
      </w:r>
    </w:p>
  </w:footnote>
  <w:footnote w:id="83">
    <w:p w:rsidR="002534B7" w:rsidRPr="00E24EEB" w:rsidP="002534B7" w14:paraId="31DA27FF" w14:textId="77777777">
      <w:pPr>
        <w:pStyle w:val="FootnoteText"/>
      </w:pPr>
      <w:r w:rsidRPr="00E24EEB">
        <w:rPr>
          <w:rStyle w:val="FootnoteReference"/>
        </w:rPr>
        <w:footnoteRef/>
      </w:r>
      <w:r w:rsidRPr="00E24EEB">
        <w:t xml:space="preserve"> </w:t>
      </w:r>
      <w:r w:rsidRPr="00E24EEB">
        <w:rPr>
          <w:i/>
          <w:iCs/>
        </w:rPr>
        <w:t>Id.</w:t>
      </w:r>
    </w:p>
  </w:footnote>
  <w:footnote w:id="84">
    <w:p w:rsidR="003724C7" w:rsidRPr="00E24EEB" w:rsidP="003724C7" w14:paraId="33DBEFD3" w14:textId="4087D33E">
      <w:pPr>
        <w:pStyle w:val="FootnoteText"/>
      </w:pPr>
      <w:r w:rsidRPr="00E24EEB">
        <w:rPr>
          <w:rStyle w:val="FootnoteReference"/>
        </w:rPr>
        <w:footnoteRef/>
      </w:r>
      <w:r w:rsidRPr="00E24EEB">
        <w:t xml:space="preserve"> </w:t>
      </w:r>
      <w:r w:rsidRPr="00E24EEB">
        <w:rPr>
          <w:i/>
          <w:iCs/>
        </w:rPr>
        <w:t>Id.</w:t>
      </w:r>
      <w:r w:rsidR="00294980">
        <w:t xml:space="preserve">  </w:t>
      </w:r>
      <w:r w:rsidR="00DA290C">
        <w:t xml:space="preserve">Because we are automatically granting a </w:t>
      </w:r>
      <w:r w:rsidR="00F928CF">
        <w:t>120-day</w:t>
      </w:r>
      <w:r w:rsidR="00DA290C">
        <w:t xml:space="preserve"> extension</w:t>
      </w:r>
      <w:r w:rsidR="005B003F">
        <w:t xml:space="preserve">, </w:t>
      </w:r>
      <w:r w:rsidR="00667715">
        <w:t>no additional extension of the in</w:t>
      </w:r>
      <w:r w:rsidR="00740EC6">
        <w:t xml:space="preserve">voice deadline is available under </w:t>
      </w:r>
      <w:r w:rsidR="00FC16D5">
        <w:t>RHC</w:t>
      </w:r>
      <w:r w:rsidR="00FC16D5">
        <w:t xml:space="preserve"> Program rules.  </w:t>
      </w:r>
    </w:p>
  </w:footnote>
  <w:footnote w:id="85">
    <w:p w:rsidR="00911A7E" w:rsidRPr="00E24EEB" w14:paraId="01AB47B2" w14:textId="50C4292D">
      <w:pPr>
        <w:pStyle w:val="FootnoteText"/>
      </w:pPr>
      <w:r w:rsidRPr="00E24EEB">
        <w:rPr>
          <w:rStyle w:val="FootnoteReference"/>
        </w:rPr>
        <w:footnoteRef/>
      </w:r>
      <w:r w:rsidRPr="00E24EEB">
        <w:t xml:space="preserve"> </w:t>
      </w:r>
      <w:r w:rsidRPr="00E24EEB" w:rsidR="00B878EB">
        <w:rPr>
          <w:i/>
          <w:iCs/>
        </w:rPr>
        <w:t>See</w:t>
      </w:r>
      <w:r w:rsidRPr="00E24EEB" w:rsidR="00B878EB">
        <w:t xml:space="preserve"> </w:t>
      </w:r>
      <w:r w:rsidRPr="00E24EEB" w:rsidR="00416D98">
        <w:rPr>
          <w:i/>
          <w:iCs/>
        </w:rPr>
        <w:t xml:space="preserve">COVID-19 </w:t>
      </w:r>
      <w:r w:rsidRPr="00E24EEB" w:rsidR="00416D98">
        <w:rPr>
          <w:i/>
          <w:iCs/>
        </w:rPr>
        <w:t>RHC</w:t>
      </w:r>
      <w:r w:rsidRPr="00E24EEB" w:rsidR="00B878EB">
        <w:rPr>
          <w:i/>
        </w:rPr>
        <w:t xml:space="preserve"> Relief Order</w:t>
      </w:r>
      <w:r w:rsidRPr="00E24EEB" w:rsidR="00B878EB">
        <w:rPr>
          <w:iCs/>
        </w:rPr>
        <w:t>,</w:t>
      </w:r>
      <w:r w:rsidRPr="00E24EEB" w:rsidR="00B878EB">
        <w:rPr>
          <w:i/>
        </w:rPr>
        <w:t xml:space="preserve"> </w:t>
      </w:r>
      <w:r w:rsidRPr="00E24EEB" w:rsidR="00B878EB">
        <w:t xml:space="preserve">35 FCC Rcd at 2926, para. 11.  The invoice filing deadline waived in the </w:t>
      </w:r>
      <w:r w:rsidRPr="00E24EEB" w:rsidR="00B878EB">
        <w:rPr>
          <w:i/>
          <w:iCs/>
        </w:rPr>
        <w:t xml:space="preserve">March 2020 COVID-19 Relief Order </w:t>
      </w:r>
      <w:r w:rsidRPr="00E24EEB" w:rsidR="00B878EB">
        <w:t xml:space="preserve">was waived under section 54.645(b) of the Commission’s rules, which is no longer applicable.  47 CFR § 54.645(b) (2018); </w:t>
      </w:r>
      <w:r w:rsidRPr="00E24EEB" w:rsidR="00B878EB">
        <w:rPr>
          <w:i/>
        </w:rPr>
        <w:t>Promoting Telehealth in Rural America</w:t>
      </w:r>
      <w:r w:rsidRPr="00E24EEB" w:rsidR="00B878EB">
        <w:t>, WC Docket 02-60, Order, 35 FCC Rcd 13819, 13820, para. 4 (WCB 2020) (</w:t>
      </w:r>
      <w:r w:rsidRPr="00E24EEB" w:rsidR="00B878EB">
        <w:rPr>
          <w:i/>
          <w:iCs/>
        </w:rPr>
        <w:t>RHC</w:t>
      </w:r>
      <w:r w:rsidRPr="00E24EEB" w:rsidR="00B878EB">
        <w:rPr>
          <w:i/>
          <w:iCs/>
        </w:rPr>
        <w:t xml:space="preserve"> Rules Effective Date Acceleration Order</w:t>
      </w:r>
      <w:r w:rsidRPr="00E24EEB" w:rsidR="00B878EB">
        <w:t xml:space="preserve">).  </w:t>
      </w:r>
      <w:r w:rsidR="006056EE">
        <w:t>We find that a</w:t>
      </w:r>
      <w:r w:rsidRPr="00E24EEB" w:rsidR="00B878EB">
        <w:t xml:space="preserve">utomatically granting the 120-day extension available to participants, rather than a 180-day extension as was granted in the </w:t>
      </w:r>
      <w:r w:rsidRPr="00E24EEB" w:rsidR="00B878EB">
        <w:rPr>
          <w:i/>
          <w:iCs/>
        </w:rPr>
        <w:t>March 2020 COVID-19 Relief Order</w:t>
      </w:r>
      <w:r w:rsidRPr="00E24EEB" w:rsidR="00B878EB">
        <w:t xml:space="preserve"> and requested by FG, is consistent with the current </w:t>
      </w:r>
      <w:r w:rsidRPr="00E24EEB" w:rsidR="00B878EB">
        <w:t>RHC</w:t>
      </w:r>
      <w:r w:rsidRPr="00E24EEB" w:rsidR="00B878EB">
        <w:t xml:space="preserve"> Program rules and still provides a</w:t>
      </w:r>
      <w:r w:rsidR="006056EE">
        <w:t xml:space="preserve"> sufficiently</w:t>
      </w:r>
      <w:r w:rsidRPr="00E24EEB" w:rsidR="00B878EB">
        <w:t xml:space="preserve"> meaningful extension of the invoice filing deadline.</w:t>
      </w:r>
    </w:p>
  </w:footnote>
  <w:footnote w:id="86">
    <w:p w:rsidR="0047118E" w:rsidRPr="00E24EEB" w:rsidP="0047118E" w14:paraId="74BFC388" w14:textId="50331E2F">
      <w:pPr>
        <w:pStyle w:val="FootnoteText"/>
      </w:pPr>
      <w:r w:rsidRPr="00E24EEB">
        <w:rPr>
          <w:rStyle w:val="FootnoteReference"/>
        </w:rPr>
        <w:footnoteRef/>
      </w:r>
      <w:r w:rsidRPr="00E24EEB">
        <w:t xml:space="preserve"> </w:t>
      </w:r>
      <w:r w:rsidRPr="00E24EEB">
        <w:rPr>
          <w:i/>
          <w:iCs/>
        </w:rPr>
        <w:t>Rural Health Care Support Mechanism</w:t>
      </w:r>
      <w:r w:rsidRPr="00E24EEB">
        <w:t>, WC Docket No. 02-60, Order, 30 FCC Rcd 230, 231-232, para. 3 (WCB 2015) (</w:t>
      </w:r>
      <w:r w:rsidRPr="00E24EEB">
        <w:rPr>
          <w:i/>
          <w:iCs/>
        </w:rPr>
        <w:t>FCC Form 466 Documentation Order</w:t>
      </w:r>
      <w:r w:rsidRPr="00E24EEB">
        <w:t>)</w:t>
      </w:r>
      <w:r w:rsidRPr="009D6B72">
        <w:rPr>
          <w:rStyle w:val="Hyperlink"/>
          <w:color w:val="auto"/>
          <w:u w:val="none"/>
        </w:rPr>
        <w:t>;</w:t>
      </w:r>
      <w:r w:rsidRPr="00E24EEB">
        <w:rPr>
          <w:i/>
          <w:iCs/>
        </w:rPr>
        <w:t xml:space="preserve"> Healthcare Connect Fund Order</w:t>
      </w:r>
      <w:r w:rsidRPr="00E24EEB">
        <w:t>, 27 FCC Rcd at 16803, para. 300.</w:t>
      </w:r>
    </w:p>
  </w:footnote>
  <w:footnote w:id="87">
    <w:p w:rsidR="0047118E" w:rsidRPr="00E24EEB" w:rsidP="0047118E" w14:paraId="7BBD3CA7" w14:textId="77777777">
      <w:pPr>
        <w:pStyle w:val="FootnoteText"/>
      </w:pPr>
      <w:r w:rsidRPr="00E24EEB">
        <w:rPr>
          <w:rStyle w:val="FootnoteReference"/>
        </w:rPr>
        <w:footnoteRef/>
      </w:r>
      <w:r w:rsidRPr="00E24EEB">
        <w:t xml:space="preserve"> </w:t>
      </w:r>
      <w:r w:rsidRPr="00E24EEB">
        <w:rPr>
          <w:i/>
          <w:iCs/>
        </w:rPr>
        <w:t>FCC Form 466 Documentation Order</w:t>
      </w:r>
      <w:r w:rsidRPr="00E24EEB">
        <w:t xml:space="preserve">, 30 FCC Rcd at 232, para. 3; </w:t>
      </w:r>
      <w:r w:rsidRPr="00E24EEB">
        <w:rPr>
          <w:i/>
          <w:iCs/>
        </w:rPr>
        <w:t>Healthcare Connect Fund Order</w:t>
      </w:r>
      <w:r w:rsidRPr="00E24EEB">
        <w:t xml:space="preserve">, 27 FCC Rcd at 16803-04, para. 302.              </w:t>
      </w:r>
    </w:p>
  </w:footnote>
  <w:footnote w:id="88">
    <w:p w:rsidR="007C380C" w:rsidRPr="00E24EEB" w:rsidP="007C380C" w14:paraId="04B4111D" w14:textId="51B8D41E">
      <w:pPr>
        <w:pStyle w:val="FootnoteText"/>
      </w:pPr>
      <w:r w:rsidRPr="00E24EEB">
        <w:rPr>
          <w:rStyle w:val="FootnoteReference"/>
        </w:rPr>
        <w:footnoteRef/>
      </w:r>
      <w:r w:rsidRPr="00E24EEB">
        <w:t xml:space="preserve"> FG requested the Commission grant the same response deadline relief that it did in the March 2020 </w:t>
      </w:r>
      <w:r w:rsidRPr="00E24EEB">
        <w:rPr>
          <w:i/>
        </w:rPr>
        <w:t xml:space="preserve">COVID-19 </w:t>
      </w:r>
      <w:r w:rsidRPr="00E24EEB">
        <w:rPr>
          <w:i/>
          <w:iCs/>
        </w:rPr>
        <w:t>RHC</w:t>
      </w:r>
      <w:r w:rsidRPr="00E24EEB">
        <w:rPr>
          <w:i/>
          <w:iCs/>
        </w:rPr>
        <w:t xml:space="preserve"> Relief </w:t>
      </w:r>
      <w:r w:rsidRPr="00E24EEB">
        <w:rPr>
          <w:i/>
        </w:rPr>
        <w:t>Order</w:t>
      </w:r>
      <w:r w:rsidRPr="00E24EEB">
        <w:rPr>
          <w:iCs/>
        </w:rPr>
        <w:t xml:space="preserve">. </w:t>
      </w:r>
      <w:r w:rsidRPr="00E24EEB">
        <w:rPr>
          <w:i/>
          <w:iCs/>
        </w:rPr>
        <w:t>FG Request Letter</w:t>
      </w:r>
      <w:r w:rsidRPr="00E24EEB">
        <w:t xml:space="preserve">, at 4.  The automatic extension of time to respond to information requests granted in the March 2020 </w:t>
      </w:r>
      <w:r w:rsidRPr="00E24EEB">
        <w:rPr>
          <w:i/>
        </w:rPr>
        <w:t xml:space="preserve">COVID-19 </w:t>
      </w:r>
      <w:r w:rsidRPr="00E24EEB">
        <w:rPr>
          <w:i/>
          <w:iCs/>
        </w:rPr>
        <w:t>RHC</w:t>
      </w:r>
      <w:r w:rsidRPr="00E24EEB">
        <w:rPr>
          <w:i/>
          <w:iCs/>
        </w:rPr>
        <w:t xml:space="preserve"> Relief </w:t>
      </w:r>
      <w:r w:rsidRPr="00E24EEB">
        <w:rPr>
          <w:i/>
        </w:rPr>
        <w:t>Order</w:t>
      </w:r>
      <w:r w:rsidRPr="00E24EEB">
        <w:t xml:space="preserve"> extended the time it took USAC to resolve issues with applications, which </w:t>
      </w:r>
      <w:r w:rsidRPr="00E24EEB" w:rsidR="00133066">
        <w:t>likely</w:t>
      </w:r>
      <w:r w:rsidRPr="00E24EEB">
        <w:t xml:space="preserve"> delayed funding commitments.  Moreover, not all applicants need the additional time to respond as some requested information or clarifications are simple or minor.  Thus, instead of automatically extending the 14-day deadline by an additional 28 days for all information requests, allowing an extension of 28 days to only those requesting it strikes a balance between providing necessary relief to health care providers in need of additional time due to the COVID-19 pandemic and promoting the efficiency and effectiveness of the </w:t>
      </w:r>
      <w:r w:rsidRPr="00E24EEB">
        <w:t>RHC</w:t>
      </w:r>
      <w:r w:rsidRPr="00E24EEB">
        <w:t xml:space="preserve"> Program.  </w:t>
      </w:r>
      <w:r w:rsidRPr="00E24EEB">
        <w:rPr>
          <w:i/>
          <w:iCs/>
        </w:rPr>
        <w:t>See</w:t>
      </w:r>
      <w:r w:rsidRPr="00E24EEB">
        <w:t xml:space="preserve"> </w:t>
      </w:r>
      <w:r w:rsidRPr="00E24EEB">
        <w:rPr>
          <w:i/>
          <w:iCs/>
        </w:rPr>
        <w:t>FCC Form 466 Documentation Order</w:t>
      </w:r>
      <w:r w:rsidRPr="00E24EEB">
        <w:t xml:space="preserve">, 30 FCC Rcd at 232, para. 3 (“We find that allowing applicants to submit supporting documentation after the funding year or inadequate supporting documentation compromises the efficiency and effectiveness of the </w:t>
      </w:r>
      <w:r w:rsidRPr="00E24EEB">
        <w:t>RHC</w:t>
      </w:r>
      <w:r w:rsidRPr="00E24EEB">
        <w:t xml:space="preserve"> program . . .  When USAC must seek submission of supporting documentation or direction on locating the relevant information to support an applicant’s FCC Form 466, the efficiency of USAC’s review process suffers, administrative costs increase, and funding commitments are delayed.”).</w:t>
      </w:r>
    </w:p>
  </w:footnote>
  <w:footnote w:id="89">
    <w:p w:rsidR="0047118E" w:rsidRPr="00E24EEB" w:rsidP="0047118E" w14:paraId="3B726166" w14:textId="421F48E1">
      <w:pPr>
        <w:pStyle w:val="FootnoteText"/>
      </w:pPr>
      <w:r w:rsidRPr="00E24EEB">
        <w:rPr>
          <w:rStyle w:val="FootnoteReference"/>
        </w:rPr>
        <w:footnoteRef/>
      </w:r>
      <w:r w:rsidRPr="00E24EEB">
        <w:t xml:space="preserve"> For information requests issued on or after January 1, 2021</w:t>
      </w:r>
      <w:r w:rsidR="00915AE1">
        <w:t>,</w:t>
      </w:r>
      <w:r w:rsidRPr="00E24EEB">
        <w:t xml:space="preserve"> and before the release date of this Order, applicants can request relief from the Commission by filing appeals or requests for waiver if their funding requests are denied for missed response deadlines.</w:t>
      </w:r>
    </w:p>
  </w:footnote>
  <w:footnote w:id="90">
    <w:p w:rsidR="0047118E" w:rsidRPr="00E24EEB" w:rsidP="0047118E" w14:paraId="2E0F6B5C" w14:textId="77777777">
      <w:pPr>
        <w:pStyle w:val="FootnoteText"/>
      </w:pPr>
      <w:r w:rsidRPr="00E24EEB">
        <w:rPr>
          <w:rStyle w:val="FootnoteReference"/>
        </w:rPr>
        <w:footnoteRef/>
      </w:r>
      <w:r w:rsidRPr="00E24EEB">
        <w:t xml:space="preserve"> </w:t>
      </w:r>
      <w:r w:rsidRPr="00E24EEB">
        <w:rPr>
          <w:i/>
          <w:iCs/>
        </w:rPr>
        <w:t xml:space="preserve">COVID-19 </w:t>
      </w:r>
      <w:r w:rsidRPr="00E24EEB">
        <w:rPr>
          <w:i/>
          <w:iCs/>
        </w:rPr>
        <w:t>RHC</w:t>
      </w:r>
      <w:r w:rsidRPr="00E24EEB">
        <w:rPr>
          <w:i/>
          <w:iCs/>
        </w:rPr>
        <w:t xml:space="preserve"> Relief Order</w:t>
      </w:r>
      <w:r w:rsidRPr="00E24EEB">
        <w:t xml:space="preserve">, 35 FCC Rcd at 2925-26, para. 9; </w:t>
      </w:r>
      <w:r w:rsidRPr="00E24EEB">
        <w:rPr>
          <w:i/>
          <w:iCs/>
        </w:rPr>
        <w:t>COVID-19 Gift Rules Waiver Extension Order</w:t>
      </w:r>
      <w:r w:rsidRPr="00E24EEB">
        <w:t>, 35 FCC Rcd at 9421, para. 12.</w:t>
      </w:r>
    </w:p>
  </w:footnote>
  <w:footnote w:id="91">
    <w:p w:rsidR="00EA5827" w:rsidRPr="00E24EEB" w:rsidP="00EA5827" w14:paraId="28422084" w14:textId="77777777">
      <w:pPr>
        <w:pStyle w:val="FootnoteText"/>
      </w:pPr>
      <w:r w:rsidRPr="00E24EEB">
        <w:rPr>
          <w:rStyle w:val="FootnoteReference"/>
        </w:rPr>
        <w:footnoteRef/>
      </w:r>
      <w:r w:rsidRPr="00E24EEB">
        <w:t xml:space="preserve"> </w:t>
      </w:r>
      <w:r w:rsidRPr="00E24EEB">
        <w:rPr>
          <w:i/>
          <w:iCs/>
        </w:rPr>
        <w:t xml:space="preserve">COVID-19 </w:t>
      </w:r>
      <w:r w:rsidRPr="00E24EEB">
        <w:rPr>
          <w:i/>
          <w:iCs/>
        </w:rPr>
        <w:t>RHC</w:t>
      </w:r>
      <w:r w:rsidRPr="00E24EEB">
        <w:rPr>
          <w:i/>
          <w:iCs/>
        </w:rPr>
        <w:t xml:space="preserve"> Relief Order</w:t>
      </w:r>
      <w:r w:rsidRPr="00E24EEB">
        <w:t>, 35 FCC Rcd at 2927, para. 12 (waiving the 60-day deadlines in section 54.720(a)-(b) of the Commission’s rules for requests for review or waiver of decisions by USAC and providing an additional 60 days for such requests).</w:t>
      </w:r>
    </w:p>
  </w:footnote>
  <w:footnote w:id="92">
    <w:p w:rsidR="007C1260" w14:paraId="2A4DB317" w14:textId="4BA6E296">
      <w:pPr>
        <w:pStyle w:val="FootnoteText"/>
      </w:pPr>
      <w:r>
        <w:rPr>
          <w:rStyle w:val="FootnoteReference"/>
        </w:rPr>
        <w:footnoteRef/>
      </w:r>
      <w:r>
        <w:t xml:space="preserve"> </w:t>
      </w:r>
      <w:r w:rsidRPr="00E24EEB" w:rsidR="00900208">
        <w:rPr>
          <w:i/>
          <w:iCs/>
        </w:rPr>
        <w:t>FG Request Letter</w:t>
      </w:r>
      <w:r w:rsidRPr="00E24EEB" w:rsidR="00900208">
        <w:t xml:space="preserve">, at </w:t>
      </w:r>
      <w:r w:rsidR="00E0468C">
        <w:t>5, n. 12</w:t>
      </w:r>
      <w:r w:rsidR="00900208">
        <w:t>.</w:t>
      </w:r>
    </w:p>
  </w:footnote>
  <w:footnote w:id="93">
    <w:p w:rsidR="007C1260" w14:paraId="0F85AE22" w14:textId="11B81D98">
      <w:pPr>
        <w:pStyle w:val="FootnoteText"/>
      </w:pPr>
      <w:r>
        <w:rPr>
          <w:rStyle w:val="FootnoteReference"/>
        </w:rPr>
        <w:footnoteRef/>
      </w:r>
      <w:r>
        <w:t xml:space="preserve"> </w:t>
      </w:r>
      <w:r w:rsidRPr="00E24EEB">
        <w:rPr>
          <w:i/>
        </w:rPr>
        <w:t>Lifeline and Link Up Reform and Modernization</w:t>
      </w:r>
      <w:r w:rsidRPr="00E24EEB">
        <w:t xml:space="preserve">, WC Docket No. 11-42, Order, 35 FCC Rcd 2950, 2953, para. 12 (WCB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053009" w14:textId="1FF78976">
    <w:pPr>
      <w:pStyle w:val="Header"/>
      <w:rPr>
        <w:b w:val="0"/>
      </w:rPr>
    </w:pPr>
    <w:r>
      <w:tab/>
      <w:t>Federal Communications Commission</w:t>
    </w:r>
    <w:r>
      <w:tab/>
    </w:r>
    <w:r w:rsidR="00A5756F">
      <w:t>DA 21-</w:t>
    </w:r>
    <w:r w:rsidR="003812A2">
      <w:t>394</w:t>
    </w:r>
  </w:p>
  <w:p w:rsidR="00D25FB5" w14:paraId="5F10920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9BED8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58CD4F" w14:textId="3858548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56F">
      <w:rPr>
        <w:spacing w:val="-2"/>
      </w:rPr>
      <w:t>DA 21-</w:t>
    </w:r>
    <w:r w:rsidR="003812A2">
      <w:rPr>
        <w:spacing w:val="-2"/>
      </w:rPr>
      <w:t>394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F90A2E"/>
    <w:multiLevelType w:val="hybridMultilevel"/>
    <w:tmpl w:val="AE32322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6685655"/>
    <w:multiLevelType w:val="hybridMultilevel"/>
    <w:tmpl w:val="513A750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DF"/>
    <w:rsid w:val="00000466"/>
    <w:rsid w:val="00001B39"/>
    <w:rsid w:val="00002116"/>
    <w:rsid w:val="0000225E"/>
    <w:rsid w:val="00002957"/>
    <w:rsid w:val="00002D4F"/>
    <w:rsid w:val="0000313C"/>
    <w:rsid w:val="000046E7"/>
    <w:rsid w:val="00004A33"/>
    <w:rsid w:val="00004AD2"/>
    <w:rsid w:val="00004B27"/>
    <w:rsid w:val="0000500E"/>
    <w:rsid w:val="000051C6"/>
    <w:rsid w:val="0000559B"/>
    <w:rsid w:val="00005CF0"/>
    <w:rsid w:val="0000674D"/>
    <w:rsid w:val="000074FD"/>
    <w:rsid w:val="000076A6"/>
    <w:rsid w:val="000107B5"/>
    <w:rsid w:val="00010BBD"/>
    <w:rsid w:val="00010C38"/>
    <w:rsid w:val="00010FCF"/>
    <w:rsid w:val="00012999"/>
    <w:rsid w:val="00012A9A"/>
    <w:rsid w:val="000136F7"/>
    <w:rsid w:val="000147B3"/>
    <w:rsid w:val="00014826"/>
    <w:rsid w:val="000148E1"/>
    <w:rsid w:val="0001495B"/>
    <w:rsid w:val="00014EFB"/>
    <w:rsid w:val="00015C0C"/>
    <w:rsid w:val="0001632F"/>
    <w:rsid w:val="000168D1"/>
    <w:rsid w:val="00016B12"/>
    <w:rsid w:val="00016C3B"/>
    <w:rsid w:val="00016F5F"/>
    <w:rsid w:val="00017787"/>
    <w:rsid w:val="000178AB"/>
    <w:rsid w:val="00020E5A"/>
    <w:rsid w:val="0002116F"/>
    <w:rsid w:val="0002131E"/>
    <w:rsid w:val="0002159B"/>
    <w:rsid w:val="00021B01"/>
    <w:rsid w:val="00021E59"/>
    <w:rsid w:val="000229D8"/>
    <w:rsid w:val="00022D39"/>
    <w:rsid w:val="000234C2"/>
    <w:rsid w:val="000236A5"/>
    <w:rsid w:val="0002381D"/>
    <w:rsid w:val="00023915"/>
    <w:rsid w:val="00024B9F"/>
    <w:rsid w:val="00025106"/>
    <w:rsid w:val="00025683"/>
    <w:rsid w:val="00025C44"/>
    <w:rsid w:val="00026B8D"/>
    <w:rsid w:val="000270CD"/>
    <w:rsid w:val="00027746"/>
    <w:rsid w:val="0002775A"/>
    <w:rsid w:val="00030582"/>
    <w:rsid w:val="00030746"/>
    <w:rsid w:val="00030F09"/>
    <w:rsid w:val="0003106E"/>
    <w:rsid w:val="0003163C"/>
    <w:rsid w:val="0003248E"/>
    <w:rsid w:val="00032547"/>
    <w:rsid w:val="000326D5"/>
    <w:rsid w:val="00032FDB"/>
    <w:rsid w:val="000332DF"/>
    <w:rsid w:val="0003345B"/>
    <w:rsid w:val="00033786"/>
    <w:rsid w:val="00033DB1"/>
    <w:rsid w:val="000355BD"/>
    <w:rsid w:val="00035CAD"/>
    <w:rsid w:val="00036039"/>
    <w:rsid w:val="00036AA5"/>
    <w:rsid w:val="00036BEA"/>
    <w:rsid w:val="00037305"/>
    <w:rsid w:val="00037CF4"/>
    <w:rsid w:val="00037F90"/>
    <w:rsid w:val="000424C5"/>
    <w:rsid w:val="00042660"/>
    <w:rsid w:val="00042AA3"/>
    <w:rsid w:val="00042B51"/>
    <w:rsid w:val="00042C26"/>
    <w:rsid w:val="0004374D"/>
    <w:rsid w:val="00043BAC"/>
    <w:rsid w:val="000446B1"/>
    <w:rsid w:val="000447E7"/>
    <w:rsid w:val="00044A7C"/>
    <w:rsid w:val="00044AE0"/>
    <w:rsid w:val="00045DE5"/>
    <w:rsid w:val="00045FAE"/>
    <w:rsid w:val="00046E09"/>
    <w:rsid w:val="00046FE5"/>
    <w:rsid w:val="00047101"/>
    <w:rsid w:val="00047503"/>
    <w:rsid w:val="00047B45"/>
    <w:rsid w:val="00047FE9"/>
    <w:rsid w:val="00050239"/>
    <w:rsid w:val="000509EF"/>
    <w:rsid w:val="000511B5"/>
    <w:rsid w:val="000520DE"/>
    <w:rsid w:val="00052797"/>
    <w:rsid w:val="00052866"/>
    <w:rsid w:val="000540CB"/>
    <w:rsid w:val="000542B7"/>
    <w:rsid w:val="00054CD1"/>
    <w:rsid w:val="00055098"/>
    <w:rsid w:val="00055216"/>
    <w:rsid w:val="00055226"/>
    <w:rsid w:val="0005665D"/>
    <w:rsid w:val="000567FB"/>
    <w:rsid w:val="00056F0A"/>
    <w:rsid w:val="00057551"/>
    <w:rsid w:val="00057991"/>
    <w:rsid w:val="00057CE7"/>
    <w:rsid w:val="0006019F"/>
    <w:rsid w:val="00061CF8"/>
    <w:rsid w:val="00061F68"/>
    <w:rsid w:val="00061FBF"/>
    <w:rsid w:val="00063A80"/>
    <w:rsid w:val="00065702"/>
    <w:rsid w:val="00065909"/>
    <w:rsid w:val="00065A17"/>
    <w:rsid w:val="00065A84"/>
    <w:rsid w:val="000662C5"/>
    <w:rsid w:val="00066415"/>
    <w:rsid w:val="0006641E"/>
    <w:rsid w:val="00066590"/>
    <w:rsid w:val="000666ED"/>
    <w:rsid w:val="00066836"/>
    <w:rsid w:val="00066C06"/>
    <w:rsid w:val="00067240"/>
    <w:rsid w:val="00067C82"/>
    <w:rsid w:val="00067D2C"/>
    <w:rsid w:val="00070285"/>
    <w:rsid w:val="00070726"/>
    <w:rsid w:val="00070FE1"/>
    <w:rsid w:val="0007107C"/>
    <w:rsid w:val="000719E0"/>
    <w:rsid w:val="000722DC"/>
    <w:rsid w:val="00072363"/>
    <w:rsid w:val="0007265C"/>
    <w:rsid w:val="00072939"/>
    <w:rsid w:val="000744C5"/>
    <w:rsid w:val="0007456A"/>
    <w:rsid w:val="00074621"/>
    <w:rsid w:val="000747E2"/>
    <w:rsid w:val="00074801"/>
    <w:rsid w:val="00074904"/>
    <w:rsid w:val="000755F0"/>
    <w:rsid w:val="00075AA7"/>
    <w:rsid w:val="00075D4A"/>
    <w:rsid w:val="000763AF"/>
    <w:rsid w:val="00076566"/>
    <w:rsid w:val="00076B91"/>
    <w:rsid w:val="000772A3"/>
    <w:rsid w:val="000774B4"/>
    <w:rsid w:val="00077536"/>
    <w:rsid w:val="00077610"/>
    <w:rsid w:val="00077AA2"/>
    <w:rsid w:val="0008091D"/>
    <w:rsid w:val="00081098"/>
    <w:rsid w:val="000821C1"/>
    <w:rsid w:val="00082308"/>
    <w:rsid w:val="000824B6"/>
    <w:rsid w:val="00082697"/>
    <w:rsid w:val="00083B4A"/>
    <w:rsid w:val="00083B8A"/>
    <w:rsid w:val="000842C6"/>
    <w:rsid w:val="0008476F"/>
    <w:rsid w:val="00084DF5"/>
    <w:rsid w:val="000865F4"/>
    <w:rsid w:val="000875BF"/>
    <w:rsid w:val="0009048D"/>
    <w:rsid w:val="000919FF"/>
    <w:rsid w:val="00091BB2"/>
    <w:rsid w:val="000926F8"/>
    <w:rsid w:val="00092734"/>
    <w:rsid w:val="00093C38"/>
    <w:rsid w:val="000947EE"/>
    <w:rsid w:val="000948E8"/>
    <w:rsid w:val="000950A3"/>
    <w:rsid w:val="000956AA"/>
    <w:rsid w:val="00095935"/>
    <w:rsid w:val="000959E7"/>
    <w:rsid w:val="00095C7C"/>
    <w:rsid w:val="00096263"/>
    <w:rsid w:val="000964D6"/>
    <w:rsid w:val="00096CCD"/>
    <w:rsid w:val="00096D8C"/>
    <w:rsid w:val="00097533"/>
    <w:rsid w:val="00097E1B"/>
    <w:rsid w:val="000A0638"/>
    <w:rsid w:val="000A0DDA"/>
    <w:rsid w:val="000A1391"/>
    <w:rsid w:val="000A164A"/>
    <w:rsid w:val="000A16BD"/>
    <w:rsid w:val="000A1FC8"/>
    <w:rsid w:val="000A31F2"/>
    <w:rsid w:val="000A3B86"/>
    <w:rsid w:val="000A3CF6"/>
    <w:rsid w:val="000A4972"/>
    <w:rsid w:val="000A5109"/>
    <w:rsid w:val="000A536B"/>
    <w:rsid w:val="000A5614"/>
    <w:rsid w:val="000A5759"/>
    <w:rsid w:val="000A5F92"/>
    <w:rsid w:val="000A67D0"/>
    <w:rsid w:val="000A6997"/>
    <w:rsid w:val="000A6A76"/>
    <w:rsid w:val="000A797D"/>
    <w:rsid w:val="000B00E1"/>
    <w:rsid w:val="000B01EF"/>
    <w:rsid w:val="000B0ABD"/>
    <w:rsid w:val="000B0F3C"/>
    <w:rsid w:val="000B116F"/>
    <w:rsid w:val="000B1F94"/>
    <w:rsid w:val="000B219D"/>
    <w:rsid w:val="000B23F8"/>
    <w:rsid w:val="000B251E"/>
    <w:rsid w:val="000B2816"/>
    <w:rsid w:val="000B2D01"/>
    <w:rsid w:val="000B35A4"/>
    <w:rsid w:val="000B3ED1"/>
    <w:rsid w:val="000B440C"/>
    <w:rsid w:val="000B4937"/>
    <w:rsid w:val="000B5871"/>
    <w:rsid w:val="000B5D62"/>
    <w:rsid w:val="000B64A2"/>
    <w:rsid w:val="000B6553"/>
    <w:rsid w:val="000B662C"/>
    <w:rsid w:val="000B66D2"/>
    <w:rsid w:val="000B6E3D"/>
    <w:rsid w:val="000B6E4B"/>
    <w:rsid w:val="000B6F78"/>
    <w:rsid w:val="000B7804"/>
    <w:rsid w:val="000B782B"/>
    <w:rsid w:val="000B7D8D"/>
    <w:rsid w:val="000C0142"/>
    <w:rsid w:val="000C030D"/>
    <w:rsid w:val="000C063C"/>
    <w:rsid w:val="000C0A85"/>
    <w:rsid w:val="000C0B65"/>
    <w:rsid w:val="000C0D26"/>
    <w:rsid w:val="000C15A8"/>
    <w:rsid w:val="000C2C23"/>
    <w:rsid w:val="000C301D"/>
    <w:rsid w:val="000C32E5"/>
    <w:rsid w:val="000C3445"/>
    <w:rsid w:val="000C344F"/>
    <w:rsid w:val="000C35C1"/>
    <w:rsid w:val="000C35FF"/>
    <w:rsid w:val="000C421D"/>
    <w:rsid w:val="000C4279"/>
    <w:rsid w:val="000C4469"/>
    <w:rsid w:val="000C4D0E"/>
    <w:rsid w:val="000C5D00"/>
    <w:rsid w:val="000C60F7"/>
    <w:rsid w:val="000C6497"/>
    <w:rsid w:val="000C6870"/>
    <w:rsid w:val="000C6A91"/>
    <w:rsid w:val="000C6D8D"/>
    <w:rsid w:val="000C7A9F"/>
    <w:rsid w:val="000C7C63"/>
    <w:rsid w:val="000D0255"/>
    <w:rsid w:val="000D06B0"/>
    <w:rsid w:val="000D0B73"/>
    <w:rsid w:val="000D0B83"/>
    <w:rsid w:val="000D105D"/>
    <w:rsid w:val="000D1108"/>
    <w:rsid w:val="000D175C"/>
    <w:rsid w:val="000D1915"/>
    <w:rsid w:val="000D1E7E"/>
    <w:rsid w:val="000D20D0"/>
    <w:rsid w:val="000D25A8"/>
    <w:rsid w:val="000D275B"/>
    <w:rsid w:val="000D2846"/>
    <w:rsid w:val="000D32C8"/>
    <w:rsid w:val="000D36CD"/>
    <w:rsid w:val="000D3731"/>
    <w:rsid w:val="000D3B15"/>
    <w:rsid w:val="000D3BEB"/>
    <w:rsid w:val="000D3FB3"/>
    <w:rsid w:val="000D4360"/>
    <w:rsid w:val="000D4848"/>
    <w:rsid w:val="000D50AD"/>
    <w:rsid w:val="000D50D5"/>
    <w:rsid w:val="000D5C5F"/>
    <w:rsid w:val="000D68E6"/>
    <w:rsid w:val="000D6E11"/>
    <w:rsid w:val="000D7837"/>
    <w:rsid w:val="000E04CD"/>
    <w:rsid w:val="000E05FE"/>
    <w:rsid w:val="000E0657"/>
    <w:rsid w:val="000E0B21"/>
    <w:rsid w:val="000E136B"/>
    <w:rsid w:val="000E17A0"/>
    <w:rsid w:val="000E184D"/>
    <w:rsid w:val="000E278A"/>
    <w:rsid w:val="000E2A66"/>
    <w:rsid w:val="000E33FC"/>
    <w:rsid w:val="000E3A94"/>
    <w:rsid w:val="000E3BC8"/>
    <w:rsid w:val="000E3D42"/>
    <w:rsid w:val="000E486D"/>
    <w:rsid w:val="000E4F86"/>
    <w:rsid w:val="000E59C2"/>
    <w:rsid w:val="000E67F9"/>
    <w:rsid w:val="000E744A"/>
    <w:rsid w:val="000E7825"/>
    <w:rsid w:val="000E7940"/>
    <w:rsid w:val="000E7BA1"/>
    <w:rsid w:val="000F0273"/>
    <w:rsid w:val="000F04EB"/>
    <w:rsid w:val="000F04EF"/>
    <w:rsid w:val="000F0500"/>
    <w:rsid w:val="000F0669"/>
    <w:rsid w:val="000F08F6"/>
    <w:rsid w:val="000F0ADB"/>
    <w:rsid w:val="000F0BB7"/>
    <w:rsid w:val="000F0E4A"/>
    <w:rsid w:val="000F1336"/>
    <w:rsid w:val="000F1E87"/>
    <w:rsid w:val="000F233D"/>
    <w:rsid w:val="000F2ACE"/>
    <w:rsid w:val="000F3644"/>
    <w:rsid w:val="000F39C0"/>
    <w:rsid w:val="000F42DC"/>
    <w:rsid w:val="000F4CDD"/>
    <w:rsid w:val="000F5480"/>
    <w:rsid w:val="000F63AB"/>
    <w:rsid w:val="000F64DD"/>
    <w:rsid w:val="000F7015"/>
    <w:rsid w:val="000F71B5"/>
    <w:rsid w:val="000F73E3"/>
    <w:rsid w:val="000F7E6E"/>
    <w:rsid w:val="000F7F07"/>
    <w:rsid w:val="001017E0"/>
    <w:rsid w:val="00101ACB"/>
    <w:rsid w:val="00102217"/>
    <w:rsid w:val="00102D50"/>
    <w:rsid w:val="00103012"/>
    <w:rsid w:val="0010310C"/>
    <w:rsid w:val="00103633"/>
    <w:rsid w:val="00103BB0"/>
    <w:rsid w:val="001040C9"/>
    <w:rsid w:val="001049DD"/>
    <w:rsid w:val="00104B1F"/>
    <w:rsid w:val="001057EE"/>
    <w:rsid w:val="0010603F"/>
    <w:rsid w:val="001064C4"/>
    <w:rsid w:val="00106CFD"/>
    <w:rsid w:val="001073D8"/>
    <w:rsid w:val="00107B36"/>
    <w:rsid w:val="00110082"/>
    <w:rsid w:val="00110E5F"/>
    <w:rsid w:val="00111CE7"/>
    <w:rsid w:val="001120E6"/>
    <w:rsid w:val="00113519"/>
    <w:rsid w:val="00113617"/>
    <w:rsid w:val="00114762"/>
    <w:rsid w:val="00114906"/>
    <w:rsid w:val="00115967"/>
    <w:rsid w:val="00116DE6"/>
    <w:rsid w:val="00116E13"/>
    <w:rsid w:val="00116EFE"/>
    <w:rsid w:val="00117543"/>
    <w:rsid w:val="00117608"/>
    <w:rsid w:val="00117E67"/>
    <w:rsid w:val="0012015E"/>
    <w:rsid w:val="001201BB"/>
    <w:rsid w:val="001202D5"/>
    <w:rsid w:val="00120425"/>
    <w:rsid w:val="0012046A"/>
    <w:rsid w:val="00120708"/>
    <w:rsid w:val="0012091B"/>
    <w:rsid w:val="001212E7"/>
    <w:rsid w:val="001213B9"/>
    <w:rsid w:val="00121719"/>
    <w:rsid w:val="00121E8B"/>
    <w:rsid w:val="001223D3"/>
    <w:rsid w:val="00122BD5"/>
    <w:rsid w:val="00122C83"/>
    <w:rsid w:val="00122F16"/>
    <w:rsid w:val="00123232"/>
    <w:rsid w:val="00123285"/>
    <w:rsid w:val="00124243"/>
    <w:rsid w:val="001247F4"/>
    <w:rsid w:val="0012483A"/>
    <w:rsid w:val="0012486B"/>
    <w:rsid w:val="001253F6"/>
    <w:rsid w:val="00125CA7"/>
    <w:rsid w:val="0012630B"/>
    <w:rsid w:val="00126476"/>
    <w:rsid w:val="00126C8E"/>
    <w:rsid w:val="00126CB1"/>
    <w:rsid w:val="00126E43"/>
    <w:rsid w:val="00127213"/>
    <w:rsid w:val="00127B2B"/>
    <w:rsid w:val="00127B88"/>
    <w:rsid w:val="00127CCB"/>
    <w:rsid w:val="00130124"/>
    <w:rsid w:val="00131495"/>
    <w:rsid w:val="00131573"/>
    <w:rsid w:val="00131C01"/>
    <w:rsid w:val="00132CA7"/>
    <w:rsid w:val="00133066"/>
    <w:rsid w:val="00133527"/>
    <w:rsid w:val="00133DD7"/>
    <w:rsid w:val="00133E75"/>
    <w:rsid w:val="00133F79"/>
    <w:rsid w:val="00133F96"/>
    <w:rsid w:val="001348B6"/>
    <w:rsid w:val="00135B00"/>
    <w:rsid w:val="001360EC"/>
    <w:rsid w:val="001368E0"/>
    <w:rsid w:val="00136D0C"/>
    <w:rsid w:val="00137E96"/>
    <w:rsid w:val="00140381"/>
    <w:rsid w:val="001403B9"/>
    <w:rsid w:val="0014056E"/>
    <w:rsid w:val="00140A71"/>
    <w:rsid w:val="00140AD6"/>
    <w:rsid w:val="00140CAB"/>
    <w:rsid w:val="00140FA9"/>
    <w:rsid w:val="00141207"/>
    <w:rsid w:val="0014212E"/>
    <w:rsid w:val="0014234F"/>
    <w:rsid w:val="0014246A"/>
    <w:rsid w:val="00142478"/>
    <w:rsid w:val="001430D2"/>
    <w:rsid w:val="0014371D"/>
    <w:rsid w:val="001437CF"/>
    <w:rsid w:val="001437ED"/>
    <w:rsid w:val="00144137"/>
    <w:rsid w:val="00144257"/>
    <w:rsid w:val="00144335"/>
    <w:rsid w:val="00144B58"/>
    <w:rsid w:val="001459FE"/>
    <w:rsid w:val="00145A72"/>
    <w:rsid w:val="00145D32"/>
    <w:rsid w:val="00146088"/>
    <w:rsid w:val="0014649E"/>
    <w:rsid w:val="00146528"/>
    <w:rsid w:val="001466FB"/>
    <w:rsid w:val="00146C76"/>
    <w:rsid w:val="00146E72"/>
    <w:rsid w:val="00147318"/>
    <w:rsid w:val="00147909"/>
    <w:rsid w:val="00147A3B"/>
    <w:rsid w:val="00151C3F"/>
    <w:rsid w:val="00151CDB"/>
    <w:rsid w:val="00152732"/>
    <w:rsid w:val="00152B08"/>
    <w:rsid w:val="00152D37"/>
    <w:rsid w:val="001534CD"/>
    <w:rsid w:val="00154200"/>
    <w:rsid w:val="001543D2"/>
    <w:rsid w:val="001549F1"/>
    <w:rsid w:val="00154F43"/>
    <w:rsid w:val="00155022"/>
    <w:rsid w:val="0015558C"/>
    <w:rsid w:val="00155C26"/>
    <w:rsid w:val="0015607A"/>
    <w:rsid w:val="001570F8"/>
    <w:rsid w:val="00157717"/>
    <w:rsid w:val="001577F4"/>
    <w:rsid w:val="00157FEF"/>
    <w:rsid w:val="001602B7"/>
    <w:rsid w:val="001602C9"/>
    <w:rsid w:val="001602E1"/>
    <w:rsid w:val="001607F1"/>
    <w:rsid w:val="00161602"/>
    <w:rsid w:val="00161C6B"/>
    <w:rsid w:val="00161E10"/>
    <w:rsid w:val="00162492"/>
    <w:rsid w:val="001624A9"/>
    <w:rsid w:val="0016251D"/>
    <w:rsid w:val="00162773"/>
    <w:rsid w:val="00162816"/>
    <w:rsid w:val="00163418"/>
    <w:rsid w:val="00163550"/>
    <w:rsid w:val="00163988"/>
    <w:rsid w:val="00163CEE"/>
    <w:rsid w:val="00164082"/>
    <w:rsid w:val="001641F1"/>
    <w:rsid w:val="001642BB"/>
    <w:rsid w:val="00164406"/>
    <w:rsid w:val="001646BC"/>
    <w:rsid w:val="00164D46"/>
    <w:rsid w:val="00164FFB"/>
    <w:rsid w:val="001651BA"/>
    <w:rsid w:val="00165240"/>
    <w:rsid w:val="001654FC"/>
    <w:rsid w:val="00165582"/>
    <w:rsid w:val="0016669C"/>
    <w:rsid w:val="00166E7F"/>
    <w:rsid w:val="00167528"/>
    <w:rsid w:val="001675A9"/>
    <w:rsid w:val="00167B8A"/>
    <w:rsid w:val="001700C7"/>
    <w:rsid w:val="001705C5"/>
    <w:rsid w:val="0017091D"/>
    <w:rsid w:val="0017120D"/>
    <w:rsid w:val="00171549"/>
    <w:rsid w:val="0017181B"/>
    <w:rsid w:val="00171C5F"/>
    <w:rsid w:val="00172782"/>
    <w:rsid w:val="00172D1E"/>
    <w:rsid w:val="00172F1E"/>
    <w:rsid w:val="00172F9C"/>
    <w:rsid w:val="001736DA"/>
    <w:rsid w:val="00173836"/>
    <w:rsid w:val="001739E5"/>
    <w:rsid w:val="00173D6A"/>
    <w:rsid w:val="00173E75"/>
    <w:rsid w:val="00173F89"/>
    <w:rsid w:val="0017459A"/>
    <w:rsid w:val="0017497D"/>
    <w:rsid w:val="00174CC8"/>
    <w:rsid w:val="00175314"/>
    <w:rsid w:val="00175857"/>
    <w:rsid w:val="00175C20"/>
    <w:rsid w:val="00175E42"/>
    <w:rsid w:val="00175EB7"/>
    <w:rsid w:val="00176C11"/>
    <w:rsid w:val="00176E39"/>
    <w:rsid w:val="00176FB4"/>
    <w:rsid w:val="00177052"/>
    <w:rsid w:val="001778E8"/>
    <w:rsid w:val="0017799E"/>
    <w:rsid w:val="00177C76"/>
    <w:rsid w:val="001819B4"/>
    <w:rsid w:val="00182312"/>
    <w:rsid w:val="001827B8"/>
    <w:rsid w:val="00182C66"/>
    <w:rsid w:val="00183021"/>
    <w:rsid w:val="001830DF"/>
    <w:rsid w:val="00183986"/>
    <w:rsid w:val="00183B66"/>
    <w:rsid w:val="00184018"/>
    <w:rsid w:val="001844D3"/>
    <w:rsid w:val="001848D9"/>
    <w:rsid w:val="00184904"/>
    <w:rsid w:val="00184A71"/>
    <w:rsid w:val="00185351"/>
    <w:rsid w:val="00185633"/>
    <w:rsid w:val="00185892"/>
    <w:rsid w:val="00186144"/>
    <w:rsid w:val="001861A9"/>
    <w:rsid w:val="00186AD2"/>
    <w:rsid w:val="00186CA4"/>
    <w:rsid w:val="00186EFB"/>
    <w:rsid w:val="001879D9"/>
    <w:rsid w:val="001906F4"/>
    <w:rsid w:val="00190894"/>
    <w:rsid w:val="001909B2"/>
    <w:rsid w:val="001912F7"/>
    <w:rsid w:val="001916D3"/>
    <w:rsid w:val="001918BF"/>
    <w:rsid w:val="00191B7C"/>
    <w:rsid w:val="00192D3D"/>
    <w:rsid w:val="00193E2B"/>
    <w:rsid w:val="00193E83"/>
    <w:rsid w:val="00194173"/>
    <w:rsid w:val="001941A4"/>
    <w:rsid w:val="00194528"/>
    <w:rsid w:val="0019482E"/>
    <w:rsid w:val="00194847"/>
    <w:rsid w:val="00194A66"/>
    <w:rsid w:val="0019515D"/>
    <w:rsid w:val="00195CB8"/>
    <w:rsid w:val="00196621"/>
    <w:rsid w:val="001966CE"/>
    <w:rsid w:val="00196C02"/>
    <w:rsid w:val="00196D13"/>
    <w:rsid w:val="00196E99"/>
    <w:rsid w:val="00197003"/>
    <w:rsid w:val="0019709E"/>
    <w:rsid w:val="0019729D"/>
    <w:rsid w:val="0019735D"/>
    <w:rsid w:val="00197756"/>
    <w:rsid w:val="00197DC7"/>
    <w:rsid w:val="001A0823"/>
    <w:rsid w:val="001A098C"/>
    <w:rsid w:val="001A0A61"/>
    <w:rsid w:val="001A1158"/>
    <w:rsid w:val="001A12EE"/>
    <w:rsid w:val="001A14AC"/>
    <w:rsid w:val="001A25A4"/>
    <w:rsid w:val="001A341B"/>
    <w:rsid w:val="001A37ED"/>
    <w:rsid w:val="001A393F"/>
    <w:rsid w:val="001A3DC5"/>
    <w:rsid w:val="001A427C"/>
    <w:rsid w:val="001A507A"/>
    <w:rsid w:val="001A53D8"/>
    <w:rsid w:val="001A58CD"/>
    <w:rsid w:val="001A592D"/>
    <w:rsid w:val="001A59DD"/>
    <w:rsid w:val="001A5C1A"/>
    <w:rsid w:val="001A5CC7"/>
    <w:rsid w:val="001A5E1A"/>
    <w:rsid w:val="001A6508"/>
    <w:rsid w:val="001A6E74"/>
    <w:rsid w:val="001A72DE"/>
    <w:rsid w:val="001A7533"/>
    <w:rsid w:val="001B0185"/>
    <w:rsid w:val="001B03D0"/>
    <w:rsid w:val="001B0755"/>
    <w:rsid w:val="001B092F"/>
    <w:rsid w:val="001B0F4E"/>
    <w:rsid w:val="001B13C7"/>
    <w:rsid w:val="001B143B"/>
    <w:rsid w:val="001B20F9"/>
    <w:rsid w:val="001B214C"/>
    <w:rsid w:val="001B261E"/>
    <w:rsid w:val="001B3C9E"/>
    <w:rsid w:val="001B3CFE"/>
    <w:rsid w:val="001B3E07"/>
    <w:rsid w:val="001B411F"/>
    <w:rsid w:val="001B42E1"/>
    <w:rsid w:val="001B4364"/>
    <w:rsid w:val="001B5362"/>
    <w:rsid w:val="001B5374"/>
    <w:rsid w:val="001B566B"/>
    <w:rsid w:val="001B5874"/>
    <w:rsid w:val="001B5A06"/>
    <w:rsid w:val="001B66B7"/>
    <w:rsid w:val="001B681C"/>
    <w:rsid w:val="001B6BBC"/>
    <w:rsid w:val="001B6BD9"/>
    <w:rsid w:val="001C09AB"/>
    <w:rsid w:val="001C1748"/>
    <w:rsid w:val="001C1811"/>
    <w:rsid w:val="001C1BFF"/>
    <w:rsid w:val="001C1F0C"/>
    <w:rsid w:val="001C241A"/>
    <w:rsid w:val="001C2501"/>
    <w:rsid w:val="001C2748"/>
    <w:rsid w:val="001C2953"/>
    <w:rsid w:val="001C2F28"/>
    <w:rsid w:val="001C31BB"/>
    <w:rsid w:val="001C3215"/>
    <w:rsid w:val="001C39E9"/>
    <w:rsid w:val="001C3B5B"/>
    <w:rsid w:val="001C4749"/>
    <w:rsid w:val="001C4D09"/>
    <w:rsid w:val="001C4F53"/>
    <w:rsid w:val="001C51BC"/>
    <w:rsid w:val="001C546A"/>
    <w:rsid w:val="001C54BE"/>
    <w:rsid w:val="001C5C11"/>
    <w:rsid w:val="001C6634"/>
    <w:rsid w:val="001C67EE"/>
    <w:rsid w:val="001C6A85"/>
    <w:rsid w:val="001C6A8E"/>
    <w:rsid w:val="001C6E89"/>
    <w:rsid w:val="001C6FC0"/>
    <w:rsid w:val="001C769D"/>
    <w:rsid w:val="001C7A6D"/>
    <w:rsid w:val="001C7D54"/>
    <w:rsid w:val="001D003A"/>
    <w:rsid w:val="001D0A17"/>
    <w:rsid w:val="001D0B6F"/>
    <w:rsid w:val="001D0D19"/>
    <w:rsid w:val="001D1424"/>
    <w:rsid w:val="001D1576"/>
    <w:rsid w:val="001D1C17"/>
    <w:rsid w:val="001D1C76"/>
    <w:rsid w:val="001D1D44"/>
    <w:rsid w:val="001D2C3D"/>
    <w:rsid w:val="001D2DD1"/>
    <w:rsid w:val="001D36DF"/>
    <w:rsid w:val="001D3B1B"/>
    <w:rsid w:val="001D4C12"/>
    <w:rsid w:val="001D4DE1"/>
    <w:rsid w:val="001D5426"/>
    <w:rsid w:val="001D5943"/>
    <w:rsid w:val="001D652C"/>
    <w:rsid w:val="001D6893"/>
    <w:rsid w:val="001D6BCF"/>
    <w:rsid w:val="001D716D"/>
    <w:rsid w:val="001D7983"/>
    <w:rsid w:val="001E01CA"/>
    <w:rsid w:val="001E043D"/>
    <w:rsid w:val="001E0AB2"/>
    <w:rsid w:val="001E0AE7"/>
    <w:rsid w:val="001E1354"/>
    <w:rsid w:val="001E1BD7"/>
    <w:rsid w:val="001E1D09"/>
    <w:rsid w:val="001E1DB6"/>
    <w:rsid w:val="001E204D"/>
    <w:rsid w:val="001E21EB"/>
    <w:rsid w:val="001E220C"/>
    <w:rsid w:val="001E3484"/>
    <w:rsid w:val="001E3688"/>
    <w:rsid w:val="001E3B3F"/>
    <w:rsid w:val="001E3E40"/>
    <w:rsid w:val="001E3F1C"/>
    <w:rsid w:val="001E3FBD"/>
    <w:rsid w:val="001E400A"/>
    <w:rsid w:val="001E503E"/>
    <w:rsid w:val="001E5600"/>
    <w:rsid w:val="001E5F7B"/>
    <w:rsid w:val="001E69C7"/>
    <w:rsid w:val="001E6CBC"/>
    <w:rsid w:val="001E6DED"/>
    <w:rsid w:val="001E709F"/>
    <w:rsid w:val="001E7805"/>
    <w:rsid w:val="001F0926"/>
    <w:rsid w:val="001F181C"/>
    <w:rsid w:val="001F1C88"/>
    <w:rsid w:val="001F1CF6"/>
    <w:rsid w:val="001F2E82"/>
    <w:rsid w:val="001F572B"/>
    <w:rsid w:val="001F6187"/>
    <w:rsid w:val="001F658F"/>
    <w:rsid w:val="001F681F"/>
    <w:rsid w:val="001F6E5A"/>
    <w:rsid w:val="00200143"/>
    <w:rsid w:val="0020066E"/>
    <w:rsid w:val="00200B26"/>
    <w:rsid w:val="00200BC9"/>
    <w:rsid w:val="002028E6"/>
    <w:rsid w:val="00202C7E"/>
    <w:rsid w:val="00203371"/>
    <w:rsid w:val="002056DE"/>
    <w:rsid w:val="0020654A"/>
    <w:rsid w:val="0020658D"/>
    <w:rsid w:val="00206769"/>
    <w:rsid w:val="00206914"/>
    <w:rsid w:val="00206A46"/>
    <w:rsid w:val="00206BD5"/>
    <w:rsid w:val="002074BC"/>
    <w:rsid w:val="00207F1B"/>
    <w:rsid w:val="002104F7"/>
    <w:rsid w:val="00211315"/>
    <w:rsid w:val="002117EB"/>
    <w:rsid w:val="00211FAC"/>
    <w:rsid w:val="002124F3"/>
    <w:rsid w:val="00212507"/>
    <w:rsid w:val="00213228"/>
    <w:rsid w:val="00213B4F"/>
    <w:rsid w:val="00214127"/>
    <w:rsid w:val="002146B1"/>
    <w:rsid w:val="00214E33"/>
    <w:rsid w:val="00214E64"/>
    <w:rsid w:val="00214EF0"/>
    <w:rsid w:val="00215185"/>
    <w:rsid w:val="002151AB"/>
    <w:rsid w:val="002151DF"/>
    <w:rsid w:val="00216536"/>
    <w:rsid w:val="002165F5"/>
    <w:rsid w:val="00216846"/>
    <w:rsid w:val="00216C73"/>
    <w:rsid w:val="00217616"/>
    <w:rsid w:val="00217F7E"/>
    <w:rsid w:val="00220784"/>
    <w:rsid w:val="0022204E"/>
    <w:rsid w:val="00222C5E"/>
    <w:rsid w:val="00222EAE"/>
    <w:rsid w:val="00222F94"/>
    <w:rsid w:val="00225CC3"/>
    <w:rsid w:val="00225DCC"/>
    <w:rsid w:val="0022637B"/>
    <w:rsid w:val="00226EC6"/>
    <w:rsid w:val="00226FDD"/>
    <w:rsid w:val="002274FF"/>
    <w:rsid w:val="00227EBE"/>
    <w:rsid w:val="00230325"/>
    <w:rsid w:val="0023156B"/>
    <w:rsid w:val="002326E1"/>
    <w:rsid w:val="00232F0A"/>
    <w:rsid w:val="00232F2D"/>
    <w:rsid w:val="002336D6"/>
    <w:rsid w:val="00233F80"/>
    <w:rsid w:val="002344AF"/>
    <w:rsid w:val="00234A72"/>
    <w:rsid w:val="00235934"/>
    <w:rsid w:val="00235CDC"/>
    <w:rsid w:val="0023696E"/>
    <w:rsid w:val="002402AB"/>
    <w:rsid w:val="00240B62"/>
    <w:rsid w:val="00240D01"/>
    <w:rsid w:val="00241044"/>
    <w:rsid w:val="002415CA"/>
    <w:rsid w:val="0024178A"/>
    <w:rsid w:val="00242060"/>
    <w:rsid w:val="00242DFD"/>
    <w:rsid w:val="002439E2"/>
    <w:rsid w:val="00243DAC"/>
    <w:rsid w:val="00243E51"/>
    <w:rsid w:val="00243E76"/>
    <w:rsid w:val="00244865"/>
    <w:rsid w:val="00244CF3"/>
    <w:rsid w:val="00245CBD"/>
    <w:rsid w:val="00245DC9"/>
    <w:rsid w:val="00246198"/>
    <w:rsid w:val="002466CE"/>
    <w:rsid w:val="002467EB"/>
    <w:rsid w:val="00246BE3"/>
    <w:rsid w:val="00246F20"/>
    <w:rsid w:val="002472A4"/>
    <w:rsid w:val="0025005C"/>
    <w:rsid w:val="002500ED"/>
    <w:rsid w:val="00251052"/>
    <w:rsid w:val="00251BDA"/>
    <w:rsid w:val="00252A75"/>
    <w:rsid w:val="00252FC8"/>
    <w:rsid w:val="0025315D"/>
    <w:rsid w:val="002532A0"/>
    <w:rsid w:val="002534B7"/>
    <w:rsid w:val="00253B50"/>
    <w:rsid w:val="00253E3F"/>
    <w:rsid w:val="002544F2"/>
    <w:rsid w:val="00254E99"/>
    <w:rsid w:val="0025580F"/>
    <w:rsid w:val="00255891"/>
    <w:rsid w:val="00255EAE"/>
    <w:rsid w:val="002562BB"/>
    <w:rsid w:val="002564D9"/>
    <w:rsid w:val="00256668"/>
    <w:rsid w:val="00257200"/>
    <w:rsid w:val="002572E9"/>
    <w:rsid w:val="00257C3C"/>
    <w:rsid w:val="00257C64"/>
    <w:rsid w:val="00257CA0"/>
    <w:rsid w:val="00257CD0"/>
    <w:rsid w:val="00257D86"/>
    <w:rsid w:val="00257E09"/>
    <w:rsid w:val="002607CA"/>
    <w:rsid w:val="00260810"/>
    <w:rsid w:val="00260BDA"/>
    <w:rsid w:val="0026123E"/>
    <w:rsid w:val="002618DB"/>
    <w:rsid w:val="00261B97"/>
    <w:rsid w:val="0026206C"/>
    <w:rsid w:val="002620CB"/>
    <w:rsid w:val="0026255A"/>
    <w:rsid w:val="00262676"/>
    <w:rsid w:val="00262A27"/>
    <w:rsid w:val="00262AE0"/>
    <w:rsid w:val="002634E6"/>
    <w:rsid w:val="0026461C"/>
    <w:rsid w:val="00264713"/>
    <w:rsid w:val="002664C5"/>
    <w:rsid w:val="00266F43"/>
    <w:rsid w:val="00267A17"/>
    <w:rsid w:val="00267F31"/>
    <w:rsid w:val="00270031"/>
    <w:rsid w:val="00270B41"/>
    <w:rsid w:val="00270E66"/>
    <w:rsid w:val="002718FD"/>
    <w:rsid w:val="00272089"/>
    <w:rsid w:val="0027305A"/>
    <w:rsid w:val="00273611"/>
    <w:rsid w:val="0027411D"/>
    <w:rsid w:val="00275A57"/>
    <w:rsid w:val="00275AAB"/>
    <w:rsid w:val="00275CF5"/>
    <w:rsid w:val="002762F9"/>
    <w:rsid w:val="00276E9C"/>
    <w:rsid w:val="00280545"/>
    <w:rsid w:val="00280A58"/>
    <w:rsid w:val="00280DA7"/>
    <w:rsid w:val="00281071"/>
    <w:rsid w:val="00281BED"/>
    <w:rsid w:val="00281C46"/>
    <w:rsid w:val="00281EF7"/>
    <w:rsid w:val="002822A5"/>
    <w:rsid w:val="0028301F"/>
    <w:rsid w:val="00283540"/>
    <w:rsid w:val="00283D43"/>
    <w:rsid w:val="00284212"/>
    <w:rsid w:val="00285017"/>
    <w:rsid w:val="00285C35"/>
    <w:rsid w:val="0028635A"/>
    <w:rsid w:val="0028670A"/>
    <w:rsid w:val="00286C02"/>
    <w:rsid w:val="002873F8"/>
    <w:rsid w:val="0028750F"/>
    <w:rsid w:val="002877C3"/>
    <w:rsid w:val="0028793B"/>
    <w:rsid w:val="00290852"/>
    <w:rsid w:val="002909D3"/>
    <w:rsid w:val="00291284"/>
    <w:rsid w:val="0029182E"/>
    <w:rsid w:val="0029268F"/>
    <w:rsid w:val="00292764"/>
    <w:rsid w:val="00292D50"/>
    <w:rsid w:val="00293278"/>
    <w:rsid w:val="00293D0F"/>
    <w:rsid w:val="00294134"/>
    <w:rsid w:val="002942C9"/>
    <w:rsid w:val="00294466"/>
    <w:rsid w:val="00294980"/>
    <w:rsid w:val="00294E71"/>
    <w:rsid w:val="0029525E"/>
    <w:rsid w:val="0029533F"/>
    <w:rsid w:val="0029546D"/>
    <w:rsid w:val="00296141"/>
    <w:rsid w:val="00296366"/>
    <w:rsid w:val="002976D5"/>
    <w:rsid w:val="00297B59"/>
    <w:rsid w:val="00297DF7"/>
    <w:rsid w:val="00297EAF"/>
    <w:rsid w:val="002A0373"/>
    <w:rsid w:val="002A0D3D"/>
    <w:rsid w:val="002A1959"/>
    <w:rsid w:val="002A2160"/>
    <w:rsid w:val="002A2B41"/>
    <w:rsid w:val="002A2D2E"/>
    <w:rsid w:val="002A34EC"/>
    <w:rsid w:val="002A36B7"/>
    <w:rsid w:val="002A3D69"/>
    <w:rsid w:val="002A3E8E"/>
    <w:rsid w:val="002A4431"/>
    <w:rsid w:val="002A4CCB"/>
    <w:rsid w:val="002A610D"/>
    <w:rsid w:val="002A63EB"/>
    <w:rsid w:val="002A657B"/>
    <w:rsid w:val="002A65E8"/>
    <w:rsid w:val="002A6E79"/>
    <w:rsid w:val="002A74F8"/>
    <w:rsid w:val="002A79A0"/>
    <w:rsid w:val="002A7F26"/>
    <w:rsid w:val="002B00D6"/>
    <w:rsid w:val="002B0723"/>
    <w:rsid w:val="002B0ACE"/>
    <w:rsid w:val="002B1EEB"/>
    <w:rsid w:val="002B28D8"/>
    <w:rsid w:val="002B300D"/>
    <w:rsid w:val="002B30E0"/>
    <w:rsid w:val="002B3365"/>
    <w:rsid w:val="002B3D38"/>
    <w:rsid w:val="002B3F13"/>
    <w:rsid w:val="002B4262"/>
    <w:rsid w:val="002B455D"/>
    <w:rsid w:val="002B46BB"/>
    <w:rsid w:val="002B5583"/>
    <w:rsid w:val="002B5A51"/>
    <w:rsid w:val="002B5AC6"/>
    <w:rsid w:val="002B74D5"/>
    <w:rsid w:val="002B7EBB"/>
    <w:rsid w:val="002C0024"/>
    <w:rsid w:val="002C00E8"/>
    <w:rsid w:val="002C06E0"/>
    <w:rsid w:val="002C198A"/>
    <w:rsid w:val="002C2564"/>
    <w:rsid w:val="002C3418"/>
    <w:rsid w:val="002C3A7E"/>
    <w:rsid w:val="002C46DA"/>
    <w:rsid w:val="002C5302"/>
    <w:rsid w:val="002C554F"/>
    <w:rsid w:val="002C57F7"/>
    <w:rsid w:val="002C70CA"/>
    <w:rsid w:val="002C72EB"/>
    <w:rsid w:val="002C7475"/>
    <w:rsid w:val="002C75A6"/>
    <w:rsid w:val="002C77E2"/>
    <w:rsid w:val="002C7A88"/>
    <w:rsid w:val="002D004B"/>
    <w:rsid w:val="002D06E0"/>
    <w:rsid w:val="002D0D1B"/>
    <w:rsid w:val="002D20F6"/>
    <w:rsid w:val="002D2737"/>
    <w:rsid w:val="002D27EB"/>
    <w:rsid w:val="002D317F"/>
    <w:rsid w:val="002D3D68"/>
    <w:rsid w:val="002D40CE"/>
    <w:rsid w:val="002D4124"/>
    <w:rsid w:val="002D438E"/>
    <w:rsid w:val="002D4842"/>
    <w:rsid w:val="002D4CB5"/>
    <w:rsid w:val="002D561A"/>
    <w:rsid w:val="002D5773"/>
    <w:rsid w:val="002D57F3"/>
    <w:rsid w:val="002D63C5"/>
    <w:rsid w:val="002D6550"/>
    <w:rsid w:val="002D6A74"/>
    <w:rsid w:val="002D6A8F"/>
    <w:rsid w:val="002D724C"/>
    <w:rsid w:val="002D73CF"/>
    <w:rsid w:val="002D73DB"/>
    <w:rsid w:val="002D7A0F"/>
    <w:rsid w:val="002D7A66"/>
    <w:rsid w:val="002D7B7D"/>
    <w:rsid w:val="002D7C89"/>
    <w:rsid w:val="002E0589"/>
    <w:rsid w:val="002E080A"/>
    <w:rsid w:val="002E09FB"/>
    <w:rsid w:val="002E10AC"/>
    <w:rsid w:val="002E10BE"/>
    <w:rsid w:val="002E1470"/>
    <w:rsid w:val="002E1A4E"/>
    <w:rsid w:val="002E1A6C"/>
    <w:rsid w:val="002E1D43"/>
    <w:rsid w:val="002E3E41"/>
    <w:rsid w:val="002E403C"/>
    <w:rsid w:val="002E434C"/>
    <w:rsid w:val="002E4941"/>
    <w:rsid w:val="002E4A42"/>
    <w:rsid w:val="002E4E5C"/>
    <w:rsid w:val="002E512C"/>
    <w:rsid w:val="002E5485"/>
    <w:rsid w:val="002E555B"/>
    <w:rsid w:val="002E5886"/>
    <w:rsid w:val="002E62BC"/>
    <w:rsid w:val="002E664E"/>
    <w:rsid w:val="002E6684"/>
    <w:rsid w:val="002E6E31"/>
    <w:rsid w:val="002E6FD5"/>
    <w:rsid w:val="002E7009"/>
    <w:rsid w:val="002E7908"/>
    <w:rsid w:val="002E7AE9"/>
    <w:rsid w:val="002E7F31"/>
    <w:rsid w:val="002F08A3"/>
    <w:rsid w:val="002F0FC3"/>
    <w:rsid w:val="002F10D4"/>
    <w:rsid w:val="002F1E8C"/>
    <w:rsid w:val="002F20CF"/>
    <w:rsid w:val="002F2150"/>
    <w:rsid w:val="002F24B0"/>
    <w:rsid w:val="002F2809"/>
    <w:rsid w:val="002F2D67"/>
    <w:rsid w:val="002F3534"/>
    <w:rsid w:val="002F45D3"/>
    <w:rsid w:val="002F474B"/>
    <w:rsid w:val="002F5202"/>
    <w:rsid w:val="002F60BD"/>
    <w:rsid w:val="002F64B5"/>
    <w:rsid w:val="002F6608"/>
    <w:rsid w:val="002F6B6B"/>
    <w:rsid w:val="002F767D"/>
    <w:rsid w:val="002F7A08"/>
    <w:rsid w:val="002F7E2E"/>
    <w:rsid w:val="002F7EB4"/>
    <w:rsid w:val="00300165"/>
    <w:rsid w:val="00300413"/>
    <w:rsid w:val="0030042D"/>
    <w:rsid w:val="00300489"/>
    <w:rsid w:val="00300CA1"/>
    <w:rsid w:val="00300DC3"/>
    <w:rsid w:val="00301025"/>
    <w:rsid w:val="003020B5"/>
    <w:rsid w:val="00302349"/>
    <w:rsid w:val="00302A99"/>
    <w:rsid w:val="0030332E"/>
    <w:rsid w:val="00303B34"/>
    <w:rsid w:val="003044AE"/>
    <w:rsid w:val="003053E2"/>
    <w:rsid w:val="0030588B"/>
    <w:rsid w:val="00305C9C"/>
    <w:rsid w:val="00305E9E"/>
    <w:rsid w:val="0030606B"/>
    <w:rsid w:val="0030655D"/>
    <w:rsid w:val="00306B98"/>
    <w:rsid w:val="00306C90"/>
    <w:rsid w:val="00306F85"/>
    <w:rsid w:val="00307383"/>
    <w:rsid w:val="00310C10"/>
    <w:rsid w:val="00310E0E"/>
    <w:rsid w:val="00311061"/>
    <w:rsid w:val="00311270"/>
    <w:rsid w:val="00311A32"/>
    <w:rsid w:val="00311AEF"/>
    <w:rsid w:val="00311C10"/>
    <w:rsid w:val="003124C9"/>
    <w:rsid w:val="003128A1"/>
    <w:rsid w:val="00312BE9"/>
    <w:rsid w:val="0031324D"/>
    <w:rsid w:val="003133B2"/>
    <w:rsid w:val="00313453"/>
    <w:rsid w:val="0031357D"/>
    <w:rsid w:val="00314774"/>
    <w:rsid w:val="0031528B"/>
    <w:rsid w:val="00315B1C"/>
    <w:rsid w:val="00315DFE"/>
    <w:rsid w:val="00315FAA"/>
    <w:rsid w:val="00316B7E"/>
    <w:rsid w:val="003171BC"/>
    <w:rsid w:val="0031796F"/>
    <w:rsid w:val="00320F1A"/>
    <w:rsid w:val="003210E5"/>
    <w:rsid w:val="00321F0A"/>
    <w:rsid w:val="00322572"/>
    <w:rsid w:val="00322FD6"/>
    <w:rsid w:val="003231A3"/>
    <w:rsid w:val="0032335F"/>
    <w:rsid w:val="0032421F"/>
    <w:rsid w:val="003245FD"/>
    <w:rsid w:val="00324846"/>
    <w:rsid w:val="003251A5"/>
    <w:rsid w:val="0032543B"/>
    <w:rsid w:val="00325E36"/>
    <w:rsid w:val="00325EBB"/>
    <w:rsid w:val="00326354"/>
    <w:rsid w:val="0032651D"/>
    <w:rsid w:val="003271B9"/>
    <w:rsid w:val="00327254"/>
    <w:rsid w:val="003273C0"/>
    <w:rsid w:val="00330266"/>
    <w:rsid w:val="0033087B"/>
    <w:rsid w:val="00330AFD"/>
    <w:rsid w:val="00331064"/>
    <w:rsid w:val="003316EB"/>
    <w:rsid w:val="00331DA2"/>
    <w:rsid w:val="00332656"/>
    <w:rsid w:val="00332A5A"/>
    <w:rsid w:val="00333444"/>
    <w:rsid w:val="003335DB"/>
    <w:rsid w:val="00333853"/>
    <w:rsid w:val="00333B71"/>
    <w:rsid w:val="00333FDC"/>
    <w:rsid w:val="003344B2"/>
    <w:rsid w:val="00334D38"/>
    <w:rsid w:val="00334EB9"/>
    <w:rsid w:val="00335CFF"/>
    <w:rsid w:val="003367F7"/>
    <w:rsid w:val="003369BE"/>
    <w:rsid w:val="00337155"/>
    <w:rsid w:val="0033728B"/>
    <w:rsid w:val="00337F14"/>
    <w:rsid w:val="003405AB"/>
    <w:rsid w:val="00340A09"/>
    <w:rsid w:val="00340FA7"/>
    <w:rsid w:val="00342257"/>
    <w:rsid w:val="003422E3"/>
    <w:rsid w:val="0034242C"/>
    <w:rsid w:val="00342836"/>
    <w:rsid w:val="0034302C"/>
    <w:rsid w:val="0034359E"/>
    <w:rsid w:val="00343749"/>
    <w:rsid w:val="00344E6F"/>
    <w:rsid w:val="003450C0"/>
    <w:rsid w:val="00345BC2"/>
    <w:rsid w:val="00345CA8"/>
    <w:rsid w:val="00345D40"/>
    <w:rsid w:val="00345F6D"/>
    <w:rsid w:val="003464E4"/>
    <w:rsid w:val="00346BF3"/>
    <w:rsid w:val="00346F04"/>
    <w:rsid w:val="00347035"/>
    <w:rsid w:val="0034709B"/>
    <w:rsid w:val="0034732F"/>
    <w:rsid w:val="00347499"/>
    <w:rsid w:val="00347623"/>
    <w:rsid w:val="003476C8"/>
    <w:rsid w:val="00347F19"/>
    <w:rsid w:val="00350001"/>
    <w:rsid w:val="003501E5"/>
    <w:rsid w:val="0035054F"/>
    <w:rsid w:val="003505AA"/>
    <w:rsid w:val="003513FB"/>
    <w:rsid w:val="00353F22"/>
    <w:rsid w:val="0035496D"/>
    <w:rsid w:val="003549EF"/>
    <w:rsid w:val="0035569C"/>
    <w:rsid w:val="00356496"/>
    <w:rsid w:val="003566CA"/>
    <w:rsid w:val="003566F8"/>
    <w:rsid w:val="00356E55"/>
    <w:rsid w:val="00357960"/>
    <w:rsid w:val="0036143B"/>
    <w:rsid w:val="00361F7A"/>
    <w:rsid w:val="00362566"/>
    <w:rsid w:val="00362941"/>
    <w:rsid w:val="00363069"/>
    <w:rsid w:val="0036351E"/>
    <w:rsid w:val="003638F3"/>
    <w:rsid w:val="003645D9"/>
    <w:rsid w:val="00364E71"/>
    <w:rsid w:val="00365189"/>
    <w:rsid w:val="00365457"/>
    <w:rsid w:val="0036589E"/>
    <w:rsid w:val="00365E89"/>
    <w:rsid w:val="00365E8B"/>
    <w:rsid w:val="003660ED"/>
    <w:rsid w:val="00366294"/>
    <w:rsid w:val="003664E5"/>
    <w:rsid w:val="003669CD"/>
    <w:rsid w:val="00366E1A"/>
    <w:rsid w:val="00367846"/>
    <w:rsid w:val="00367E93"/>
    <w:rsid w:val="0037040D"/>
    <w:rsid w:val="0037046A"/>
    <w:rsid w:val="0037063C"/>
    <w:rsid w:val="003709C5"/>
    <w:rsid w:val="00370C66"/>
    <w:rsid w:val="00370CC5"/>
    <w:rsid w:val="00370D63"/>
    <w:rsid w:val="00370F3D"/>
    <w:rsid w:val="00371B5D"/>
    <w:rsid w:val="003724C7"/>
    <w:rsid w:val="003725AF"/>
    <w:rsid w:val="00372A7A"/>
    <w:rsid w:val="00372C49"/>
    <w:rsid w:val="00372CE8"/>
    <w:rsid w:val="00372DDB"/>
    <w:rsid w:val="00373030"/>
    <w:rsid w:val="003732B6"/>
    <w:rsid w:val="0037350D"/>
    <w:rsid w:val="00373885"/>
    <w:rsid w:val="003738A8"/>
    <w:rsid w:val="0037416E"/>
    <w:rsid w:val="00374739"/>
    <w:rsid w:val="00374B79"/>
    <w:rsid w:val="00374B95"/>
    <w:rsid w:val="0037604D"/>
    <w:rsid w:val="003766B2"/>
    <w:rsid w:val="0037671A"/>
    <w:rsid w:val="00376C96"/>
    <w:rsid w:val="003772C5"/>
    <w:rsid w:val="00377C58"/>
    <w:rsid w:val="00377F27"/>
    <w:rsid w:val="00380108"/>
    <w:rsid w:val="00380316"/>
    <w:rsid w:val="0038031E"/>
    <w:rsid w:val="0038117F"/>
    <w:rsid w:val="003812A2"/>
    <w:rsid w:val="00381D19"/>
    <w:rsid w:val="00382511"/>
    <w:rsid w:val="00382710"/>
    <w:rsid w:val="00383058"/>
    <w:rsid w:val="003834F0"/>
    <w:rsid w:val="00383F78"/>
    <w:rsid w:val="00384A66"/>
    <w:rsid w:val="00384C79"/>
    <w:rsid w:val="003851DF"/>
    <w:rsid w:val="003857C3"/>
    <w:rsid w:val="00386652"/>
    <w:rsid w:val="003873AF"/>
    <w:rsid w:val="003878AF"/>
    <w:rsid w:val="003878E7"/>
    <w:rsid w:val="00390CB0"/>
    <w:rsid w:val="00391201"/>
    <w:rsid w:val="003912FA"/>
    <w:rsid w:val="0039190B"/>
    <w:rsid w:val="00394358"/>
    <w:rsid w:val="00394AFB"/>
    <w:rsid w:val="00394B23"/>
    <w:rsid w:val="00395269"/>
    <w:rsid w:val="003956CD"/>
    <w:rsid w:val="003963E7"/>
    <w:rsid w:val="003965E5"/>
    <w:rsid w:val="003971AE"/>
    <w:rsid w:val="00397F19"/>
    <w:rsid w:val="003A04F3"/>
    <w:rsid w:val="003A17A4"/>
    <w:rsid w:val="003A2586"/>
    <w:rsid w:val="003A35B8"/>
    <w:rsid w:val="003A4950"/>
    <w:rsid w:val="003A49FC"/>
    <w:rsid w:val="003A5078"/>
    <w:rsid w:val="003A51BA"/>
    <w:rsid w:val="003A5FBA"/>
    <w:rsid w:val="003A66A9"/>
    <w:rsid w:val="003A70A5"/>
    <w:rsid w:val="003A7BCF"/>
    <w:rsid w:val="003B0550"/>
    <w:rsid w:val="003B05BB"/>
    <w:rsid w:val="003B0681"/>
    <w:rsid w:val="003B0C35"/>
    <w:rsid w:val="003B0D5F"/>
    <w:rsid w:val="003B1230"/>
    <w:rsid w:val="003B1CD0"/>
    <w:rsid w:val="003B1E78"/>
    <w:rsid w:val="003B2610"/>
    <w:rsid w:val="003B2A3B"/>
    <w:rsid w:val="003B434C"/>
    <w:rsid w:val="003B43CC"/>
    <w:rsid w:val="003B4DB9"/>
    <w:rsid w:val="003B4ED6"/>
    <w:rsid w:val="003B5320"/>
    <w:rsid w:val="003B5B29"/>
    <w:rsid w:val="003B694F"/>
    <w:rsid w:val="003B6F5E"/>
    <w:rsid w:val="003B7671"/>
    <w:rsid w:val="003B7732"/>
    <w:rsid w:val="003B793A"/>
    <w:rsid w:val="003C023C"/>
    <w:rsid w:val="003C03E9"/>
    <w:rsid w:val="003C0E83"/>
    <w:rsid w:val="003C0EA1"/>
    <w:rsid w:val="003C16AF"/>
    <w:rsid w:val="003C18CC"/>
    <w:rsid w:val="003C1D73"/>
    <w:rsid w:val="003C20F5"/>
    <w:rsid w:val="003C248F"/>
    <w:rsid w:val="003C2BE0"/>
    <w:rsid w:val="003C2DB4"/>
    <w:rsid w:val="003C3901"/>
    <w:rsid w:val="003C3D0F"/>
    <w:rsid w:val="003C3D85"/>
    <w:rsid w:val="003C4242"/>
    <w:rsid w:val="003C5A42"/>
    <w:rsid w:val="003C6A74"/>
    <w:rsid w:val="003C6D6B"/>
    <w:rsid w:val="003C7124"/>
    <w:rsid w:val="003C745E"/>
    <w:rsid w:val="003C7C70"/>
    <w:rsid w:val="003D12D1"/>
    <w:rsid w:val="003D144D"/>
    <w:rsid w:val="003D1799"/>
    <w:rsid w:val="003D17AC"/>
    <w:rsid w:val="003D23BC"/>
    <w:rsid w:val="003D2A80"/>
    <w:rsid w:val="003D2DCC"/>
    <w:rsid w:val="003D2F25"/>
    <w:rsid w:val="003D44FF"/>
    <w:rsid w:val="003D463E"/>
    <w:rsid w:val="003D50A7"/>
    <w:rsid w:val="003D52D1"/>
    <w:rsid w:val="003D5488"/>
    <w:rsid w:val="003D5B73"/>
    <w:rsid w:val="003D5E83"/>
    <w:rsid w:val="003D67FC"/>
    <w:rsid w:val="003D792A"/>
    <w:rsid w:val="003D7B5A"/>
    <w:rsid w:val="003D7BE7"/>
    <w:rsid w:val="003E0D70"/>
    <w:rsid w:val="003E1C14"/>
    <w:rsid w:val="003E1D18"/>
    <w:rsid w:val="003E1DAB"/>
    <w:rsid w:val="003E1DD0"/>
    <w:rsid w:val="003E234B"/>
    <w:rsid w:val="003E2688"/>
    <w:rsid w:val="003E339D"/>
    <w:rsid w:val="003E385A"/>
    <w:rsid w:val="003E3BD3"/>
    <w:rsid w:val="003E3CB3"/>
    <w:rsid w:val="003E415F"/>
    <w:rsid w:val="003E43AE"/>
    <w:rsid w:val="003E4B27"/>
    <w:rsid w:val="003E59A7"/>
    <w:rsid w:val="003E6A5C"/>
    <w:rsid w:val="003E6FB0"/>
    <w:rsid w:val="003E72B7"/>
    <w:rsid w:val="003E7C59"/>
    <w:rsid w:val="003E7DD7"/>
    <w:rsid w:val="003E7F6B"/>
    <w:rsid w:val="003F0238"/>
    <w:rsid w:val="003F02A4"/>
    <w:rsid w:val="003F0728"/>
    <w:rsid w:val="003F139B"/>
    <w:rsid w:val="003F171C"/>
    <w:rsid w:val="003F1991"/>
    <w:rsid w:val="003F1AF6"/>
    <w:rsid w:val="003F28A6"/>
    <w:rsid w:val="003F2A27"/>
    <w:rsid w:val="003F3627"/>
    <w:rsid w:val="003F41D7"/>
    <w:rsid w:val="003F4361"/>
    <w:rsid w:val="003F4A95"/>
    <w:rsid w:val="003F4DF6"/>
    <w:rsid w:val="003F57EE"/>
    <w:rsid w:val="003F59F8"/>
    <w:rsid w:val="003F6233"/>
    <w:rsid w:val="003F71F2"/>
    <w:rsid w:val="003F7AC2"/>
    <w:rsid w:val="0040028E"/>
    <w:rsid w:val="00400719"/>
    <w:rsid w:val="00400E69"/>
    <w:rsid w:val="004011A5"/>
    <w:rsid w:val="004011F3"/>
    <w:rsid w:val="00401AD6"/>
    <w:rsid w:val="00401D11"/>
    <w:rsid w:val="004022CB"/>
    <w:rsid w:val="0040237A"/>
    <w:rsid w:val="0040251B"/>
    <w:rsid w:val="00402BE4"/>
    <w:rsid w:val="00402C61"/>
    <w:rsid w:val="0040353A"/>
    <w:rsid w:val="0040361D"/>
    <w:rsid w:val="00403A5E"/>
    <w:rsid w:val="004046C5"/>
    <w:rsid w:val="00404D81"/>
    <w:rsid w:val="00406120"/>
    <w:rsid w:val="004064D6"/>
    <w:rsid w:val="00406573"/>
    <w:rsid w:val="00406E51"/>
    <w:rsid w:val="00406EBE"/>
    <w:rsid w:val="00407A65"/>
    <w:rsid w:val="00410138"/>
    <w:rsid w:val="004109DB"/>
    <w:rsid w:val="00410DB7"/>
    <w:rsid w:val="00412403"/>
    <w:rsid w:val="00412FC5"/>
    <w:rsid w:val="004136D2"/>
    <w:rsid w:val="00413A46"/>
    <w:rsid w:val="00413BFD"/>
    <w:rsid w:val="00413D1E"/>
    <w:rsid w:val="00414879"/>
    <w:rsid w:val="00414E06"/>
    <w:rsid w:val="00414F30"/>
    <w:rsid w:val="004150C7"/>
    <w:rsid w:val="0041553A"/>
    <w:rsid w:val="00415B07"/>
    <w:rsid w:val="00416D98"/>
    <w:rsid w:val="00417D71"/>
    <w:rsid w:val="00420183"/>
    <w:rsid w:val="004208FD"/>
    <w:rsid w:val="0042090F"/>
    <w:rsid w:val="0042217E"/>
    <w:rsid w:val="00422276"/>
    <w:rsid w:val="0042295C"/>
    <w:rsid w:val="00423358"/>
    <w:rsid w:val="00423718"/>
    <w:rsid w:val="00423A3F"/>
    <w:rsid w:val="00423AEA"/>
    <w:rsid w:val="00423CBE"/>
    <w:rsid w:val="00423CE2"/>
    <w:rsid w:val="00424056"/>
    <w:rsid w:val="004242F1"/>
    <w:rsid w:val="00424353"/>
    <w:rsid w:val="00424A26"/>
    <w:rsid w:val="00424A3D"/>
    <w:rsid w:val="004252B3"/>
    <w:rsid w:val="00425E59"/>
    <w:rsid w:val="00426896"/>
    <w:rsid w:val="00427241"/>
    <w:rsid w:val="00427266"/>
    <w:rsid w:val="00427557"/>
    <w:rsid w:val="00427A9C"/>
    <w:rsid w:val="0043005A"/>
    <w:rsid w:val="0043006A"/>
    <w:rsid w:val="004301E6"/>
    <w:rsid w:val="00430258"/>
    <w:rsid w:val="00430ECD"/>
    <w:rsid w:val="00431ACB"/>
    <w:rsid w:val="00431DCF"/>
    <w:rsid w:val="00431F80"/>
    <w:rsid w:val="00432055"/>
    <w:rsid w:val="00432077"/>
    <w:rsid w:val="0043217F"/>
    <w:rsid w:val="0043254B"/>
    <w:rsid w:val="0043326B"/>
    <w:rsid w:val="004339DA"/>
    <w:rsid w:val="00433E8B"/>
    <w:rsid w:val="00434843"/>
    <w:rsid w:val="00435362"/>
    <w:rsid w:val="0043537D"/>
    <w:rsid w:val="0043556D"/>
    <w:rsid w:val="00435D86"/>
    <w:rsid w:val="00435DAD"/>
    <w:rsid w:val="00436B6E"/>
    <w:rsid w:val="0043704D"/>
    <w:rsid w:val="00437F11"/>
    <w:rsid w:val="0044040C"/>
    <w:rsid w:val="00441F4F"/>
    <w:rsid w:val="00443F60"/>
    <w:rsid w:val="0044458D"/>
    <w:rsid w:val="00444787"/>
    <w:rsid w:val="004449F3"/>
    <w:rsid w:val="004455B0"/>
    <w:rsid w:val="004458A8"/>
    <w:rsid w:val="00445A00"/>
    <w:rsid w:val="00445B38"/>
    <w:rsid w:val="004462BF"/>
    <w:rsid w:val="0044697A"/>
    <w:rsid w:val="00446EB6"/>
    <w:rsid w:val="0044762D"/>
    <w:rsid w:val="00447803"/>
    <w:rsid w:val="00447A69"/>
    <w:rsid w:val="00447ED4"/>
    <w:rsid w:val="00447F41"/>
    <w:rsid w:val="00450024"/>
    <w:rsid w:val="00451760"/>
    <w:rsid w:val="004519DB"/>
    <w:rsid w:val="00451B0F"/>
    <w:rsid w:val="00452C87"/>
    <w:rsid w:val="0045308C"/>
    <w:rsid w:val="0045342B"/>
    <w:rsid w:val="00453889"/>
    <w:rsid w:val="00454369"/>
    <w:rsid w:val="00454779"/>
    <w:rsid w:val="00454DE7"/>
    <w:rsid w:val="00456299"/>
    <w:rsid w:val="00456747"/>
    <w:rsid w:val="004577DE"/>
    <w:rsid w:val="0045789E"/>
    <w:rsid w:val="00457DD8"/>
    <w:rsid w:val="00460017"/>
    <w:rsid w:val="004605FC"/>
    <w:rsid w:val="004614FA"/>
    <w:rsid w:val="00461D07"/>
    <w:rsid w:val="00461EAB"/>
    <w:rsid w:val="00461EE7"/>
    <w:rsid w:val="00461FBA"/>
    <w:rsid w:val="00462B54"/>
    <w:rsid w:val="00462DC8"/>
    <w:rsid w:val="00463202"/>
    <w:rsid w:val="00463893"/>
    <w:rsid w:val="004641F4"/>
    <w:rsid w:val="0046439E"/>
    <w:rsid w:val="00464AED"/>
    <w:rsid w:val="00464DBD"/>
    <w:rsid w:val="00464DC8"/>
    <w:rsid w:val="0046567F"/>
    <w:rsid w:val="00465D05"/>
    <w:rsid w:val="00466864"/>
    <w:rsid w:val="00467058"/>
    <w:rsid w:val="00467388"/>
    <w:rsid w:val="00467509"/>
    <w:rsid w:val="00467773"/>
    <w:rsid w:val="00467835"/>
    <w:rsid w:val="0046787F"/>
    <w:rsid w:val="00467B85"/>
    <w:rsid w:val="00470AE9"/>
    <w:rsid w:val="004710E9"/>
    <w:rsid w:val="0047118E"/>
    <w:rsid w:val="00471D8F"/>
    <w:rsid w:val="00472292"/>
    <w:rsid w:val="00472752"/>
    <w:rsid w:val="004737CB"/>
    <w:rsid w:val="00473D29"/>
    <w:rsid w:val="004746C3"/>
    <w:rsid w:val="00474765"/>
    <w:rsid w:val="00474882"/>
    <w:rsid w:val="00474BB9"/>
    <w:rsid w:val="00475020"/>
    <w:rsid w:val="00475233"/>
    <w:rsid w:val="00475270"/>
    <w:rsid w:val="00475BB3"/>
    <w:rsid w:val="00476CC0"/>
    <w:rsid w:val="00476E85"/>
    <w:rsid w:val="00477911"/>
    <w:rsid w:val="00477D7F"/>
    <w:rsid w:val="00480210"/>
    <w:rsid w:val="00480C98"/>
    <w:rsid w:val="0048128D"/>
    <w:rsid w:val="00481AF2"/>
    <w:rsid w:val="004823CD"/>
    <w:rsid w:val="00482D40"/>
    <w:rsid w:val="00483B7E"/>
    <w:rsid w:val="00483DBB"/>
    <w:rsid w:val="00483E6D"/>
    <w:rsid w:val="00484228"/>
    <w:rsid w:val="00484440"/>
    <w:rsid w:val="004846D5"/>
    <w:rsid w:val="00484E29"/>
    <w:rsid w:val="00484F17"/>
    <w:rsid w:val="004854FE"/>
    <w:rsid w:val="00485514"/>
    <w:rsid w:val="00485BDD"/>
    <w:rsid w:val="00485DCA"/>
    <w:rsid w:val="0048610B"/>
    <w:rsid w:val="00486B41"/>
    <w:rsid w:val="00487600"/>
    <w:rsid w:val="00487ADF"/>
    <w:rsid w:val="00491654"/>
    <w:rsid w:val="00491BA8"/>
    <w:rsid w:val="00492056"/>
    <w:rsid w:val="00492080"/>
    <w:rsid w:val="0049339A"/>
    <w:rsid w:val="004934B3"/>
    <w:rsid w:val="00493D49"/>
    <w:rsid w:val="00493E7D"/>
    <w:rsid w:val="0049416E"/>
    <w:rsid w:val="00494215"/>
    <w:rsid w:val="0049464F"/>
    <w:rsid w:val="0049504D"/>
    <w:rsid w:val="004950AB"/>
    <w:rsid w:val="004952D8"/>
    <w:rsid w:val="004954DA"/>
    <w:rsid w:val="00495B12"/>
    <w:rsid w:val="00496313"/>
    <w:rsid w:val="00496F69"/>
    <w:rsid w:val="004974DD"/>
    <w:rsid w:val="00497646"/>
    <w:rsid w:val="00497648"/>
    <w:rsid w:val="004976C1"/>
    <w:rsid w:val="00497725"/>
    <w:rsid w:val="00497843"/>
    <w:rsid w:val="00497D21"/>
    <w:rsid w:val="004A013F"/>
    <w:rsid w:val="004A0FF3"/>
    <w:rsid w:val="004A10FB"/>
    <w:rsid w:val="004A14CE"/>
    <w:rsid w:val="004A262E"/>
    <w:rsid w:val="004A2A36"/>
    <w:rsid w:val="004A2D3E"/>
    <w:rsid w:val="004A35CA"/>
    <w:rsid w:val="004A3FE9"/>
    <w:rsid w:val="004A4379"/>
    <w:rsid w:val="004A4684"/>
    <w:rsid w:val="004A49EA"/>
    <w:rsid w:val="004A4A21"/>
    <w:rsid w:val="004A4B38"/>
    <w:rsid w:val="004A51D0"/>
    <w:rsid w:val="004A5284"/>
    <w:rsid w:val="004A5BCB"/>
    <w:rsid w:val="004A5F8F"/>
    <w:rsid w:val="004A68E3"/>
    <w:rsid w:val="004A7ABF"/>
    <w:rsid w:val="004B0827"/>
    <w:rsid w:val="004B1312"/>
    <w:rsid w:val="004B1B54"/>
    <w:rsid w:val="004B239E"/>
    <w:rsid w:val="004B28C3"/>
    <w:rsid w:val="004B28DC"/>
    <w:rsid w:val="004B2D1B"/>
    <w:rsid w:val="004B2F0C"/>
    <w:rsid w:val="004B3258"/>
    <w:rsid w:val="004B37EB"/>
    <w:rsid w:val="004B3C18"/>
    <w:rsid w:val="004B4470"/>
    <w:rsid w:val="004B4733"/>
    <w:rsid w:val="004B5C1A"/>
    <w:rsid w:val="004B6709"/>
    <w:rsid w:val="004B67B3"/>
    <w:rsid w:val="004B6FA2"/>
    <w:rsid w:val="004B751F"/>
    <w:rsid w:val="004B78FC"/>
    <w:rsid w:val="004C039D"/>
    <w:rsid w:val="004C059E"/>
    <w:rsid w:val="004C06E8"/>
    <w:rsid w:val="004C0713"/>
    <w:rsid w:val="004C0D6B"/>
    <w:rsid w:val="004C0F3F"/>
    <w:rsid w:val="004C104C"/>
    <w:rsid w:val="004C1AB5"/>
    <w:rsid w:val="004C240B"/>
    <w:rsid w:val="004C2EE3"/>
    <w:rsid w:val="004C3035"/>
    <w:rsid w:val="004C323B"/>
    <w:rsid w:val="004C34D9"/>
    <w:rsid w:val="004C359A"/>
    <w:rsid w:val="004C3686"/>
    <w:rsid w:val="004C3AF3"/>
    <w:rsid w:val="004C3D37"/>
    <w:rsid w:val="004C4C6A"/>
    <w:rsid w:val="004C5204"/>
    <w:rsid w:val="004C5281"/>
    <w:rsid w:val="004C55CE"/>
    <w:rsid w:val="004C560A"/>
    <w:rsid w:val="004C5A6A"/>
    <w:rsid w:val="004C5B65"/>
    <w:rsid w:val="004C6875"/>
    <w:rsid w:val="004C695C"/>
    <w:rsid w:val="004C6B74"/>
    <w:rsid w:val="004C6E5F"/>
    <w:rsid w:val="004C7ECA"/>
    <w:rsid w:val="004D01A4"/>
    <w:rsid w:val="004D0248"/>
    <w:rsid w:val="004D0C49"/>
    <w:rsid w:val="004D230D"/>
    <w:rsid w:val="004D23F9"/>
    <w:rsid w:val="004D2574"/>
    <w:rsid w:val="004D2721"/>
    <w:rsid w:val="004D2F84"/>
    <w:rsid w:val="004D347A"/>
    <w:rsid w:val="004D387E"/>
    <w:rsid w:val="004D38C4"/>
    <w:rsid w:val="004D3980"/>
    <w:rsid w:val="004D3A1B"/>
    <w:rsid w:val="004D4707"/>
    <w:rsid w:val="004D4CCA"/>
    <w:rsid w:val="004D4E96"/>
    <w:rsid w:val="004D53CF"/>
    <w:rsid w:val="004D5F61"/>
    <w:rsid w:val="004D61E8"/>
    <w:rsid w:val="004D6CAC"/>
    <w:rsid w:val="004D7068"/>
    <w:rsid w:val="004D7444"/>
    <w:rsid w:val="004E0B3E"/>
    <w:rsid w:val="004E0E1F"/>
    <w:rsid w:val="004E13A5"/>
    <w:rsid w:val="004E23BC"/>
    <w:rsid w:val="004E2DF5"/>
    <w:rsid w:val="004E3EB8"/>
    <w:rsid w:val="004E42E4"/>
    <w:rsid w:val="004E460C"/>
    <w:rsid w:val="004E47FB"/>
    <w:rsid w:val="004E4A22"/>
    <w:rsid w:val="004E5337"/>
    <w:rsid w:val="004E5505"/>
    <w:rsid w:val="004E5E3B"/>
    <w:rsid w:val="004E5E98"/>
    <w:rsid w:val="004E64CC"/>
    <w:rsid w:val="004E6B21"/>
    <w:rsid w:val="004E6DC0"/>
    <w:rsid w:val="004E7367"/>
    <w:rsid w:val="004E77ED"/>
    <w:rsid w:val="004E7D7F"/>
    <w:rsid w:val="004E7D88"/>
    <w:rsid w:val="004F002A"/>
    <w:rsid w:val="004F0908"/>
    <w:rsid w:val="004F0D0A"/>
    <w:rsid w:val="004F105D"/>
    <w:rsid w:val="004F14C5"/>
    <w:rsid w:val="004F1B7D"/>
    <w:rsid w:val="004F2936"/>
    <w:rsid w:val="004F2C85"/>
    <w:rsid w:val="004F2DBE"/>
    <w:rsid w:val="004F2DCD"/>
    <w:rsid w:val="004F2F93"/>
    <w:rsid w:val="004F3236"/>
    <w:rsid w:val="004F371F"/>
    <w:rsid w:val="004F372E"/>
    <w:rsid w:val="004F4FE9"/>
    <w:rsid w:val="004F561A"/>
    <w:rsid w:val="004F56BF"/>
    <w:rsid w:val="004F5B06"/>
    <w:rsid w:val="004F5FE8"/>
    <w:rsid w:val="004F69CA"/>
    <w:rsid w:val="004F6D2D"/>
    <w:rsid w:val="004F75D2"/>
    <w:rsid w:val="004F7B8C"/>
    <w:rsid w:val="004F7D4D"/>
    <w:rsid w:val="00501191"/>
    <w:rsid w:val="00501D50"/>
    <w:rsid w:val="00502065"/>
    <w:rsid w:val="0050245F"/>
    <w:rsid w:val="005026BB"/>
    <w:rsid w:val="005030E1"/>
    <w:rsid w:val="00503300"/>
    <w:rsid w:val="00503BAE"/>
    <w:rsid w:val="00503D23"/>
    <w:rsid w:val="005042C3"/>
    <w:rsid w:val="00504DD5"/>
    <w:rsid w:val="00504E9E"/>
    <w:rsid w:val="005050C4"/>
    <w:rsid w:val="0050545C"/>
    <w:rsid w:val="005054D9"/>
    <w:rsid w:val="005059BE"/>
    <w:rsid w:val="00505D37"/>
    <w:rsid w:val="00506480"/>
    <w:rsid w:val="00507942"/>
    <w:rsid w:val="0050794F"/>
    <w:rsid w:val="00510191"/>
    <w:rsid w:val="0051079B"/>
    <w:rsid w:val="005109B2"/>
    <w:rsid w:val="005109DA"/>
    <w:rsid w:val="0051150E"/>
    <w:rsid w:val="00511968"/>
    <w:rsid w:val="00511E23"/>
    <w:rsid w:val="005122D4"/>
    <w:rsid w:val="005123DF"/>
    <w:rsid w:val="00512690"/>
    <w:rsid w:val="005130BB"/>
    <w:rsid w:val="005134ED"/>
    <w:rsid w:val="005136FF"/>
    <w:rsid w:val="005139F9"/>
    <w:rsid w:val="00513A3D"/>
    <w:rsid w:val="005140E0"/>
    <w:rsid w:val="0051421D"/>
    <w:rsid w:val="00514376"/>
    <w:rsid w:val="0051439E"/>
    <w:rsid w:val="005153D8"/>
    <w:rsid w:val="00515C6C"/>
    <w:rsid w:val="00515F0F"/>
    <w:rsid w:val="00516121"/>
    <w:rsid w:val="005161F7"/>
    <w:rsid w:val="005162D2"/>
    <w:rsid w:val="005166DD"/>
    <w:rsid w:val="0051686D"/>
    <w:rsid w:val="005179E7"/>
    <w:rsid w:val="00520116"/>
    <w:rsid w:val="00520131"/>
    <w:rsid w:val="0052035D"/>
    <w:rsid w:val="00520546"/>
    <w:rsid w:val="0052073F"/>
    <w:rsid w:val="0052121D"/>
    <w:rsid w:val="00521275"/>
    <w:rsid w:val="005217C7"/>
    <w:rsid w:val="00521A4E"/>
    <w:rsid w:val="00521CBE"/>
    <w:rsid w:val="00521FDF"/>
    <w:rsid w:val="005220CB"/>
    <w:rsid w:val="00522305"/>
    <w:rsid w:val="00522480"/>
    <w:rsid w:val="005227E8"/>
    <w:rsid w:val="00522A42"/>
    <w:rsid w:val="00522BCC"/>
    <w:rsid w:val="005233C3"/>
    <w:rsid w:val="0052357B"/>
    <w:rsid w:val="005239D3"/>
    <w:rsid w:val="005252E0"/>
    <w:rsid w:val="00525D97"/>
    <w:rsid w:val="00525DBC"/>
    <w:rsid w:val="0052656B"/>
    <w:rsid w:val="005269B4"/>
    <w:rsid w:val="00526C1E"/>
    <w:rsid w:val="00527038"/>
    <w:rsid w:val="00527934"/>
    <w:rsid w:val="0052794F"/>
    <w:rsid w:val="00527E9A"/>
    <w:rsid w:val="005300B3"/>
    <w:rsid w:val="005304A5"/>
    <w:rsid w:val="00530654"/>
    <w:rsid w:val="00530AF4"/>
    <w:rsid w:val="005316ED"/>
    <w:rsid w:val="005317BB"/>
    <w:rsid w:val="0053182A"/>
    <w:rsid w:val="005320DF"/>
    <w:rsid w:val="00532877"/>
    <w:rsid w:val="00533510"/>
    <w:rsid w:val="00533C78"/>
    <w:rsid w:val="00533DE5"/>
    <w:rsid w:val="00534BE6"/>
    <w:rsid w:val="00535929"/>
    <w:rsid w:val="005359FD"/>
    <w:rsid w:val="00535FBF"/>
    <w:rsid w:val="00536406"/>
    <w:rsid w:val="005369CD"/>
    <w:rsid w:val="00536A25"/>
    <w:rsid w:val="00536D09"/>
    <w:rsid w:val="005377E7"/>
    <w:rsid w:val="00537C00"/>
    <w:rsid w:val="00537D44"/>
    <w:rsid w:val="005404D4"/>
    <w:rsid w:val="005404DA"/>
    <w:rsid w:val="00540AB0"/>
    <w:rsid w:val="00540D67"/>
    <w:rsid w:val="005413B2"/>
    <w:rsid w:val="0054181B"/>
    <w:rsid w:val="00541F3E"/>
    <w:rsid w:val="005423E7"/>
    <w:rsid w:val="00542666"/>
    <w:rsid w:val="00542AE7"/>
    <w:rsid w:val="00542DF9"/>
    <w:rsid w:val="00542F97"/>
    <w:rsid w:val="00543575"/>
    <w:rsid w:val="00543576"/>
    <w:rsid w:val="0054378C"/>
    <w:rsid w:val="005438BB"/>
    <w:rsid w:val="00543ACD"/>
    <w:rsid w:val="005443A8"/>
    <w:rsid w:val="00544CFE"/>
    <w:rsid w:val="005454A2"/>
    <w:rsid w:val="00545777"/>
    <w:rsid w:val="005457EE"/>
    <w:rsid w:val="005459FC"/>
    <w:rsid w:val="0054623F"/>
    <w:rsid w:val="00546C32"/>
    <w:rsid w:val="00546DA3"/>
    <w:rsid w:val="0054774D"/>
    <w:rsid w:val="005477AA"/>
    <w:rsid w:val="005478F8"/>
    <w:rsid w:val="005479E3"/>
    <w:rsid w:val="0055091B"/>
    <w:rsid w:val="00550C9B"/>
    <w:rsid w:val="00551248"/>
    <w:rsid w:val="00551266"/>
    <w:rsid w:val="00551C58"/>
    <w:rsid w:val="00552C37"/>
    <w:rsid w:val="00552CB5"/>
    <w:rsid w:val="00552E9F"/>
    <w:rsid w:val="00553019"/>
    <w:rsid w:val="00553581"/>
    <w:rsid w:val="0055399F"/>
    <w:rsid w:val="00554290"/>
    <w:rsid w:val="0055481B"/>
    <w:rsid w:val="00554A86"/>
    <w:rsid w:val="00554A9B"/>
    <w:rsid w:val="005554B4"/>
    <w:rsid w:val="0055597D"/>
    <w:rsid w:val="00555FFD"/>
    <w:rsid w:val="0055614C"/>
    <w:rsid w:val="0055640A"/>
    <w:rsid w:val="00556433"/>
    <w:rsid w:val="005566DC"/>
    <w:rsid w:val="00556A3D"/>
    <w:rsid w:val="00557034"/>
    <w:rsid w:val="00557367"/>
    <w:rsid w:val="005573E0"/>
    <w:rsid w:val="00557F1B"/>
    <w:rsid w:val="00560054"/>
    <w:rsid w:val="0056045B"/>
    <w:rsid w:val="0056096A"/>
    <w:rsid w:val="00560E12"/>
    <w:rsid w:val="00561610"/>
    <w:rsid w:val="005616CC"/>
    <w:rsid w:val="00561750"/>
    <w:rsid w:val="00561778"/>
    <w:rsid w:val="00561DBB"/>
    <w:rsid w:val="0056232E"/>
    <w:rsid w:val="005623E0"/>
    <w:rsid w:val="00562E32"/>
    <w:rsid w:val="00563F1C"/>
    <w:rsid w:val="00564291"/>
    <w:rsid w:val="005643A0"/>
    <w:rsid w:val="00564557"/>
    <w:rsid w:val="00564BE3"/>
    <w:rsid w:val="005651A6"/>
    <w:rsid w:val="00565303"/>
    <w:rsid w:val="00565AEA"/>
    <w:rsid w:val="00565F98"/>
    <w:rsid w:val="00566305"/>
    <w:rsid w:val="0056667C"/>
    <w:rsid w:val="00566D06"/>
    <w:rsid w:val="00566F11"/>
    <w:rsid w:val="005675E6"/>
    <w:rsid w:val="00567930"/>
    <w:rsid w:val="00567F9A"/>
    <w:rsid w:val="00570152"/>
    <w:rsid w:val="005701EA"/>
    <w:rsid w:val="00570214"/>
    <w:rsid w:val="00570342"/>
    <w:rsid w:val="00570F89"/>
    <w:rsid w:val="0057126F"/>
    <w:rsid w:val="005713A1"/>
    <w:rsid w:val="00571FF6"/>
    <w:rsid w:val="0057273C"/>
    <w:rsid w:val="00572C5C"/>
    <w:rsid w:val="00572CAF"/>
    <w:rsid w:val="00572E82"/>
    <w:rsid w:val="00572FF4"/>
    <w:rsid w:val="00573590"/>
    <w:rsid w:val="00573667"/>
    <w:rsid w:val="00573EE9"/>
    <w:rsid w:val="0057440B"/>
    <w:rsid w:val="00574732"/>
    <w:rsid w:val="005748A8"/>
    <w:rsid w:val="005749E6"/>
    <w:rsid w:val="00574A93"/>
    <w:rsid w:val="00574CAA"/>
    <w:rsid w:val="005757FF"/>
    <w:rsid w:val="00575ADE"/>
    <w:rsid w:val="0057769A"/>
    <w:rsid w:val="005807A0"/>
    <w:rsid w:val="00580999"/>
    <w:rsid w:val="00580B3F"/>
    <w:rsid w:val="00580B62"/>
    <w:rsid w:val="0058102E"/>
    <w:rsid w:val="005814B1"/>
    <w:rsid w:val="00582984"/>
    <w:rsid w:val="00582EE8"/>
    <w:rsid w:val="00582FFE"/>
    <w:rsid w:val="0058329E"/>
    <w:rsid w:val="005836E1"/>
    <w:rsid w:val="005838D7"/>
    <w:rsid w:val="005838FC"/>
    <w:rsid w:val="00584E82"/>
    <w:rsid w:val="00584FA9"/>
    <w:rsid w:val="0058568F"/>
    <w:rsid w:val="00585CA9"/>
    <w:rsid w:val="005867AB"/>
    <w:rsid w:val="005868CD"/>
    <w:rsid w:val="00586F87"/>
    <w:rsid w:val="00587326"/>
    <w:rsid w:val="005873A7"/>
    <w:rsid w:val="00587887"/>
    <w:rsid w:val="00587E4D"/>
    <w:rsid w:val="00591A80"/>
    <w:rsid w:val="00591B40"/>
    <w:rsid w:val="00591C26"/>
    <w:rsid w:val="00591E1F"/>
    <w:rsid w:val="00591E2F"/>
    <w:rsid w:val="00592112"/>
    <w:rsid w:val="00592980"/>
    <w:rsid w:val="00593895"/>
    <w:rsid w:val="00593FE3"/>
    <w:rsid w:val="0059432F"/>
    <w:rsid w:val="005944F4"/>
    <w:rsid w:val="00594C3E"/>
    <w:rsid w:val="00595479"/>
    <w:rsid w:val="00596555"/>
    <w:rsid w:val="00596C47"/>
    <w:rsid w:val="005972F6"/>
    <w:rsid w:val="00597791"/>
    <w:rsid w:val="005A0A97"/>
    <w:rsid w:val="005A12D1"/>
    <w:rsid w:val="005A1379"/>
    <w:rsid w:val="005A140F"/>
    <w:rsid w:val="005A1736"/>
    <w:rsid w:val="005A1C16"/>
    <w:rsid w:val="005A22EB"/>
    <w:rsid w:val="005A2340"/>
    <w:rsid w:val="005A24C2"/>
    <w:rsid w:val="005A2561"/>
    <w:rsid w:val="005A2909"/>
    <w:rsid w:val="005A31E3"/>
    <w:rsid w:val="005A5085"/>
    <w:rsid w:val="005A60B4"/>
    <w:rsid w:val="005A62C1"/>
    <w:rsid w:val="005A6800"/>
    <w:rsid w:val="005A7525"/>
    <w:rsid w:val="005A754A"/>
    <w:rsid w:val="005A76BA"/>
    <w:rsid w:val="005A7DA5"/>
    <w:rsid w:val="005B003F"/>
    <w:rsid w:val="005B00AF"/>
    <w:rsid w:val="005B0BA5"/>
    <w:rsid w:val="005B17A2"/>
    <w:rsid w:val="005B2A3E"/>
    <w:rsid w:val="005B2E96"/>
    <w:rsid w:val="005B34D5"/>
    <w:rsid w:val="005B36EA"/>
    <w:rsid w:val="005B3B45"/>
    <w:rsid w:val="005B52A1"/>
    <w:rsid w:val="005B59E2"/>
    <w:rsid w:val="005B5DB7"/>
    <w:rsid w:val="005B5F8F"/>
    <w:rsid w:val="005B6722"/>
    <w:rsid w:val="005B68AB"/>
    <w:rsid w:val="005B75F1"/>
    <w:rsid w:val="005C044F"/>
    <w:rsid w:val="005C04BD"/>
    <w:rsid w:val="005C06A8"/>
    <w:rsid w:val="005C06DC"/>
    <w:rsid w:val="005C10C7"/>
    <w:rsid w:val="005C183C"/>
    <w:rsid w:val="005C18E4"/>
    <w:rsid w:val="005C1B88"/>
    <w:rsid w:val="005C1C25"/>
    <w:rsid w:val="005C31DC"/>
    <w:rsid w:val="005C3BAE"/>
    <w:rsid w:val="005C43CF"/>
    <w:rsid w:val="005C4B6B"/>
    <w:rsid w:val="005C5270"/>
    <w:rsid w:val="005C572E"/>
    <w:rsid w:val="005C5906"/>
    <w:rsid w:val="005C5C68"/>
    <w:rsid w:val="005C60F9"/>
    <w:rsid w:val="005C61A1"/>
    <w:rsid w:val="005C6529"/>
    <w:rsid w:val="005C76C3"/>
    <w:rsid w:val="005C78C7"/>
    <w:rsid w:val="005C7C10"/>
    <w:rsid w:val="005C7DD5"/>
    <w:rsid w:val="005D0EC7"/>
    <w:rsid w:val="005D1380"/>
    <w:rsid w:val="005D15A1"/>
    <w:rsid w:val="005D1712"/>
    <w:rsid w:val="005D1782"/>
    <w:rsid w:val="005D18AB"/>
    <w:rsid w:val="005D26A1"/>
    <w:rsid w:val="005D2E91"/>
    <w:rsid w:val="005D3CF9"/>
    <w:rsid w:val="005D4852"/>
    <w:rsid w:val="005D4B24"/>
    <w:rsid w:val="005D4BC7"/>
    <w:rsid w:val="005D4F79"/>
    <w:rsid w:val="005D55F1"/>
    <w:rsid w:val="005D5647"/>
    <w:rsid w:val="005D5689"/>
    <w:rsid w:val="005D58AC"/>
    <w:rsid w:val="005D61CE"/>
    <w:rsid w:val="005D6208"/>
    <w:rsid w:val="005D6874"/>
    <w:rsid w:val="005E0396"/>
    <w:rsid w:val="005E0B93"/>
    <w:rsid w:val="005E0DF7"/>
    <w:rsid w:val="005E10B9"/>
    <w:rsid w:val="005E111D"/>
    <w:rsid w:val="005E1334"/>
    <w:rsid w:val="005E146A"/>
    <w:rsid w:val="005E14C2"/>
    <w:rsid w:val="005E22F5"/>
    <w:rsid w:val="005E24F8"/>
    <w:rsid w:val="005E27C2"/>
    <w:rsid w:val="005E3188"/>
    <w:rsid w:val="005E38DB"/>
    <w:rsid w:val="005E3F88"/>
    <w:rsid w:val="005E4165"/>
    <w:rsid w:val="005E43F5"/>
    <w:rsid w:val="005E4423"/>
    <w:rsid w:val="005E475D"/>
    <w:rsid w:val="005E4DF8"/>
    <w:rsid w:val="005E5588"/>
    <w:rsid w:val="005E579F"/>
    <w:rsid w:val="005E5856"/>
    <w:rsid w:val="005E77D5"/>
    <w:rsid w:val="005E7880"/>
    <w:rsid w:val="005E7A0D"/>
    <w:rsid w:val="005F08C0"/>
    <w:rsid w:val="005F0A6B"/>
    <w:rsid w:val="005F0D62"/>
    <w:rsid w:val="005F1394"/>
    <w:rsid w:val="005F1A96"/>
    <w:rsid w:val="005F1EDA"/>
    <w:rsid w:val="005F2056"/>
    <w:rsid w:val="005F207D"/>
    <w:rsid w:val="005F244D"/>
    <w:rsid w:val="005F2683"/>
    <w:rsid w:val="005F32C6"/>
    <w:rsid w:val="005F34CF"/>
    <w:rsid w:val="005F38F9"/>
    <w:rsid w:val="005F3931"/>
    <w:rsid w:val="005F3B0F"/>
    <w:rsid w:val="005F3D40"/>
    <w:rsid w:val="005F4524"/>
    <w:rsid w:val="005F527F"/>
    <w:rsid w:val="005F5A4C"/>
    <w:rsid w:val="005F5EA6"/>
    <w:rsid w:val="005F6038"/>
    <w:rsid w:val="005F6136"/>
    <w:rsid w:val="005F66D1"/>
    <w:rsid w:val="005F6E4B"/>
    <w:rsid w:val="006004B2"/>
    <w:rsid w:val="00600A89"/>
    <w:rsid w:val="00600F55"/>
    <w:rsid w:val="00601714"/>
    <w:rsid w:val="00601BA7"/>
    <w:rsid w:val="00601D47"/>
    <w:rsid w:val="00601FD3"/>
    <w:rsid w:val="006020D1"/>
    <w:rsid w:val="00602E27"/>
    <w:rsid w:val="006037F8"/>
    <w:rsid w:val="006045AC"/>
    <w:rsid w:val="00604CCD"/>
    <w:rsid w:val="006052CE"/>
    <w:rsid w:val="006056EE"/>
    <w:rsid w:val="00605787"/>
    <w:rsid w:val="00606AA4"/>
    <w:rsid w:val="006070E6"/>
    <w:rsid w:val="00607BA5"/>
    <w:rsid w:val="006101D4"/>
    <w:rsid w:val="006102B6"/>
    <w:rsid w:val="0061042F"/>
    <w:rsid w:val="006107BB"/>
    <w:rsid w:val="00611168"/>
    <w:rsid w:val="0061180A"/>
    <w:rsid w:val="00611A1E"/>
    <w:rsid w:val="00611EAA"/>
    <w:rsid w:val="006128A3"/>
    <w:rsid w:val="00612D04"/>
    <w:rsid w:val="00612DD2"/>
    <w:rsid w:val="00614344"/>
    <w:rsid w:val="00614499"/>
    <w:rsid w:val="0061452C"/>
    <w:rsid w:val="00614AD5"/>
    <w:rsid w:val="00614CF5"/>
    <w:rsid w:val="00615768"/>
    <w:rsid w:val="006157B0"/>
    <w:rsid w:val="00615915"/>
    <w:rsid w:val="00616C68"/>
    <w:rsid w:val="00617D67"/>
    <w:rsid w:val="00617FD8"/>
    <w:rsid w:val="00621516"/>
    <w:rsid w:val="00621A50"/>
    <w:rsid w:val="00621BCC"/>
    <w:rsid w:val="00621FAE"/>
    <w:rsid w:val="006229CF"/>
    <w:rsid w:val="00623259"/>
    <w:rsid w:val="00623455"/>
    <w:rsid w:val="00623625"/>
    <w:rsid w:val="006242BC"/>
    <w:rsid w:val="0062466B"/>
    <w:rsid w:val="00624C4E"/>
    <w:rsid w:val="006252D5"/>
    <w:rsid w:val="00625430"/>
    <w:rsid w:val="00625A21"/>
    <w:rsid w:val="00625FE4"/>
    <w:rsid w:val="006260C7"/>
    <w:rsid w:val="006264EA"/>
    <w:rsid w:val="006266F1"/>
    <w:rsid w:val="006268CD"/>
    <w:rsid w:val="00626EB6"/>
    <w:rsid w:val="0062780F"/>
    <w:rsid w:val="00630D94"/>
    <w:rsid w:val="00630F7C"/>
    <w:rsid w:val="00631B98"/>
    <w:rsid w:val="00631E43"/>
    <w:rsid w:val="00632590"/>
    <w:rsid w:val="00632774"/>
    <w:rsid w:val="00632B5F"/>
    <w:rsid w:val="00632B82"/>
    <w:rsid w:val="00632CA9"/>
    <w:rsid w:val="00632E18"/>
    <w:rsid w:val="00632E63"/>
    <w:rsid w:val="00633542"/>
    <w:rsid w:val="00633838"/>
    <w:rsid w:val="0063412F"/>
    <w:rsid w:val="00634EC2"/>
    <w:rsid w:val="006354AC"/>
    <w:rsid w:val="00635C42"/>
    <w:rsid w:val="00636079"/>
    <w:rsid w:val="0063613B"/>
    <w:rsid w:val="0063636F"/>
    <w:rsid w:val="0063678F"/>
    <w:rsid w:val="00636925"/>
    <w:rsid w:val="0063760F"/>
    <w:rsid w:val="00637EBD"/>
    <w:rsid w:val="00640292"/>
    <w:rsid w:val="00640493"/>
    <w:rsid w:val="006406B8"/>
    <w:rsid w:val="0064074D"/>
    <w:rsid w:val="006409F5"/>
    <w:rsid w:val="00641AA4"/>
    <w:rsid w:val="00641CB2"/>
    <w:rsid w:val="00641F8E"/>
    <w:rsid w:val="006427AA"/>
    <w:rsid w:val="00642C2A"/>
    <w:rsid w:val="00642CDE"/>
    <w:rsid w:val="00642F16"/>
    <w:rsid w:val="0064333A"/>
    <w:rsid w:val="006434C5"/>
    <w:rsid w:val="0064367B"/>
    <w:rsid w:val="00643681"/>
    <w:rsid w:val="00643936"/>
    <w:rsid w:val="00644649"/>
    <w:rsid w:val="006447BE"/>
    <w:rsid w:val="00644ECF"/>
    <w:rsid w:val="00644F53"/>
    <w:rsid w:val="00645277"/>
    <w:rsid w:val="006458CE"/>
    <w:rsid w:val="00646306"/>
    <w:rsid w:val="00646357"/>
    <w:rsid w:val="006468B3"/>
    <w:rsid w:val="00646D2A"/>
    <w:rsid w:val="00646DA8"/>
    <w:rsid w:val="0064751A"/>
    <w:rsid w:val="0064763D"/>
    <w:rsid w:val="006500EF"/>
    <w:rsid w:val="0065019B"/>
    <w:rsid w:val="006505CC"/>
    <w:rsid w:val="006508DA"/>
    <w:rsid w:val="00650A3C"/>
    <w:rsid w:val="006511E3"/>
    <w:rsid w:val="00651387"/>
    <w:rsid w:val="00651464"/>
    <w:rsid w:val="00651883"/>
    <w:rsid w:val="006526D0"/>
    <w:rsid w:val="00652884"/>
    <w:rsid w:val="00653CA2"/>
    <w:rsid w:val="0065413C"/>
    <w:rsid w:val="00654485"/>
    <w:rsid w:val="00655163"/>
    <w:rsid w:val="006551AF"/>
    <w:rsid w:val="006552BB"/>
    <w:rsid w:val="00655D03"/>
    <w:rsid w:val="00657164"/>
    <w:rsid w:val="006573C6"/>
    <w:rsid w:val="0065799E"/>
    <w:rsid w:val="00657AE9"/>
    <w:rsid w:val="00660134"/>
    <w:rsid w:val="00661C4A"/>
    <w:rsid w:val="00662200"/>
    <w:rsid w:val="00662486"/>
    <w:rsid w:val="00662881"/>
    <w:rsid w:val="00662CF7"/>
    <w:rsid w:val="00663D86"/>
    <w:rsid w:val="00664A5A"/>
    <w:rsid w:val="00664AB8"/>
    <w:rsid w:val="0066532F"/>
    <w:rsid w:val="006654C6"/>
    <w:rsid w:val="0066567A"/>
    <w:rsid w:val="00665A5B"/>
    <w:rsid w:val="00665DEC"/>
    <w:rsid w:val="00666133"/>
    <w:rsid w:val="006661B7"/>
    <w:rsid w:val="006663CB"/>
    <w:rsid w:val="0066647E"/>
    <w:rsid w:val="00666FBA"/>
    <w:rsid w:val="006676EB"/>
    <w:rsid w:val="00667715"/>
    <w:rsid w:val="00667ABA"/>
    <w:rsid w:val="00670392"/>
    <w:rsid w:val="0067058C"/>
    <w:rsid w:val="00670934"/>
    <w:rsid w:val="006712EF"/>
    <w:rsid w:val="00671B8D"/>
    <w:rsid w:val="00671ECF"/>
    <w:rsid w:val="0067257C"/>
    <w:rsid w:val="00672B0C"/>
    <w:rsid w:val="00672C2E"/>
    <w:rsid w:val="00672DEF"/>
    <w:rsid w:val="0067370E"/>
    <w:rsid w:val="00673D7D"/>
    <w:rsid w:val="00674D1E"/>
    <w:rsid w:val="00674F1E"/>
    <w:rsid w:val="006752BF"/>
    <w:rsid w:val="006754F4"/>
    <w:rsid w:val="006755FA"/>
    <w:rsid w:val="0067758B"/>
    <w:rsid w:val="006803F8"/>
    <w:rsid w:val="0068086A"/>
    <w:rsid w:val="00680D93"/>
    <w:rsid w:val="006817BF"/>
    <w:rsid w:val="00681B96"/>
    <w:rsid w:val="00681CF1"/>
    <w:rsid w:val="00681FBE"/>
    <w:rsid w:val="00682801"/>
    <w:rsid w:val="006828AF"/>
    <w:rsid w:val="00683388"/>
    <w:rsid w:val="00683626"/>
    <w:rsid w:val="00683AC0"/>
    <w:rsid w:val="00683DF1"/>
    <w:rsid w:val="00683F84"/>
    <w:rsid w:val="006840E7"/>
    <w:rsid w:val="00684651"/>
    <w:rsid w:val="006849CA"/>
    <w:rsid w:val="00685149"/>
    <w:rsid w:val="00685DE9"/>
    <w:rsid w:val="0068627B"/>
    <w:rsid w:val="006864DA"/>
    <w:rsid w:val="00687293"/>
    <w:rsid w:val="0068749A"/>
    <w:rsid w:val="00687C04"/>
    <w:rsid w:val="00687D76"/>
    <w:rsid w:val="006903A2"/>
    <w:rsid w:val="006905AC"/>
    <w:rsid w:val="006908FF"/>
    <w:rsid w:val="006909D8"/>
    <w:rsid w:val="00690BB8"/>
    <w:rsid w:val="006919BD"/>
    <w:rsid w:val="00691A81"/>
    <w:rsid w:val="00691F14"/>
    <w:rsid w:val="006925B0"/>
    <w:rsid w:val="00692EC9"/>
    <w:rsid w:val="006933A8"/>
    <w:rsid w:val="00693A82"/>
    <w:rsid w:val="00693C1E"/>
    <w:rsid w:val="0069467B"/>
    <w:rsid w:val="00694687"/>
    <w:rsid w:val="0069518C"/>
    <w:rsid w:val="006956B1"/>
    <w:rsid w:val="00695905"/>
    <w:rsid w:val="006959EF"/>
    <w:rsid w:val="00695C00"/>
    <w:rsid w:val="00695FDE"/>
    <w:rsid w:val="0069619F"/>
    <w:rsid w:val="006963C9"/>
    <w:rsid w:val="006963F3"/>
    <w:rsid w:val="006965A1"/>
    <w:rsid w:val="00696A64"/>
    <w:rsid w:val="00696BD6"/>
    <w:rsid w:val="00697128"/>
    <w:rsid w:val="00697B55"/>
    <w:rsid w:val="00697E5E"/>
    <w:rsid w:val="00697EF8"/>
    <w:rsid w:val="006A01F3"/>
    <w:rsid w:val="006A06B8"/>
    <w:rsid w:val="006A07A5"/>
    <w:rsid w:val="006A0813"/>
    <w:rsid w:val="006A118A"/>
    <w:rsid w:val="006A1235"/>
    <w:rsid w:val="006A1A8A"/>
    <w:rsid w:val="006A1D05"/>
    <w:rsid w:val="006A1F7E"/>
    <w:rsid w:val="006A1FFF"/>
    <w:rsid w:val="006A2DB2"/>
    <w:rsid w:val="006A2F96"/>
    <w:rsid w:val="006A30C8"/>
    <w:rsid w:val="006A41BA"/>
    <w:rsid w:val="006A466C"/>
    <w:rsid w:val="006A4CED"/>
    <w:rsid w:val="006A522B"/>
    <w:rsid w:val="006A6043"/>
    <w:rsid w:val="006A66ED"/>
    <w:rsid w:val="006A6A81"/>
    <w:rsid w:val="006A6EB3"/>
    <w:rsid w:val="006A708D"/>
    <w:rsid w:val="006B10E5"/>
    <w:rsid w:val="006B1478"/>
    <w:rsid w:val="006B18CA"/>
    <w:rsid w:val="006B194B"/>
    <w:rsid w:val="006B1A24"/>
    <w:rsid w:val="006B1AED"/>
    <w:rsid w:val="006B2E22"/>
    <w:rsid w:val="006B3824"/>
    <w:rsid w:val="006B3B96"/>
    <w:rsid w:val="006B3C93"/>
    <w:rsid w:val="006B453B"/>
    <w:rsid w:val="006B4906"/>
    <w:rsid w:val="006B4F03"/>
    <w:rsid w:val="006B50CA"/>
    <w:rsid w:val="006B622D"/>
    <w:rsid w:val="006B6995"/>
    <w:rsid w:val="006C0328"/>
    <w:rsid w:val="006C048C"/>
    <w:rsid w:val="006C0E05"/>
    <w:rsid w:val="006C1A78"/>
    <w:rsid w:val="006C1AEA"/>
    <w:rsid w:val="006C20E0"/>
    <w:rsid w:val="006C2421"/>
    <w:rsid w:val="006C286B"/>
    <w:rsid w:val="006C3353"/>
    <w:rsid w:val="006C4630"/>
    <w:rsid w:val="006C4A6E"/>
    <w:rsid w:val="006C52FB"/>
    <w:rsid w:val="006C5CF4"/>
    <w:rsid w:val="006C64F3"/>
    <w:rsid w:val="006C6905"/>
    <w:rsid w:val="006C7023"/>
    <w:rsid w:val="006C7492"/>
    <w:rsid w:val="006C7776"/>
    <w:rsid w:val="006C7BA8"/>
    <w:rsid w:val="006D01D9"/>
    <w:rsid w:val="006D040E"/>
    <w:rsid w:val="006D054B"/>
    <w:rsid w:val="006D1181"/>
    <w:rsid w:val="006D1216"/>
    <w:rsid w:val="006D17E4"/>
    <w:rsid w:val="006D1B3E"/>
    <w:rsid w:val="006D1BB7"/>
    <w:rsid w:val="006D1C3D"/>
    <w:rsid w:val="006D1D17"/>
    <w:rsid w:val="006D2289"/>
    <w:rsid w:val="006D2B26"/>
    <w:rsid w:val="006D2F90"/>
    <w:rsid w:val="006D2F97"/>
    <w:rsid w:val="006D324D"/>
    <w:rsid w:val="006D4845"/>
    <w:rsid w:val="006D4A72"/>
    <w:rsid w:val="006D4B38"/>
    <w:rsid w:val="006D4B5F"/>
    <w:rsid w:val="006D4C46"/>
    <w:rsid w:val="006D4D0B"/>
    <w:rsid w:val="006D58B3"/>
    <w:rsid w:val="006D5C0C"/>
    <w:rsid w:val="006D5F97"/>
    <w:rsid w:val="006D6451"/>
    <w:rsid w:val="006D65EA"/>
    <w:rsid w:val="006D68D3"/>
    <w:rsid w:val="006D6ABA"/>
    <w:rsid w:val="006D7040"/>
    <w:rsid w:val="006D7360"/>
    <w:rsid w:val="006D76CB"/>
    <w:rsid w:val="006D7E9D"/>
    <w:rsid w:val="006E1419"/>
    <w:rsid w:val="006E179C"/>
    <w:rsid w:val="006E268B"/>
    <w:rsid w:val="006E2D79"/>
    <w:rsid w:val="006E3B70"/>
    <w:rsid w:val="006E3F41"/>
    <w:rsid w:val="006E55C2"/>
    <w:rsid w:val="006E618A"/>
    <w:rsid w:val="006E68B1"/>
    <w:rsid w:val="006E6A9B"/>
    <w:rsid w:val="006E7AA3"/>
    <w:rsid w:val="006E7B66"/>
    <w:rsid w:val="006F02C7"/>
    <w:rsid w:val="006F0936"/>
    <w:rsid w:val="006F0E73"/>
    <w:rsid w:val="006F233D"/>
    <w:rsid w:val="006F26E5"/>
    <w:rsid w:val="006F3BC7"/>
    <w:rsid w:val="006F4DCE"/>
    <w:rsid w:val="006F5387"/>
    <w:rsid w:val="006F637C"/>
    <w:rsid w:val="006F67A3"/>
    <w:rsid w:val="006F68C9"/>
    <w:rsid w:val="006F6E6C"/>
    <w:rsid w:val="006F6FCD"/>
    <w:rsid w:val="006F7393"/>
    <w:rsid w:val="006F7983"/>
    <w:rsid w:val="006F7AEA"/>
    <w:rsid w:val="00700540"/>
    <w:rsid w:val="00700829"/>
    <w:rsid w:val="00700F02"/>
    <w:rsid w:val="0070145A"/>
    <w:rsid w:val="0070224F"/>
    <w:rsid w:val="00702D0A"/>
    <w:rsid w:val="0070370B"/>
    <w:rsid w:val="00703761"/>
    <w:rsid w:val="00704096"/>
    <w:rsid w:val="007057F3"/>
    <w:rsid w:val="00705C2B"/>
    <w:rsid w:val="00705EC1"/>
    <w:rsid w:val="0070629F"/>
    <w:rsid w:val="0070656E"/>
    <w:rsid w:val="007068CE"/>
    <w:rsid w:val="00706B6A"/>
    <w:rsid w:val="00707158"/>
    <w:rsid w:val="00710049"/>
    <w:rsid w:val="00710127"/>
    <w:rsid w:val="007104C6"/>
    <w:rsid w:val="00711456"/>
    <w:rsid w:val="007115F7"/>
    <w:rsid w:val="007130CA"/>
    <w:rsid w:val="007134AE"/>
    <w:rsid w:val="00713BFC"/>
    <w:rsid w:val="00713C71"/>
    <w:rsid w:val="00714245"/>
    <w:rsid w:val="00714BB0"/>
    <w:rsid w:val="0071559C"/>
    <w:rsid w:val="0071655E"/>
    <w:rsid w:val="00716C39"/>
    <w:rsid w:val="00717012"/>
    <w:rsid w:val="0071712C"/>
    <w:rsid w:val="00717C41"/>
    <w:rsid w:val="00717E23"/>
    <w:rsid w:val="00717F66"/>
    <w:rsid w:val="00720093"/>
    <w:rsid w:val="00720B10"/>
    <w:rsid w:val="007213D7"/>
    <w:rsid w:val="00721A3C"/>
    <w:rsid w:val="00721E67"/>
    <w:rsid w:val="00721FEE"/>
    <w:rsid w:val="00722011"/>
    <w:rsid w:val="00722DA7"/>
    <w:rsid w:val="00722E67"/>
    <w:rsid w:val="00723A80"/>
    <w:rsid w:val="00724315"/>
    <w:rsid w:val="007245EC"/>
    <w:rsid w:val="0072469B"/>
    <w:rsid w:val="0072591D"/>
    <w:rsid w:val="007259E8"/>
    <w:rsid w:val="00725EB7"/>
    <w:rsid w:val="007267B9"/>
    <w:rsid w:val="00726B27"/>
    <w:rsid w:val="00727420"/>
    <w:rsid w:val="0072795E"/>
    <w:rsid w:val="00727D63"/>
    <w:rsid w:val="0073070F"/>
    <w:rsid w:val="00730EA9"/>
    <w:rsid w:val="0073117A"/>
    <w:rsid w:val="00731B9A"/>
    <w:rsid w:val="00731D4B"/>
    <w:rsid w:val="007326D9"/>
    <w:rsid w:val="0073299D"/>
    <w:rsid w:val="0073311A"/>
    <w:rsid w:val="007331F5"/>
    <w:rsid w:val="00733450"/>
    <w:rsid w:val="0073444A"/>
    <w:rsid w:val="007349FC"/>
    <w:rsid w:val="00734AAB"/>
    <w:rsid w:val="0073513D"/>
    <w:rsid w:val="007353B3"/>
    <w:rsid w:val="007353F3"/>
    <w:rsid w:val="007359B0"/>
    <w:rsid w:val="007360EF"/>
    <w:rsid w:val="00737A26"/>
    <w:rsid w:val="00740838"/>
    <w:rsid w:val="00740AAA"/>
    <w:rsid w:val="00740EC6"/>
    <w:rsid w:val="00740F61"/>
    <w:rsid w:val="00741728"/>
    <w:rsid w:val="00742131"/>
    <w:rsid w:val="0074226B"/>
    <w:rsid w:val="0074231C"/>
    <w:rsid w:val="00742B2C"/>
    <w:rsid w:val="00743184"/>
    <w:rsid w:val="00743B64"/>
    <w:rsid w:val="00743E6B"/>
    <w:rsid w:val="00744A25"/>
    <w:rsid w:val="007455D9"/>
    <w:rsid w:val="00745773"/>
    <w:rsid w:val="0074581C"/>
    <w:rsid w:val="00745BA5"/>
    <w:rsid w:val="007462B9"/>
    <w:rsid w:val="0074633A"/>
    <w:rsid w:val="00746462"/>
    <w:rsid w:val="007468EE"/>
    <w:rsid w:val="00746AA7"/>
    <w:rsid w:val="00746ACF"/>
    <w:rsid w:val="00747100"/>
    <w:rsid w:val="0074753B"/>
    <w:rsid w:val="0074771C"/>
    <w:rsid w:val="007501B8"/>
    <w:rsid w:val="0075022E"/>
    <w:rsid w:val="00750A0A"/>
    <w:rsid w:val="00750CB6"/>
    <w:rsid w:val="00750FBD"/>
    <w:rsid w:val="00751767"/>
    <w:rsid w:val="00751AE8"/>
    <w:rsid w:val="00751F23"/>
    <w:rsid w:val="00752944"/>
    <w:rsid w:val="007529BF"/>
    <w:rsid w:val="00752B4A"/>
    <w:rsid w:val="00752BEC"/>
    <w:rsid w:val="00752C6D"/>
    <w:rsid w:val="00752D81"/>
    <w:rsid w:val="00753573"/>
    <w:rsid w:val="00753633"/>
    <w:rsid w:val="00753D55"/>
    <w:rsid w:val="00754FD2"/>
    <w:rsid w:val="00755469"/>
    <w:rsid w:val="007556C9"/>
    <w:rsid w:val="0075572F"/>
    <w:rsid w:val="007563D0"/>
    <w:rsid w:val="007569D1"/>
    <w:rsid w:val="00756C27"/>
    <w:rsid w:val="00756DDB"/>
    <w:rsid w:val="00756F2C"/>
    <w:rsid w:val="00756FB9"/>
    <w:rsid w:val="007573C5"/>
    <w:rsid w:val="00757AD7"/>
    <w:rsid w:val="00757C48"/>
    <w:rsid w:val="0076042A"/>
    <w:rsid w:val="0076104C"/>
    <w:rsid w:val="00761E17"/>
    <w:rsid w:val="00761E68"/>
    <w:rsid w:val="00762D8A"/>
    <w:rsid w:val="0076353A"/>
    <w:rsid w:val="0076383F"/>
    <w:rsid w:val="00763978"/>
    <w:rsid w:val="00763B41"/>
    <w:rsid w:val="00764273"/>
    <w:rsid w:val="00764522"/>
    <w:rsid w:val="007648B1"/>
    <w:rsid w:val="00764FBD"/>
    <w:rsid w:val="00765C10"/>
    <w:rsid w:val="00765CB8"/>
    <w:rsid w:val="00766070"/>
    <w:rsid w:val="007662CF"/>
    <w:rsid w:val="00766385"/>
    <w:rsid w:val="00766541"/>
    <w:rsid w:val="00766DD1"/>
    <w:rsid w:val="00766F29"/>
    <w:rsid w:val="00767872"/>
    <w:rsid w:val="0076790F"/>
    <w:rsid w:val="007700F2"/>
    <w:rsid w:val="007714ED"/>
    <w:rsid w:val="00771B46"/>
    <w:rsid w:val="00771F40"/>
    <w:rsid w:val="00771FCF"/>
    <w:rsid w:val="0077276A"/>
    <w:rsid w:val="00772A68"/>
    <w:rsid w:val="0077300C"/>
    <w:rsid w:val="0077439A"/>
    <w:rsid w:val="007746C8"/>
    <w:rsid w:val="00774CCA"/>
    <w:rsid w:val="00775025"/>
    <w:rsid w:val="00775B10"/>
    <w:rsid w:val="00775BE3"/>
    <w:rsid w:val="00776418"/>
    <w:rsid w:val="007770D0"/>
    <w:rsid w:val="007770E0"/>
    <w:rsid w:val="007770FA"/>
    <w:rsid w:val="0077714D"/>
    <w:rsid w:val="00777169"/>
    <w:rsid w:val="00780700"/>
    <w:rsid w:val="0078082C"/>
    <w:rsid w:val="007808D2"/>
    <w:rsid w:val="00780B6A"/>
    <w:rsid w:val="00781BE7"/>
    <w:rsid w:val="007822BA"/>
    <w:rsid w:val="00782D94"/>
    <w:rsid w:val="0078363D"/>
    <w:rsid w:val="00783BE6"/>
    <w:rsid w:val="00784B46"/>
    <w:rsid w:val="0078508A"/>
    <w:rsid w:val="007850D4"/>
    <w:rsid w:val="00785689"/>
    <w:rsid w:val="00785A6D"/>
    <w:rsid w:val="00785BE4"/>
    <w:rsid w:val="00785FC3"/>
    <w:rsid w:val="00786CCF"/>
    <w:rsid w:val="0078748E"/>
    <w:rsid w:val="00790177"/>
    <w:rsid w:val="007906C5"/>
    <w:rsid w:val="00791340"/>
    <w:rsid w:val="007913D3"/>
    <w:rsid w:val="007918E1"/>
    <w:rsid w:val="0079227D"/>
    <w:rsid w:val="007924C1"/>
    <w:rsid w:val="00792596"/>
    <w:rsid w:val="0079335B"/>
    <w:rsid w:val="0079343C"/>
    <w:rsid w:val="00793AEE"/>
    <w:rsid w:val="00793BCB"/>
    <w:rsid w:val="00795137"/>
    <w:rsid w:val="007952E6"/>
    <w:rsid w:val="00795320"/>
    <w:rsid w:val="007953A2"/>
    <w:rsid w:val="0079566F"/>
    <w:rsid w:val="007956DB"/>
    <w:rsid w:val="0079584C"/>
    <w:rsid w:val="00795E55"/>
    <w:rsid w:val="0079607A"/>
    <w:rsid w:val="0079754B"/>
    <w:rsid w:val="007979B9"/>
    <w:rsid w:val="007A03D9"/>
    <w:rsid w:val="007A0640"/>
    <w:rsid w:val="007A0A8F"/>
    <w:rsid w:val="007A0BAB"/>
    <w:rsid w:val="007A0ED2"/>
    <w:rsid w:val="007A13F4"/>
    <w:rsid w:val="007A14B4"/>
    <w:rsid w:val="007A1E6D"/>
    <w:rsid w:val="007A1F31"/>
    <w:rsid w:val="007A22B9"/>
    <w:rsid w:val="007A23C2"/>
    <w:rsid w:val="007A2E85"/>
    <w:rsid w:val="007A3A17"/>
    <w:rsid w:val="007A3F87"/>
    <w:rsid w:val="007A4212"/>
    <w:rsid w:val="007A4E8E"/>
    <w:rsid w:val="007A4FF3"/>
    <w:rsid w:val="007A50C0"/>
    <w:rsid w:val="007A574B"/>
    <w:rsid w:val="007A5B57"/>
    <w:rsid w:val="007A601A"/>
    <w:rsid w:val="007A7233"/>
    <w:rsid w:val="007A7325"/>
    <w:rsid w:val="007A738C"/>
    <w:rsid w:val="007A7D81"/>
    <w:rsid w:val="007B020F"/>
    <w:rsid w:val="007B0488"/>
    <w:rsid w:val="007B04B3"/>
    <w:rsid w:val="007B0EB2"/>
    <w:rsid w:val="007B13CE"/>
    <w:rsid w:val="007B17FE"/>
    <w:rsid w:val="007B2398"/>
    <w:rsid w:val="007B2800"/>
    <w:rsid w:val="007B29E2"/>
    <w:rsid w:val="007B2AF2"/>
    <w:rsid w:val="007B2D03"/>
    <w:rsid w:val="007B2F11"/>
    <w:rsid w:val="007B38EB"/>
    <w:rsid w:val="007B41F5"/>
    <w:rsid w:val="007B4481"/>
    <w:rsid w:val="007B4518"/>
    <w:rsid w:val="007B5253"/>
    <w:rsid w:val="007B5372"/>
    <w:rsid w:val="007B57B9"/>
    <w:rsid w:val="007B5F41"/>
    <w:rsid w:val="007B63C7"/>
    <w:rsid w:val="007B6811"/>
    <w:rsid w:val="007B7825"/>
    <w:rsid w:val="007C068A"/>
    <w:rsid w:val="007C0CA4"/>
    <w:rsid w:val="007C0D58"/>
    <w:rsid w:val="007C0DDF"/>
    <w:rsid w:val="007C1133"/>
    <w:rsid w:val="007C1260"/>
    <w:rsid w:val="007C21FF"/>
    <w:rsid w:val="007C24DA"/>
    <w:rsid w:val="007C25E3"/>
    <w:rsid w:val="007C3439"/>
    <w:rsid w:val="007C3443"/>
    <w:rsid w:val="007C380C"/>
    <w:rsid w:val="007C3AA1"/>
    <w:rsid w:val="007C4B55"/>
    <w:rsid w:val="007C5372"/>
    <w:rsid w:val="007C57E0"/>
    <w:rsid w:val="007C6441"/>
    <w:rsid w:val="007C6531"/>
    <w:rsid w:val="007C7739"/>
    <w:rsid w:val="007D0298"/>
    <w:rsid w:val="007D07DB"/>
    <w:rsid w:val="007D08CD"/>
    <w:rsid w:val="007D10DF"/>
    <w:rsid w:val="007D1427"/>
    <w:rsid w:val="007D1894"/>
    <w:rsid w:val="007D18ED"/>
    <w:rsid w:val="007D1B75"/>
    <w:rsid w:val="007D1CD5"/>
    <w:rsid w:val="007D2412"/>
    <w:rsid w:val="007D2529"/>
    <w:rsid w:val="007D25D4"/>
    <w:rsid w:val="007D37BF"/>
    <w:rsid w:val="007D3E43"/>
    <w:rsid w:val="007D421F"/>
    <w:rsid w:val="007D436B"/>
    <w:rsid w:val="007D4FC4"/>
    <w:rsid w:val="007D51B8"/>
    <w:rsid w:val="007D54DC"/>
    <w:rsid w:val="007D6879"/>
    <w:rsid w:val="007D6A54"/>
    <w:rsid w:val="007D6C4F"/>
    <w:rsid w:val="007D7119"/>
    <w:rsid w:val="007D7E9C"/>
    <w:rsid w:val="007D7FE6"/>
    <w:rsid w:val="007E0041"/>
    <w:rsid w:val="007E1139"/>
    <w:rsid w:val="007E19F1"/>
    <w:rsid w:val="007E1FB8"/>
    <w:rsid w:val="007E2A98"/>
    <w:rsid w:val="007E2AAD"/>
    <w:rsid w:val="007E2DE6"/>
    <w:rsid w:val="007E2E3F"/>
    <w:rsid w:val="007E3814"/>
    <w:rsid w:val="007E39BD"/>
    <w:rsid w:val="007E3C66"/>
    <w:rsid w:val="007E3F64"/>
    <w:rsid w:val="007E419E"/>
    <w:rsid w:val="007E49D5"/>
    <w:rsid w:val="007E520F"/>
    <w:rsid w:val="007E5505"/>
    <w:rsid w:val="007E5B07"/>
    <w:rsid w:val="007E65DC"/>
    <w:rsid w:val="007E7624"/>
    <w:rsid w:val="007E77D5"/>
    <w:rsid w:val="007E7B9C"/>
    <w:rsid w:val="007E7BED"/>
    <w:rsid w:val="007F01DE"/>
    <w:rsid w:val="007F0348"/>
    <w:rsid w:val="007F0625"/>
    <w:rsid w:val="007F06A4"/>
    <w:rsid w:val="007F0ACD"/>
    <w:rsid w:val="007F0D11"/>
    <w:rsid w:val="007F0EAB"/>
    <w:rsid w:val="007F181B"/>
    <w:rsid w:val="007F1876"/>
    <w:rsid w:val="007F1908"/>
    <w:rsid w:val="007F1A65"/>
    <w:rsid w:val="007F1C16"/>
    <w:rsid w:val="007F2D24"/>
    <w:rsid w:val="007F3194"/>
    <w:rsid w:val="007F3513"/>
    <w:rsid w:val="007F3A0E"/>
    <w:rsid w:val="007F3E9C"/>
    <w:rsid w:val="007F4573"/>
    <w:rsid w:val="007F4646"/>
    <w:rsid w:val="007F50A6"/>
    <w:rsid w:val="007F5A34"/>
    <w:rsid w:val="007F5FA1"/>
    <w:rsid w:val="007F6144"/>
    <w:rsid w:val="007F61A9"/>
    <w:rsid w:val="007F63C4"/>
    <w:rsid w:val="007F6B53"/>
    <w:rsid w:val="007F6D4F"/>
    <w:rsid w:val="007F6E63"/>
    <w:rsid w:val="007F711A"/>
    <w:rsid w:val="007F7170"/>
    <w:rsid w:val="007F75B0"/>
    <w:rsid w:val="0080049F"/>
    <w:rsid w:val="00800D3E"/>
    <w:rsid w:val="0080100D"/>
    <w:rsid w:val="00801EE8"/>
    <w:rsid w:val="00802055"/>
    <w:rsid w:val="008024B5"/>
    <w:rsid w:val="0080258C"/>
    <w:rsid w:val="00802754"/>
    <w:rsid w:val="00802BC0"/>
    <w:rsid w:val="008035C0"/>
    <w:rsid w:val="0080408C"/>
    <w:rsid w:val="008041B7"/>
    <w:rsid w:val="008045DB"/>
    <w:rsid w:val="008046AB"/>
    <w:rsid w:val="00804C28"/>
    <w:rsid w:val="00804DC5"/>
    <w:rsid w:val="00805787"/>
    <w:rsid w:val="0080743D"/>
    <w:rsid w:val="0080755C"/>
    <w:rsid w:val="00807E2F"/>
    <w:rsid w:val="008106F8"/>
    <w:rsid w:val="0081072F"/>
    <w:rsid w:val="00810B17"/>
    <w:rsid w:val="00810B6F"/>
    <w:rsid w:val="00810C8C"/>
    <w:rsid w:val="00810F28"/>
    <w:rsid w:val="00811369"/>
    <w:rsid w:val="0081138C"/>
    <w:rsid w:val="008124B1"/>
    <w:rsid w:val="008130A9"/>
    <w:rsid w:val="00813442"/>
    <w:rsid w:val="00813BAE"/>
    <w:rsid w:val="00813E25"/>
    <w:rsid w:val="00813E67"/>
    <w:rsid w:val="008141FE"/>
    <w:rsid w:val="008142C2"/>
    <w:rsid w:val="00814477"/>
    <w:rsid w:val="00814C08"/>
    <w:rsid w:val="00816085"/>
    <w:rsid w:val="00816383"/>
    <w:rsid w:val="00817607"/>
    <w:rsid w:val="00817988"/>
    <w:rsid w:val="00817AF6"/>
    <w:rsid w:val="00817D29"/>
    <w:rsid w:val="00821894"/>
    <w:rsid w:val="008225A0"/>
    <w:rsid w:val="00822622"/>
    <w:rsid w:val="0082295C"/>
    <w:rsid w:val="00822978"/>
    <w:rsid w:val="008229D3"/>
    <w:rsid w:val="00822CD2"/>
    <w:rsid w:val="00822CE0"/>
    <w:rsid w:val="00822EA5"/>
    <w:rsid w:val="00823146"/>
    <w:rsid w:val="008231E9"/>
    <w:rsid w:val="008239B9"/>
    <w:rsid w:val="00823E3C"/>
    <w:rsid w:val="00823F0A"/>
    <w:rsid w:val="0082446A"/>
    <w:rsid w:val="00824C15"/>
    <w:rsid w:val="00825C3F"/>
    <w:rsid w:val="00826C4A"/>
    <w:rsid w:val="008274F0"/>
    <w:rsid w:val="00827EFC"/>
    <w:rsid w:val="00831490"/>
    <w:rsid w:val="008314CA"/>
    <w:rsid w:val="00831FE5"/>
    <w:rsid w:val="00832149"/>
    <w:rsid w:val="008322F0"/>
    <w:rsid w:val="008325CC"/>
    <w:rsid w:val="00832828"/>
    <w:rsid w:val="00833B70"/>
    <w:rsid w:val="008342CC"/>
    <w:rsid w:val="00834A58"/>
    <w:rsid w:val="00834C19"/>
    <w:rsid w:val="0083546B"/>
    <w:rsid w:val="00835E15"/>
    <w:rsid w:val="00835EE5"/>
    <w:rsid w:val="008362CF"/>
    <w:rsid w:val="00836384"/>
    <w:rsid w:val="00836674"/>
    <w:rsid w:val="008366E9"/>
    <w:rsid w:val="00836A3F"/>
    <w:rsid w:val="00836BA0"/>
    <w:rsid w:val="008370EE"/>
    <w:rsid w:val="00840CC5"/>
    <w:rsid w:val="00840CCC"/>
    <w:rsid w:val="00840DB7"/>
    <w:rsid w:val="00840EC9"/>
    <w:rsid w:val="0084135B"/>
    <w:rsid w:val="00841AB1"/>
    <w:rsid w:val="00841B51"/>
    <w:rsid w:val="00842914"/>
    <w:rsid w:val="00842FCE"/>
    <w:rsid w:val="008435D7"/>
    <w:rsid w:val="008436B5"/>
    <w:rsid w:val="00843D50"/>
    <w:rsid w:val="008441E9"/>
    <w:rsid w:val="00844722"/>
    <w:rsid w:val="00844972"/>
    <w:rsid w:val="008449C9"/>
    <w:rsid w:val="00844AA0"/>
    <w:rsid w:val="00844FF1"/>
    <w:rsid w:val="00845546"/>
    <w:rsid w:val="00845951"/>
    <w:rsid w:val="00845EA2"/>
    <w:rsid w:val="00845EC6"/>
    <w:rsid w:val="00846270"/>
    <w:rsid w:val="00846277"/>
    <w:rsid w:val="008462FE"/>
    <w:rsid w:val="008463B1"/>
    <w:rsid w:val="00846DD0"/>
    <w:rsid w:val="00847A32"/>
    <w:rsid w:val="008503D5"/>
    <w:rsid w:val="0085104E"/>
    <w:rsid w:val="008511C0"/>
    <w:rsid w:val="008519CA"/>
    <w:rsid w:val="00851DE6"/>
    <w:rsid w:val="0085217A"/>
    <w:rsid w:val="008527CB"/>
    <w:rsid w:val="00852EB7"/>
    <w:rsid w:val="008531D6"/>
    <w:rsid w:val="00853BC4"/>
    <w:rsid w:val="0085417A"/>
    <w:rsid w:val="00854C48"/>
    <w:rsid w:val="008555C9"/>
    <w:rsid w:val="008559CA"/>
    <w:rsid w:val="00856486"/>
    <w:rsid w:val="00856F4A"/>
    <w:rsid w:val="00857BCF"/>
    <w:rsid w:val="00860C38"/>
    <w:rsid w:val="008614A1"/>
    <w:rsid w:val="008615C9"/>
    <w:rsid w:val="00861966"/>
    <w:rsid w:val="008630DD"/>
    <w:rsid w:val="00863849"/>
    <w:rsid w:val="008651AA"/>
    <w:rsid w:val="00865731"/>
    <w:rsid w:val="008657A9"/>
    <w:rsid w:val="00866506"/>
    <w:rsid w:val="00866D35"/>
    <w:rsid w:val="00870700"/>
    <w:rsid w:val="00870825"/>
    <w:rsid w:val="00870A05"/>
    <w:rsid w:val="00870C2F"/>
    <w:rsid w:val="00871A2D"/>
    <w:rsid w:val="008721D1"/>
    <w:rsid w:val="008727BC"/>
    <w:rsid w:val="00872B13"/>
    <w:rsid w:val="00872F5B"/>
    <w:rsid w:val="0087378C"/>
    <w:rsid w:val="00874299"/>
    <w:rsid w:val="008750F2"/>
    <w:rsid w:val="00875DEA"/>
    <w:rsid w:val="0087603C"/>
    <w:rsid w:val="008762B1"/>
    <w:rsid w:val="008764A0"/>
    <w:rsid w:val="008765E2"/>
    <w:rsid w:val="0087683A"/>
    <w:rsid w:val="00876EF9"/>
    <w:rsid w:val="00877B05"/>
    <w:rsid w:val="00880799"/>
    <w:rsid w:val="0088154B"/>
    <w:rsid w:val="0088164A"/>
    <w:rsid w:val="008816D2"/>
    <w:rsid w:val="00881B6B"/>
    <w:rsid w:val="00882031"/>
    <w:rsid w:val="008828BE"/>
    <w:rsid w:val="00882969"/>
    <w:rsid w:val="008830BD"/>
    <w:rsid w:val="0088335D"/>
    <w:rsid w:val="00883F70"/>
    <w:rsid w:val="00884237"/>
    <w:rsid w:val="0088535C"/>
    <w:rsid w:val="0088575D"/>
    <w:rsid w:val="00885DA5"/>
    <w:rsid w:val="008863C7"/>
    <w:rsid w:val="0088765B"/>
    <w:rsid w:val="008878B7"/>
    <w:rsid w:val="00887BA1"/>
    <w:rsid w:val="00890A74"/>
    <w:rsid w:val="00890B13"/>
    <w:rsid w:val="00891106"/>
    <w:rsid w:val="00891A44"/>
    <w:rsid w:val="00891A97"/>
    <w:rsid w:val="00891FAA"/>
    <w:rsid w:val="008923A8"/>
    <w:rsid w:val="008926C9"/>
    <w:rsid w:val="008926CA"/>
    <w:rsid w:val="00892D0E"/>
    <w:rsid w:val="00893362"/>
    <w:rsid w:val="00893C64"/>
    <w:rsid w:val="00893D94"/>
    <w:rsid w:val="0089479E"/>
    <w:rsid w:val="00894B5C"/>
    <w:rsid w:val="00894CA5"/>
    <w:rsid w:val="008951CA"/>
    <w:rsid w:val="0089569D"/>
    <w:rsid w:val="008958B8"/>
    <w:rsid w:val="008961B1"/>
    <w:rsid w:val="0089681A"/>
    <w:rsid w:val="0089700D"/>
    <w:rsid w:val="0089724F"/>
    <w:rsid w:val="00897593"/>
    <w:rsid w:val="00897D23"/>
    <w:rsid w:val="00897D4D"/>
    <w:rsid w:val="008A027A"/>
    <w:rsid w:val="008A06CB"/>
    <w:rsid w:val="008A0A6B"/>
    <w:rsid w:val="008A106E"/>
    <w:rsid w:val="008A11A4"/>
    <w:rsid w:val="008A12EB"/>
    <w:rsid w:val="008A14D9"/>
    <w:rsid w:val="008A22D5"/>
    <w:rsid w:val="008A264C"/>
    <w:rsid w:val="008A2756"/>
    <w:rsid w:val="008A33E8"/>
    <w:rsid w:val="008A34F3"/>
    <w:rsid w:val="008A3867"/>
    <w:rsid w:val="008A38AC"/>
    <w:rsid w:val="008A3B4F"/>
    <w:rsid w:val="008A3CF2"/>
    <w:rsid w:val="008A4174"/>
    <w:rsid w:val="008A41B4"/>
    <w:rsid w:val="008A4421"/>
    <w:rsid w:val="008A45F1"/>
    <w:rsid w:val="008A4BC2"/>
    <w:rsid w:val="008A5585"/>
    <w:rsid w:val="008A55F4"/>
    <w:rsid w:val="008A59F5"/>
    <w:rsid w:val="008A59FE"/>
    <w:rsid w:val="008A64C2"/>
    <w:rsid w:val="008A6671"/>
    <w:rsid w:val="008A6CA5"/>
    <w:rsid w:val="008A7398"/>
    <w:rsid w:val="008A7567"/>
    <w:rsid w:val="008A7A75"/>
    <w:rsid w:val="008B04D9"/>
    <w:rsid w:val="008B0641"/>
    <w:rsid w:val="008B087B"/>
    <w:rsid w:val="008B1103"/>
    <w:rsid w:val="008B27A9"/>
    <w:rsid w:val="008B2A82"/>
    <w:rsid w:val="008B310D"/>
    <w:rsid w:val="008B3165"/>
    <w:rsid w:val="008B3624"/>
    <w:rsid w:val="008B39F9"/>
    <w:rsid w:val="008B47E3"/>
    <w:rsid w:val="008B5220"/>
    <w:rsid w:val="008B5C64"/>
    <w:rsid w:val="008B5DC8"/>
    <w:rsid w:val="008B677C"/>
    <w:rsid w:val="008B7261"/>
    <w:rsid w:val="008B77D2"/>
    <w:rsid w:val="008C002E"/>
    <w:rsid w:val="008C03EC"/>
    <w:rsid w:val="008C05E3"/>
    <w:rsid w:val="008C0876"/>
    <w:rsid w:val="008C0898"/>
    <w:rsid w:val="008C09B9"/>
    <w:rsid w:val="008C0DEC"/>
    <w:rsid w:val="008C0E0C"/>
    <w:rsid w:val="008C1774"/>
    <w:rsid w:val="008C17BC"/>
    <w:rsid w:val="008C1AD5"/>
    <w:rsid w:val="008C1BDC"/>
    <w:rsid w:val="008C28B3"/>
    <w:rsid w:val="008C2A5C"/>
    <w:rsid w:val="008C2B9B"/>
    <w:rsid w:val="008C2BA8"/>
    <w:rsid w:val="008C2D86"/>
    <w:rsid w:val="008C345A"/>
    <w:rsid w:val="008C398A"/>
    <w:rsid w:val="008C4127"/>
    <w:rsid w:val="008C4433"/>
    <w:rsid w:val="008C49BD"/>
    <w:rsid w:val="008C4AF7"/>
    <w:rsid w:val="008C58BB"/>
    <w:rsid w:val="008C5A03"/>
    <w:rsid w:val="008C60AB"/>
    <w:rsid w:val="008C610C"/>
    <w:rsid w:val="008C65E5"/>
    <w:rsid w:val="008C68F1"/>
    <w:rsid w:val="008C70C1"/>
    <w:rsid w:val="008D0387"/>
    <w:rsid w:val="008D0449"/>
    <w:rsid w:val="008D0A83"/>
    <w:rsid w:val="008D0AFE"/>
    <w:rsid w:val="008D0C98"/>
    <w:rsid w:val="008D17E0"/>
    <w:rsid w:val="008D1C6F"/>
    <w:rsid w:val="008D2FB0"/>
    <w:rsid w:val="008D2FBE"/>
    <w:rsid w:val="008D3337"/>
    <w:rsid w:val="008D3647"/>
    <w:rsid w:val="008D44AD"/>
    <w:rsid w:val="008D4673"/>
    <w:rsid w:val="008D4967"/>
    <w:rsid w:val="008D4E0F"/>
    <w:rsid w:val="008D57A5"/>
    <w:rsid w:val="008D6A52"/>
    <w:rsid w:val="008D6BAB"/>
    <w:rsid w:val="008E009D"/>
    <w:rsid w:val="008E020B"/>
    <w:rsid w:val="008E029C"/>
    <w:rsid w:val="008E152C"/>
    <w:rsid w:val="008E19DF"/>
    <w:rsid w:val="008E1BCD"/>
    <w:rsid w:val="008E21AC"/>
    <w:rsid w:val="008E28F4"/>
    <w:rsid w:val="008E2DFD"/>
    <w:rsid w:val="008E3A2B"/>
    <w:rsid w:val="008E41BC"/>
    <w:rsid w:val="008E4571"/>
    <w:rsid w:val="008E4A33"/>
    <w:rsid w:val="008E4F52"/>
    <w:rsid w:val="008E5D18"/>
    <w:rsid w:val="008E61BB"/>
    <w:rsid w:val="008E6467"/>
    <w:rsid w:val="008F0891"/>
    <w:rsid w:val="008F0A5D"/>
    <w:rsid w:val="008F0C6D"/>
    <w:rsid w:val="008F23F5"/>
    <w:rsid w:val="008F2B7D"/>
    <w:rsid w:val="008F3F8A"/>
    <w:rsid w:val="008F48BC"/>
    <w:rsid w:val="008F4A22"/>
    <w:rsid w:val="008F4F34"/>
    <w:rsid w:val="008F5853"/>
    <w:rsid w:val="008F5E54"/>
    <w:rsid w:val="008F5ECF"/>
    <w:rsid w:val="008F5FFF"/>
    <w:rsid w:val="008F69B8"/>
    <w:rsid w:val="008F7D3A"/>
    <w:rsid w:val="00900099"/>
    <w:rsid w:val="00900208"/>
    <w:rsid w:val="00901A05"/>
    <w:rsid w:val="00901CDF"/>
    <w:rsid w:val="00901DE6"/>
    <w:rsid w:val="009027DE"/>
    <w:rsid w:val="009029DC"/>
    <w:rsid w:val="00902F52"/>
    <w:rsid w:val="009031A2"/>
    <w:rsid w:val="0090339F"/>
    <w:rsid w:val="00903AA1"/>
    <w:rsid w:val="00903BEF"/>
    <w:rsid w:val="009043BF"/>
    <w:rsid w:val="00904506"/>
    <w:rsid w:val="00905C3A"/>
    <w:rsid w:val="0090648F"/>
    <w:rsid w:val="009064ED"/>
    <w:rsid w:val="00906725"/>
    <w:rsid w:val="0090684E"/>
    <w:rsid w:val="00906920"/>
    <w:rsid w:val="00907067"/>
    <w:rsid w:val="0090788E"/>
    <w:rsid w:val="00907C67"/>
    <w:rsid w:val="009104F6"/>
    <w:rsid w:val="00910EAA"/>
    <w:rsid w:val="00911A7E"/>
    <w:rsid w:val="00912BCD"/>
    <w:rsid w:val="00913395"/>
    <w:rsid w:val="00913510"/>
    <w:rsid w:val="009135F5"/>
    <w:rsid w:val="00913A44"/>
    <w:rsid w:val="00914451"/>
    <w:rsid w:val="0091472E"/>
    <w:rsid w:val="0091489C"/>
    <w:rsid w:val="00914C68"/>
    <w:rsid w:val="00915AE1"/>
    <w:rsid w:val="00916314"/>
    <w:rsid w:val="00916E4C"/>
    <w:rsid w:val="009173F7"/>
    <w:rsid w:val="009173FB"/>
    <w:rsid w:val="00917C23"/>
    <w:rsid w:val="00917FE2"/>
    <w:rsid w:val="00920517"/>
    <w:rsid w:val="009207F4"/>
    <w:rsid w:val="00920952"/>
    <w:rsid w:val="00920EAC"/>
    <w:rsid w:val="00921803"/>
    <w:rsid w:val="00921C94"/>
    <w:rsid w:val="00921D76"/>
    <w:rsid w:val="00921DE0"/>
    <w:rsid w:val="00922478"/>
    <w:rsid w:val="00922BF7"/>
    <w:rsid w:val="009230BB"/>
    <w:rsid w:val="009240D6"/>
    <w:rsid w:val="00924E37"/>
    <w:rsid w:val="00925B75"/>
    <w:rsid w:val="00926503"/>
    <w:rsid w:val="009274B2"/>
    <w:rsid w:val="00927A2D"/>
    <w:rsid w:val="00927CCF"/>
    <w:rsid w:val="00930BED"/>
    <w:rsid w:val="009324E0"/>
    <w:rsid w:val="00934A76"/>
    <w:rsid w:val="00934B74"/>
    <w:rsid w:val="00935085"/>
    <w:rsid w:val="00935383"/>
    <w:rsid w:val="009357CC"/>
    <w:rsid w:val="00935998"/>
    <w:rsid w:val="00935F69"/>
    <w:rsid w:val="009369E2"/>
    <w:rsid w:val="00936E48"/>
    <w:rsid w:val="0093701E"/>
    <w:rsid w:val="0093731B"/>
    <w:rsid w:val="00937B95"/>
    <w:rsid w:val="009401C6"/>
    <w:rsid w:val="009408A1"/>
    <w:rsid w:val="00940C4B"/>
    <w:rsid w:val="00940D07"/>
    <w:rsid w:val="0094242F"/>
    <w:rsid w:val="00942922"/>
    <w:rsid w:val="00943C22"/>
    <w:rsid w:val="00943F8E"/>
    <w:rsid w:val="00944825"/>
    <w:rsid w:val="009456F3"/>
    <w:rsid w:val="00946072"/>
    <w:rsid w:val="00946096"/>
    <w:rsid w:val="009460DF"/>
    <w:rsid w:val="009463E4"/>
    <w:rsid w:val="00946A09"/>
    <w:rsid w:val="00947019"/>
    <w:rsid w:val="00947570"/>
    <w:rsid w:val="00951132"/>
    <w:rsid w:val="0095152A"/>
    <w:rsid w:val="00951572"/>
    <w:rsid w:val="00951D24"/>
    <w:rsid w:val="009521AF"/>
    <w:rsid w:val="00952231"/>
    <w:rsid w:val="009532FC"/>
    <w:rsid w:val="00953577"/>
    <w:rsid w:val="00953EBB"/>
    <w:rsid w:val="009541F5"/>
    <w:rsid w:val="00954627"/>
    <w:rsid w:val="00954991"/>
    <w:rsid w:val="00954F09"/>
    <w:rsid w:val="00955800"/>
    <w:rsid w:val="00955E66"/>
    <w:rsid w:val="009562BD"/>
    <w:rsid w:val="009568D4"/>
    <w:rsid w:val="00956E1E"/>
    <w:rsid w:val="00956FEF"/>
    <w:rsid w:val="009570DB"/>
    <w:rsid w:val="00957684"/>
    <w:rsid w:val="0096018E"/>
    <w:rsid w:val="00960822"/>
    <w:rsid w:val="0096126B"/>
    <w:rsid w:val="0096199E"/>
    <w:rsid w:val="00962150"/>
    <w:rsid w:val="0096231A"/>
    <w:rsid w:val="0096268A"/>
    <w:rsid w:val="00962BFC"/>
    <w:rsid w:val="00962D2B"/>
    <w:rsid w:val="00962DC8"/>
    <w:rsid w:val="00962E36"/>
    <w:rsid w:val="0096312E"/>
    <w:rsid w:val="009632C0"/>
    <w:rsid w:val="009633A7"/>
    <w:rsid w:val="009636AE"/>
    <w:rsid w:val="009640E4"/>
    <w:rsid w:val="0096455D"/>
    <w:rsid w:val="00964AC4"/>
    <w:rsid w:val="0096541C"/>
    <w:rsid w:val="00965D7C"/>
    <w:rsid w:val="0096639B"/>
    <w:rsid w:val="009664AF"/>
    <w:rsid w:val="00966ACA"/>
    <w:rsid w:val="009672C7"/>
    <w:rsid w:val="009672F0"/>
    <w:rsid w:val="009674DE"/>
    <w:rsid w:val="009679D2"/>
    <w:rsid w:val="00967A6C"/>
    <w:rsid w:val="00970768"/>
    <w:rsid w:val="00970811"/>
    <w:rsid w:val="00970B35"/>
    <w:rsid w:val="00970DC5"/>
    <w:rsid w:val="009715D8"/>
    <w:rsid w:val="009717BF"/>
    <w:rsid w:val="009726D8"/>
    <w:rsid w:val="00973325"/>
    <w:rsid w:val="009735B5"/>
    <w:rsid w:val="009738AD"/>
    <w:rsid w:val="00973CB4"/>
    <w:rsid w:val="00974528"/>
    <w:rsid w:val="009745F6"/>
    <w:rsid w:val="0097475C"/>
    <w:rsid w:val="00974D9D"/>
    <w:rsid w:val="009758BF"/>
    <w:rsid w:val="00975D55"/>
    <w:rsid w:val="009764A6"/>
    <w:rsid w:val="00976563"/>
    <w:rsid w:val="00976BCE"/>
    <w:rsid w:val="00976EE7"/>
    <w:rsid w:val="00977938"/>
    <w:rsid w:val="00977A43"/>
    <w:rsid w:val="0098020A"/>
    <w:rsid w:val="009809B5"/>
    <w:rsid w:val="00980AF3"/>
    <w:rsid w:val="00980BF7"/>
    <w:rsid w:val="00980D46"/>
    <w:rsid w:val="00982113"/>
    <w:rsid w:val="009821AE"/>
    <w:rsid w:val="009824B6"/>
    <w:rsid w:val="009838ED"/>
    <w:rsid w:val="00983E5F"/>
    <w:rsid w:val="00984078"/>
    <w:rsid w:val="0098441F"/>
    <w:rsid w:val="00984B9C"/>
    <w:rsid w:val="00984CA4"/>
    <w:rsid w:val="00985088"/>
    <w:rsid w:val="00985311"/>
    <w:rsid w:val="009857A0"/>
    <w:rsid w:val="00987253"/>
    <w:rsid w:val="0098745D"/>
    <w:rsid w:val="00987FAA"/>
    <w:rsid w:val="00990204"/>
    <w:rsid w:val="009902CD"/>
    <w:rsid w:val="00990487"/>
    <w:rsid w:val="00990AE6"/>
    <w:rsid w:val="00990BD0"/>
    <w:rsid w:val="00990C01"/>
    <w:rsid w:val="00990D66"/>
    <w:rsid w:val="009910AF"/>
    <w:rsid w:val="00992491"/>
    <w:rsid w:val="0099277F"/>
    <w:rsid w:val="00992CA2"/>
    <w:rsid w:val="00992CB7"/>
    <w:rsid w:val="00992D51"/>
    <w:rsid w:val="00993315"/>
    <w:rsid w:val="0099383B"/>
    <w:rsid w:val="009938DA"/>
    <w:rsid w:val="00993A0A"/>
    <w:rsid w:val="00994733"/>
    <w:rsid w:val="00994C03"/>
    <w:rsid w:val="009951E2"/>
    <w:rsid w:val="00995A82"/>
    <w:rsid w:val="00995C0D"/>
    <w:rsid w:val="00995D72"/>
    <w:rsid w:val="00996104"/>
    <w:rsid w:val="00996179"/>
    <w:rsid w:val="009961B8"/>
    <w:rsid w:val="00996537"/>
    <w:rsid w:val="0099671A"/>
    <w:rsid w:val="009A0728"/>
    <w:rsid w:val="009A1721"/>
    <w:rsid w:val="009A17BE"/>
    <w:rsid w:val="009A1B03"/>
    <w:rsid w:val="009A278F"/>
    <w:rsid w:val="009A2885"/>
    <w:rsid w:val="009A2BF6"/>
    <w:rsid w:val="009A4439"/>
    <w:rsid w:val="009A4F95"/>
    <w:rsid w:val="009A4FF6"/>
    <w:rsid w:val="009A535D"/>
    <w:rsid w:val="009A61B0"/>
    <w:rsid w:val="009A79A7"/>
    <w:rsid w:val="009A7A15"/>
    <w:rsid w:val="009B0693"/>
    <w:rsid w:val="009B12AE"/>
    <w:rsid w:val="009B1327"/>
    <w:rsid w:val="009B1587"/>
    <w:rsid w:val="009B1779"/>
    <w:rsid w:val="009B1D12"/>
    <w:rsid w:val="009B295C"/>
    <w:rsid w:val="009B4102"/>
    <w:rsid w:val="009B4D32"/>
    <w:rsid w:val="009B5993"/>
    <w:rsid w:val="009B67FA"/>
    <w:rsid w:val="009B76D3"/>
    <w:rsid w:val="009B7CC8"/>
    <w:rsid w:val="009B7DE1"/>
    <w:rsid w:val="009B7F91"/>
    <w:rsid w:val="009C09CD"/>
    <w:rsid w:val="009C1805"/>
    <w:rsid w:val="009C18F5"/>
    <w:rsid w:val="009C2424"/>
    <w:rsid w:val="009C261F"/>
    <w:rsid w:val="009C26ED"/>
    <w:rsid w:val="009C3885"/>
    <w:rsid w:val="009C3AAA"/>
    <w:rsid w:val="009C52EA"/>
    <w:rsid w:val="009C55F7"/>
    <w:rsid w:val="009C576B"/>
    <w:rsid w:val="009C5797"/>
    <w:rsid w:val="009C614B"/>
    <w:rsid w:val="009C639E"/>
    <w:rsid w:val="009C63EA"/>
    <w:rsid w:val="009C6C42"/>
    <w:rsid w:val="009C7EEC"/>
    <w:rsid w:val="009D0251"/>
    <w:rsid w:val="009D08A8"/>
    <w:rsid w:val="009D0BB0"/>
    <w:rsid w:val="009D0DC5"/>
    <w:rsid w:val="009D1695"/>
    <w:rsid w:val="009D19B6"/>
    <w:rsid w:val="009D1E34"/>
    <w:rsid w:val="009D20C7"/>
    <w:rsid w:val="009D2CE5"/>
    <w:rsid w:val="009D3191"/>
    <w:rsid w:val="009D33ED"/>
    <w:rsid w:val="009D44D6"/>
    <w:rsid w:val="009D459E"/>
    <w:rsid w:val="009D4CB9"/>
    <w:rsid w:val="009D513B"/>
    <w:rsid w:val="009D53E9"/>
    <w:rsid w:val="009D63BF"/>
    <w:rsid w:val="009D675C"/>
    <w:rsid w:val="009D6B72"/>
    <w:rsid w:val="009D6E9B"/>
    <w:rsid w:val="009D7308"/>
    <w:rsid w:val="009E0EFC"/>
    <w:rsid w:val="009E10E5"/>
    <w:rsid w:val="009E12DD"/>
    <w:rsid w:val="009E21F3"/>
    <w:rsid w:val="009E2602"/>
    <w:rsid w:val="009E302C"/>
    <w:rsid w:val="009E3684"/>
    <w:rsid w:val="009E375B"/>
    <w:rsid w:val="009E3F01"/>
    <w:rsid w:val="009E4704"/>
    <w:rsid w:val="009E47B1"/>
    <w:rsid w:val="009E5182"/>
    <w:rsid w:val="009E5F1D"/>
    <w:rsid w:val="009E6154"/>
    <w:rsid w:val="009E6A6A"/>
    <w:rsid w:val="009F06ED"/>
    <w:rsid w:val="009F1A82"/>
    <w:rsid w:val="009F2063"/>
    <w:rsid w:val="009F2DEF"/>
    <w:rsid w:val="009F2EE4"/>
    <w:rsid w:val="009F3246"/>
    <w:rsid w:val="009F3315"/>
    <w:rsid w:val="009F3606"/>
    <w:rsid w:val="009F3ED0"/>
    <w:rsid w:val="009F4DC8"/>
    <w:rsid w:val="009F56F8"/>
    <w:rsid w:val="009F5A5E"/>
    <w:rsid w:val="009F64A7"/>
    <w:rsid w:val="009F64D0"/>
    <w:rsid w:val="009F68D7"/>
    <w:rsid w:val="009F69D1"/>
    <w:rsid w:val="009F6A9D"/>
    <w:rsid w:val="009F72E5"/>
    <w:rsid w:val="009F72E7"/>
    <w:rsid w:val="009F75B4"/>
    <w:rsid w:val="009F76DB"/>
    <w:rsid w:val="009F7FDA"/>
    <w:rsid w:val="00A00317"/>
    <w:rsid w:val="00A00558"/>
    <w:rsid w:val="00A00D93"/>
    <w:rsid w:val="00A011A2"/>
    <w:rsid w:val="00A012F7"/>
    <w:rsid w:val="00A019D8"/>
    <w:rsid w:val="00A0224F"/>
    <w:rsid w:val="00A02958"/>
    <w:rsid w:val="00A02C2B"/>
    <w:rsid w:val="00A02EFA"/>
    <w:rsid w:val="00A03067"/>
    <w:rsid w:val="00A045F0"/>
    <w:rsid w:val="00A04B5E"/>
    <w:rsid w:val="00A04B9E"/>
    <w:rsid w:val="00A04EAC"/>
    <w:rsid w:val="00A05491"/>
    <w:rsid w:val="00A06D3B"/>
    <w:rsid w:val="00A07A41"/>
    <w:rsid w:val="00A07E3D"/>
    <w:rsid w:val="00A101A5"/>
    <w:rsid w:val="00A102EB"/>
    <w:rsid w:val="00A1067A"/>
    <w:rsid w:val="00A1094F"/>
    <w:rsid w:val="00A10971"/>
    <w:rsid w:val="00A1177A"/>
    <w:rsid w:val="00A118FE"/>
    <w:rsid w:val="00A11B1A"/>
    <w:rsid w:val="00A11B21"/>
    <w:rsid w:val="00A122D0"/>
    <w:rsid w:val="00A12784"/>
    <w:rsid w:val="00A13D77"/>
    <w:rsid w:val="00A14270"/>
    <w:rsid w:val="00A1460B"/>
    <w:rsid w:val="00A14778"/>
    <w:rsid w:val="00A14849"/>
    <w:rsid w:val="00A1527B"/>
    <w:rsid w:val="00A15693"/>
    <w:rsid w:val="00A16D1E"/>
    <w:rsid w:val="00A1714D"/>
    <w:rsid w:val="00A17669"/>
    <w:rsid w:val="00A176EB"/>
    <w:rsid w:val="00A17CBF"/>
    <w:rsid w:val="00A17E38"/>
    <w:rsid w:val="00A20298"/>
    <w:rsid w:val="00A21123"/>
    <w:rsid w:val="00A21506"/>
    <w:rsid w:val="00A22851"/>
    <w:rsid w:val="00A22F14"/>
    <w:rsid w:val="00A23375"/>
    <w:rsid w:val="00A2393E"/>
    <w:rsid w:val="00A23C45"/>
    <w:rsid w:val="00A24BFF"/>
    <w:rsid w:val="00A24E65"/>
    <w:rsid w:val="00A2539F"/>
    <w:rsid w:val="00A25515"/>
    <w:rsid w:val="00A25785"/>
    <w:rsid w:val="00A257D0"/>
    <w:rsid w:val="00A269AC"/>
    <w:rsid w:val="00A26CAA"/>
    <w:rsid w:val="00A27811"/>
    <w:rsid w:val="00A2793E"/>
    <w:rsid w:val="00A27BB7"/>
    <w:rsid w:val="00A27E50"/>
    <w:rsid w:val="00A30108"/>
    <w:rsid w:val="00A30384"/>
    <w:rsid w:val="00A30B4D"/>
    <w:rsid w:val="00A30BC3"/>
    <w:rsid w:val="00A3131C"/>
    <w:rsid w:val="00A314DE"/>
    <w:rsid w:val="00A3152B"/>
    <w:rsid w:val="00A32059"/>
    <w:rsid w:val="00A323C1"/>
    <w:rsid w:val="00A324C3"/>
    <w:rsid w:val="00A32B63"/>
    <w:rsid w:val="00A32C3B"/>
    <w:rsid w:val="00A33986"/>
    <w:rsid w:val="00A33FE6"/>
    <w:rsid w:val="00A34BE7"/>
    <w:rsid w:val="00A35249"/>
    <w:rsid w:val="00A35FAA"/>
    <w:rsid w:val="00A364B0"/>
    <w:rsid w:val="00A36F58"/>
    <w:rsid w:val="00A372D9"/>
    <w:rsid w:val="00A377B2"/>
    <w:rsid w:val="00A37CF0"/>
    <w:rsid w:val="00A40A23"/>
    <w:rsid w:val="00A40ACB"/>
    <w:rsid w:val="00A40B10"/>
    <w:rsid w:val="00A40C54"/>
    <w:rsid w:val="00A40C6B"/>
    <w:rsid w:val="00A41203"/>
    <w:rsid w:val="00A41243"/>
    <w:rsid w:val="00A4158A"/>
    <w:rsid w:val="00A41E32"/>
    <w:rsid w:val="00A4229A"/>
    <w:rsid w:val="00A42722"/>
    <w:rsid w:val="00A42767"/>
    <w:rsid w:val="00A42775"/>
    <w:rsid w:val="00A43236"/>
    <w:rsid w:val="00A441C6"/>
    <w:rsid w:val="00A4423D"/>
    <w:rsid w:val="00A442C5"/>
    <w:rsid w:val="00A44674"/>
    <w:rsid w:val="00A44CF5"/>
    <w:rsid w:val="00A44DFD"/>
    <w:rsid w:val="00A4504F"/>
    <w:rsid w:val="00A45484"/>
    <w:rsid w:val="00A45AF3"/>
    <w:rsid w:val="00A45F4F"/>
    <w:rsid w:val="00A47651"/>
    <w:rsid w:val="00A47B8D"/>
    <w:rsid w:val="00A47C71"/>
    <w:rsid w:val="00A47DD2"/>
    <w:rsid w:val="00A505AC"/>
    <w:rsid w:val="00A51656"/>
    <w:rsid w:val="00A51840"/>
    <w:rsid w:val="00A51A86"/>
    <w:rsid w:val="00A51AD1"/>
    <w:rsid w:val="00A5220D"/>
    <w:rsid w:val="00A5310A"/>
    <w:rsid w:val="00A532AE"/>
    <w:rsid w:val="00A536C1"/>
    <w:rsid w:val="00A53EB0"/>
    <w:rsid w:val="00A549D1"/>
    <w:rsid w:val="00A54DF4"/>
    <w:rsid w:val="00A55275"/>
    <w:rsid w:val="00A55489"/>
    <w:rsid w:val="00A55945"/>
    <w:rsid w:val="00A56BFC"/>
    <w:rsid w:val="00A574BD"/>
    <w:rsid w:val="00A5756F"/>
    <w:rsid w:val="00A5798D"/>
    <w:rsid w:val="00A57E1B"/>
    <w:rsid w:val="00A600A9"/>
    <w:rsid w:val="00A6038C"/>
    <w:rsid w:val="00A60B83"/>
    <w:rsid w:val="00A60FAD"/>
    <w:rsid w:val="00A61233"/>
    <w:rsid w:val="00A613B9"/>
    <w:rsid w:val="00A61563"/>
    <w:rsid w:val="00A6199E"/>
    <w:rsid w:val="00A61CC6"/>
    <w:rsid w:val="00A61E03"/>
    <w:rsid w:val="00A62065"/>
    <w:rsid w:val="00A62EFE"/>
    <w:rsid w:val="00A63257"/>
    <w:rsid w:val="00A6394A"/>
    <w:rsid w:val="00A64569"/>
    <w:rsid w:val="00A646F3"/>
    <w:rsid w:val="00A64DD4"/>
    <w:rsid w:val="00A6506E"/>
    <w:rsid w:val="00A66086"/>
    <w:rsid w:val="00A66892"/>
    <w:rsid w:val="00A66BA7"/>
    <w:rsid w:val="00A66F07"/>
    <w:rsid w:val="00A6714D"/>
    <w:rsid w:val="00A6734C"/>
    <w:rsid w:val="00A67D6C"/>
    <w:rsid w:val="00A702EA"/>
    <w:rsid w:val="00A70A27"/>
    <w:rsid w:val="00A71D3A"/>
    <w:rsid w:val="00A71D3B"/>
    <w:rsid w:val="00A725DB"/>
    <w:rsid w:val="00A72C28"/>
    <w:rsid w:val="00A72DC5"/>
    <w:rsid w:val="00A7318A"/>
    <w:rsid w:val="00A73BDB"/>
    <w:rsid w:val="00A73C6F"/>
    <w:rsid w:val="00A73E2C"/>
    <w:rsid w:val="00A749AC"/>
    <w:rsid w:val="00A75C1C"/>
    <w:rsid w:val="00A76099"/>
    <w:rsid w:val="00A762CA"/>
    <w:rsid w:val="00A76BAF"/>
    <w:rsid w:val="00A76C4A"/>
    <w:rsid w:val="00A77625"/>
    <w:rsid w:val="00A77904"/>
    <w:rsid w:val="00A779F1"/>
    <w:rsid w:val="00A80871"/>
    <w:rsid w:val="00A809C6"/>
    <w:rsid w:val="00A80B20"/>
    <w:rsid w:val="00A80F4E"/>
    <w:rsid w:val="00A80F8D"/>
    <w:rsid w:val="00A812FA"/>
    <w:rsid w:val="00A81715"/>
    <w:rsid w:val="00A8226C"/>
    <w:rsid w:val="00A82679"/>
    <w:rsid w:val="00A82940"/>
    <w:rsid w:val="00A82AB3"/>
    <w:rsid w:val="00A82C39"/>
    <w:rsid w:val="00A82C6B"/>
    <w:rsid w:val="00A82FE2"/>
    <w:rsid w:val="00A831E9"/>
    <w:rsid w:val="00A83272"/>
    <w:rsid w:val="00A839C4"/>
    <w:rsid w:val="00A83D01"/>
    <w:rsid w:val="00A8435F"/>
    <w:rsid w:val="00A8441F"/>
    <w:rsid w:val="00A848AD"/>
    <w:rsid w:val="00A849D9"/>
    <w:rsid w:val="00A850FB"/>
    <w:rsid w:val="00A85CBA"/>
    <w:rsid w:val="00A85D0B"/>
    <w:rsid w:val="00A86250"/>
    <w:rsid w:val="00A86257"/>
    <w:rsid w:val="00A864B3"/>
    <w:rsid w:val="00A86939"/>
    <w:rsid w:val="00A86959"/>
    <w:rsid w:val="00A86985"/>
    <w:rsid w:val="00A86A79"/>
    <w:rsid w:val="00A8795E"/>
    <w:rsid w:val="00A87A86"/>
    <w:rsid w:val="00A87C67"/>
    <w:rsid w:val="00A90397"/>
    <w:rsid w:val="00A908F3"/>
    <w:rsid w:val="00A90C7D"/>
    <w:rsid w:val="00A90DA3"/>
    <w:rsid w:val="00A90DE9"/>
    <w:rsid w:val="00A91A04"/>
    <w:rsid w:val="00A92951"/>
    <w:rsid w:val="00A92F93"/>
    <w:rsid w:val="00A9347F"/>
    <w:rsid w:val="00A942D7"/>
    <w:rsid w:val="00A956D0"/>
    <w:rsid w:val="00A959F5"/>
    <w:rsid w:val="00A969CB"/>
    <w:rsid w:val="00A97804"/>
    <w:rsid w:val="00A97D56"/>
    <w:rsid w:val="00AA0458"/>
    <w:rsid w:val="00AA05AA"/>
    <w:rsid w:val="00AA07A0"/>
    <w:rsid w:val="00AA0ED2"/>
    <w:rsid w:val="00AA1783"/>
    <w:rsid w:val="00AA2199"/>
    <w:rsid w:val="00AA24DF"/>
    <w:rsid w:val="00AA2A1A"/>
    <w:rsid w:val="00AA2F30"/>
    <w:rsid w:val="00AA338B"/>
    <w:rsid w:val="00AA37D7"/>
    <w:rsid w:val="00AA4AF8"/>
    <w:rsid w:val="00AA4DC6"/>
    <w:rsid w:val="00AA4E6A"/>
    <w:rsid w:val="00AA54EE"/>
    <w:rsid w:val="00AA55B7"/>
    <w:rsid w:val="00AA5B9E"/>
    <w:rsid w:val="00AA5F11"/>
    <w:rsid w:val="00AA62C0"/>
    <w:rsid w:val="00AA6EA1"/>
    <w:rsid w:val="00AA6F03"/>
    <w:rsid w:val="00AA70E8"/>
    <w:rsid w:val="00AA7762"/>
    <w:rsid w:val="00AB0352"/>
    <w:rsid w:val="00AB061C"/>
    <w:rsid w:val="00AB065C"/>
    <w:rsid w:val="00AB13B3"/>
    <w:rsid w:val="00AB1586"/>
    <w:rsid w:val="00AB1616"/>
    <w:rsid w:val="00AB18D8"/>
    <w:rsid w:val="00AB1C8C"/>
    <w:rsid w:val="00AB1CA5"/>
    <w:rsid w:val="00AB1F05"/>
    <w:rsid w:val="00AB2407"/>
    <w:rsid w:val="00AB2555"/>
    <w:rsid w:val="00AB27A6"/>
    <w:rsid w:val="00AB310B"/>
    <w:rsid w:val="00AB3176"/>
    <w:rsid w:val="00AB3E63"/>
    <w:rsid w:val="00AB4AD0"/>
    <w:rsid w:val="00AB500A"/>
    <w:rsid w:val="00AB53DF"/>
    <w:rsid w:val="00AB554E"/>
    <w:rsid w:val="00AB5643"/>
    <w:rsid w:val="00AB5774"/>
    <w:rsid w:val="00AB5A2F"/>
    <w:rsid w:val="00AB5D94"/>
    <w:rsid w:val="00AB5E4B"/>
    <w:rsid w:val="00AB5E6A"/>
    <w:rsid w:val="00AB5FA6"/>
    <w:rsid w:val="00AB69DD"/>
    <w:rsid w:val="00AB6BE9"/>
    <w:rsid w:val="00AB6EBD"/>
    <w:rsid w:val="00AB6F4B"/>
    <w:rsid w:val="00AC0A3B"/>
    <w:rsid w:val="00AC127C"/>
    <w:rsid w:val="00AC1313"/>
    <w:rsid w:val="00AC1C8D"/>
    <w:rsid w:val="00AC1F9E"/>
    <w:rsid w:val="00AC35F8"/>
    <w:rsid w:val="00AC3644"/>
    <w:rsid w:val="00AC36BD"/>
    <w:rsid w:val="00AC391D"/>
    <w:rsid w:val="00AC3C5E"/>
    <w:rsid w:val="00AC3C73"/>
    <w:rsid w:val="00AC422E"/>
    <w:rsid w:val="00AC434B"/>
    <w:rsid w:val="00AC52A0"/>
    <w:rsid w:val="00AD0DD2"/>
    <w:rsid w:val="00AD1D08"/>
    <w:rsid w:val="00AD210B"/>
    <w:rsid w:val="00AD24A9"/>
    <w:rsid w:val="00AD25AA"/>
    <w:rsid w:val="00AD2CE6"/>
    <w:rsid w:val="00AD2F1D"/>
    <w:rsid w:val="00AD37E0"/>
    <w:rsid w:val="00AD3ACE"/>
    <w:rsid w:val="00AD4441"/>
    <w:rsid w:val="00AD470C"/>
    <w:rsid w:val="00AD4823"/>
    <w:rsid w:val="00AD4A40"/>
    <w:rsid w:val="00AD52D1"/>
    <w:rsid w:val="00AD5FF0"/>
    <w:rsid w:val="00AD6225"/>
    <w:rsid w:val="00AD651C"/>
    <w:rsid w:val="00AD6A41"/>
    <w:rsid w:val="00AD7135"/>
    <w:rsid w:val="00AD740C"/>
    <w:rsid w:val="00AD74FF"/>
    <w:rsid w:val="00AD793C"/>
    <w:rsid w:val="00AD7A65"/>
    <w:rsid w:val="00AD7B18"/>
    <w:rsid w:val="00AE093D"/>
    <w:rsid w:val="00AE1997"/>
    <w:rsid w:val="00AE2737"/>
    <w:rsid w:val="00AE28E6"/>
    <w:rsid w:val="00AE2E60"/>
    <w:rsid w:val="00AE40AF"/>
    <w:rsid w:val="00AE4703"/>
    <w:rsid w:val="00AE4C36"/>
    <w:rsid w:val="00AE585E"/>
    <w:rsid w:val="00AE6410"/>
    <w:rsid w:val="00AE6647"/>
    <w:rsid w:val="00AE742E"/>
    <w:rsid w:val="00AE766B"/>
    <w:rsid w:val="00AE79A4"/>
    <w:rsid w:val="00AE79DB"/>
    <w:rsid w:val="00AE7C6E"/>
    <w:rsid w:val="00AF0213"/>
    <w:rsid w:val="00AF03FD"/>
    <w:rsid w:val="00AF0952"/>
    <w:rsid w:val="00AF0AD8"/>
    <w:rsid w:val="00AF0FF2"/>
    <w:rsid w:val="00AF134B"/>
    <w:rsid w:val="00AF157E"/>
    <w:rsid w:val="00AF1959"/>
    <w:rsid w:val="00AF1CC6"/>
    <w:rsid w:val="00AF2771"/>
    <w:rsid w:val="00AF27BD"/>
    <w:rsid w:val="00AF290C"/>
    <w:rsid w:val="00AF2F93"/>
    <w:rsid w:val="00AF31F3"/>
    <w:rsid w:val="00AF32E6"/>
    <w:rsid w:val="00AF34C7"/>
    <w:rsid w:val="00AF3BF9"/>
    <w:rsid w:val="00AF3CB8"/>
    <w:rsid w:val="00AF430E"/>
    <w:rsid w:val="00AF494E"/>
    <w:rsid w:val="00AF5837"/>
    <w:rsid w:val="00AF6E43"/>
    <w:rsid w:val="00AF7F2D"/>
    <w:rsid w:val="00AF7FD9"/>
    <w:rsid w:val="00B003FC"/>
    <w:rsid w:val="00B0065D"/>
    <w:rsid w:val="00B00BB6"/>
    <w:rsid w:val="00B00D57"/>
    <w:rsid w:val="00B01818"/>
    <w:rsid w:val="00B01CBB"/>
    <w:rsid w:val="00B01FA3"/>
    <w:rsid w:val="00B02032"/>
    <w:rsid w:val="00B02153"/>
    <w:rsid w:val="00B028F5"/>
    <w:rsid w:val="00B02947"/>
    <w:rsid w:val="00B0305B"/>
    <w:rsid w:val="00B03465"/>
    <w:rsid w:val="00B03A27"/>
    <w:rsid w:val="00B03A48"/>
    <w:rsid w:val="00B03BBF"/>
    <w:rsid w:val="00B03F1C"/>
    <w:rsid w:val="00B04021"/>
    <w:rsid w:val="00B04A0B"/>
    <w:rsid w:val="00B0552A"/>
    <w:rsid w:val="00B05638"/>
    <w:rsid w:val="00B05B74"/>
    <w:rsid w:val="00B05BBE"/>
    <w:rsid w:val="00B05C3B"/>
    <w:rsid w:val="00B06394"/>
    <w:rsid w:val="00B06512"/>
    <w:rsid w:val="00B06C73"/>
    <w:rsid w:val="00B071E2"/>
    <w:rsid w:val="00B073F8"/>
    <w:rsid w:val="00B07A78"/>
    <w:rsid w:val="00B07E5C"/>
    <w:rsid w:val="00B10F3C"/>
    <w:rsid w:val="00B11148"/>
    <w:rsid w:val="00B11338"/>
    <w:rsid w:val="00B1187D"/>
    <w:rsid w:val="00B12865"/>
    <w:rsid w:val="00B12952"/>
    <w:rsid w:val="00B129C5"/>
    <w:rsid w:val="00B12DCA"/>
    <w:rsid w:val="00B13F0C"/>
    <w:rsid w:val="00B145CC"/>
    <w:rsid w:val="00B1484B"/>
    <w:rsid w:val="00B14D7C"/>
    <w:rsid w:val="00B14E21"/>
    <w:rsid w:val="00B15A9D"/>
    <w:rsid w:val="00B15C84"/>
    <w:rsid w:val="00B16385"/>
    <w:rsid w:val="00B16E08"/>
    <w:rsid w:val="00B171C6"/>
    <w:rsid w:val="00B17447"/>
    <w:rsid w:val="00B17E0C"/>
    <w:rsid w:val="00B17E9B"/>
    <w:rsid w:val="00B202B2"/>
    <w:rsid w:val="00B208FE"/>
    <w:rsid w:val="00B20C2B"/>
    <w:rsid w:val="00B20C48"/>
    <w:rsid w:val="00B20E73"/>
    <w:rsid w:val="00B20FC0"/>
    <w:rsid w:val="00B211F3"/>
    <w:rsid w:val="00B2129E"/>
    <w:rsid w:val="00B213E1"/>
    <w:rsid w:val="00B2162C"/>
    <w:rsid w:val="00B2175D"/>
    <w:rsid w:val="00B22214"/>
    <w:rsid w:val="00B228E4"/>
    <w:rsid w:val="00B2346F"/>
    <w:rsid w:val="00B23631"/>
    <w:rsid w:val="00B23639"/>
    <w:rsid w:val="00B23BEC"/>
    <w:rsid w:val="00B24079"/>
    <w:rsid w:val="00B24427"/>
    <w:rsid w:val="00B2487F"/>
    <w:rsid w:val="00B24BB5"/>
    <w:rsid w:val="00B24CCC"/>
    <w:rsid w:val="00B2526F"/>
    <w:rsid w:val="00B25630"/>
    <w:rsid w:val="00B25B89"/>
    <w:rsid w:val="00B25E88"/>
    <w:rsid w:val="00B26DF2"/>
    <w:rsid w:val="00B273EB"/>
    <w:rsid w:val="00B27E50"/>
    <w:rsid w:val="00B30AAB"/>
    <w:rsid w:val="00B30B45"/>
    <w:rsid w:val="00B30B4B"/>
    <w:rsid w:val="00B30EBC"/>
    <w:rsid w:val="00B31B06"/>
    <w:rsid w:val="00B320CC"/>
    <w:rsid w:val="00B32C4E"/>
    <w:rsid w:val="00B3316B"/>
    <w:rsid w:val="00B3344D"/>
    <w:rsid w:val="00B33683"/>
    <w:rsid w:val="00B34313"/>
    <w:rsid w:val="00B34856"/>
    <w:rsid w:val="00B34976"/>
    <w:rsid w:val="00B34D88"/>
    <w:rsid w:val="00B34F26"/>
    <w:rsid w:val="00B355A6"/>
    <w:rsid w:val="00B358CA"/>
    <w:rsid w:val="00B35BF4"/>
    <w:rsid w:val="00B36408"/>
    <w:rsid w:val="00B3646C"/>
    <w:rsid w:val="00B36F7A"/>
    <w:rsid w:val="00B3709C"/>
    <w:rsid w:val="00B408A2"/>
    <w:rsid w:val="00B4093B"/>
    <w:rsid w:val="00B40DC0"/>
    <w:rsid w:val="00B413C7"/>
    <w:rsid w:val="00B416A1"/>
    <w:rsid w:val="00B41B01"/>
    <w:rsid w:val="00B42869"/>
    <w:rsid w:val="00B429B9"/>
    <w:rsid w:val="00B42D68"/>
    <w:rsid w:val="00B42F3B"/>
    <w:rsid w:val="00B43798"/>
    <w:rsid w:val="00B43872"/>
    <w:rsid w:val="00B43D63"/>
    <w:rsid w:val="00B442FC"/>
    <w:rsid w:val="00B445BE"/>
    <w:rsid w:val="00B4471A"/>
    <w:rsid w:val="00B4475C"/>
    <w:rsid w:val="00B44AAD"/>
    <w:rsid w:val="00B451FD"/>
    <w:rsid w:val="00B4578A"/>
    <w:rsid w:val="00B458EA"/>
    <w:rsid w:val="00B4592F"/>
    <w:rsid w:val="00B45B3C"/>
    <w:rsid w:val="00B45BC7"/>
    <w:rsid w:val="00B46802"/>
    <w:rsid w:val="00B46A9A"/>
    <w:rsid w:val="00B46CCD"/>
    <w:rsid w:val="00B46DC4"/>
    <w:rsid w:val="00B47CD7"/>
    <w:rsid w:val="00B47D33"/>
    <w:rsid w:val="00B47FF7"/>
    <w:rsid w:val="00B505C4"/>
    <w:rsid w:val="00B5090E"/>
    <w:rsid w:val="00B50D66"/>
    <w:rsid w:val="00B512A4"/>
    <w:rsid w:val="00B5200D"/>
    <w:rsid w:val="00B52590"/>
    <w:rsid w:val="00B5261B"/>
    <w:rsid w:val="00B52647"/>
    <w:rsid w:val="00B52D3A"/>
    <w:rsid w:val="00B536E4"/>
    <w:rsid w:val="00B53A2C"/>
    <w:rsid w:val="00B53B61"/>
    <w:rsid w:val="00B53EE3"/>
    <w:rsid w:val="00B53F50"/>
    <w:rsid w:val="00B55391"/>
    <w:rsid w:val="00B5602E"/>
    <w:rsid w:val="00B56717"/>
    <w:rsid w:val="00B57012"/>
    <w:rsid w:val="00B570D2"/>
    <w:rsid w:val="00B57288"/>
    <w:rsid w:val="00B57ADD"/>
    <w:rsid w:val="00B57E07"/>
    <w:rsid w:val="00B6013F"/>
    <w:rsid w:val="00B61FA6"/>
    <w:rsid w:val="00B62964"/>
    <w:rsid w:val="00B62E60"/>
    <w:rsid w:val="00B6413A"/>
    <w:rsid w:val="00B64627"/>
    <w:rsid w:val="00B647EB"/>
    <w:rsid w:val="00B64B96"/>
    <w:rsid w:val="00B64B9B"/>
    <w:rsid w:val="00B64F44"/>
    <w:rsid w:val="00B655D6"/>
    <w:rsid w:val="00B65C2B"/>
    <w:rsid w:val="00B65E26"/>
    <w:rsid w:val="00B669B5"/>
    <w:rsid w:val="00B66EBD"/>
    <w:rsid w:val="00B678D7"/>
    <w:rsid w:val="00B67978"/>
    <w:rsid w:val="00B700E5"/>
    <w:rsid w:val="00B70E00"/>
    <w:rsid w:val="00B71189"/>
    <w:rsid w:val="00B71840"/>
    <w:rsid w:val="00B71BA7"/>
    <w:rsid w:val="00B71DB5"/>
    <w:rsid w:val="00B724C4"/>
    <w:rsid w:val="00B72765"/>
    <w:rsid w:val="00B727C3"/>
    <w:rsid w:val="00B733C7"/>
    <w:rsid w:val="00B738BD"/>
    <w:rsid w:val="00B73E6E"/>
    <w:rsid w:val="00B74B08"/>
    <w:rsid w:val="00B75454"/>
    <w:rsid w:val="00B75F24"/>
    <w:rsid w:val="00B75F56"/>
    <w:rsid w:val="00B76051"/>
    <w:rsid w:val="00B767E4"/>
    <w:rsid w:val="00B76939"/>
    <w:rsid w:val="00B76C6C"/>
    <w:rsid w:val="00B76CB0"/>
    <w:rsid w:val="00B77DF6"/>
    <w:rsid w:val="00B80EF1"/>
    <w:rsid w:val="00B8104D"/>
    <w:rsid w:val="00B811F7"/>
    <w:rsid w:val="00B81599"/>
    <w:rsid w:val="00B81D04"/>
    <w:rsid w:val="00B8262C"/>
    <w:rsid w:val="00B82E40"/>
    <w:rsid w:val="00B839AF"/>
    <w:rsid w:val="00B8429F"/>
    <w:rsid w:val="00B842BF"/>
    <w:rsid w:val="00B84CAF"/>
    <w:rsid w:val="00B84DE6"/>
    <w:rsid w:val="00B85289"/>
    <w:rsid w:val="00B855D1"/>
    <w:rsid w:val="00B86856"/>
    <w:rsid w:val="00B86ACF"/>
    <w:rsid w:val="00B86CB5"/>
    <w:rsid w:val="00B86E2B"/>
    <w:rsid w:val="00B86E4E"/>
    <w:rsid w:val="00B878EB"/>
    <w:rsid w:val="00B87AD1"/>
    <w:rsid w:val="00B902A7"/>
    <w:rsid w:val="00B908FE"/>
    <w:rsid w:val="00B91153"/>
    <w:rsid w:val="00B91F6F"/>
    <w:rsid w:val="00B92AE6"/>
    <w:rsid w:val="00B92D55"/>
    <w:rsid w:val="00B9347D"/>
    <w:rsid w:val="00B93CC5"/>
    <w:rsid w:val="00B9465F"/>
    <w:rsid w:val="00B946FE"/>
    <w:rsid w:val="00B94CA9"/>
    <w:rsid w:val="00B950D4"/>
    <w:rsid w:val="00B95480"/>
    <w:rsid w:val="00B9550C"/>
    <w:rsid w:val="00B95625"/>
    <w:rsid w:val="00B9672A"/>
    <w:rsid w:val="00B96932"/>
    <w:rsid w:val="00B96B7F"/>
    <w:rsid w:val="00B96DFA"/>
    <w:rsid w:val="00B96FBC"/>
    <w:rsid w:val="00B970CA"/>
    <w:rsid w:val="00B97813"/>
    <w:rsid w:val="00B9786E"/>
    <w:rsid w:val="00B978A8"/>
    <w:rsid w:val="00B97F35"/>
    <w:rsid w:val="00BA05A3"/>
    <w:rsid w:val="00BA0E90"/>
    <w:rsid w:val="00BA1D32"/>
    <w:rsid w:val="00BA1DEB"/>
    <w:rsid w:val="00BA1ECF"/>
    <w:rsid w:val="00BA244D"/>
    <w:rsid w:val="00BA26D7"/>
    <w:rsid w:val="00BA2A6D"/>
    <w:rsid w:val="00BA2E58"/>
    <w:rsid w:val="00BA37FE"/>
    <w:rsid w:val="00BA385E"/>
    <w:rsid w:val="00BA3DB3"/>
    <w:rsid w:val="00BA50C2"/>
    <w:rsid w:val="00BA532D"/>
    <w:rsid w:val="00BA559D"/>
    <w:rsid w:val="00BA5DC6"/>
    <w:rsid w:val="00BA6196"/>
    <w:rsid w:val="00BA6359"/>
    <w:rsid w:val="00BA6900"/>
    <w:rsid w:val="00BA7C0B"/>
    <w:rsid w:val="00BB0159"/>
    <w:rsid w:val="00BB036F"/>
    <w:rsid w:val="00BB0776"/>
    <w:rsid w:val="00BB0829"/>
    <w:rsid w:val="00BB1773"/>
    <w:rsid w:val="00BB1A7D"/>
    <w:rsid w:val="00BB270C"/>
    <w:rsid w:val="00BB390A"/>
    <w:rsid w:val="00BB3BEF"/>
    <w:rsid w:val="00BB3DE9"/>
    <w:rsid w:val="00BB42A9"/>
    <w:rsid w:val="00BB4358"/>
    <w:rsid w:val="00BB466B"/>
    <w:rsid w:val="00BB46A0"/>
    <w:rsid w:val="00BB47CB"/>
    <w:rsid w:val="00BB499B"/>
    <w:rsid w:val="00BB4A92"/>
    <w:rsid w:val="00BB4BB1"/>
    <w:rsid w:val="00BB562A"/>
    <w:rsid w:val="00BB586D"/>
    <w:rsid w:val="00BB5D7C"/>
    <w:rsid w:val="00BB6D63"/>
    <w:rsid w:val="00BB6FFD"/>
    <w:rsid w:val="00BC0430"/>
    <w:rsid w:val="00BC05D8"/>
    <w:rsid w:val="00BC0D7C"/>
    <w:rsid w:val="00BC0E95"/>
    <w:rsid w:val="00BC1E56"/>
    <w:rsid w:val="00BC222F"/>
    <w:rsid w:val="00BC2449"/>
    <w:rsid w:val="00BC24FE"/>
    <w:rsid w:val="00BC2D66"/>
    <w:rsid w:val="00BC2FA3"/>
    <w:rsid w:val="00BC34CA"/>
    <w:rsid w:val="00BC42F5"/>
    <w:rsid w:val="00BC43BD"/>
    <w:rsid w:val="00BC4D0B"/>
    <w:rsid w:val="00BC57A9"/>
    <w:rsid w:val="00BC58D0"/>
    <w:rsid w:val="00BC6335"/>
    <w:rsid w:val="00BC64D5"/>
    <w:rsid w:val="00BC6789"/>
    <w:rsid w:val="00BC69D0"/>
    <w:rsid w:val="00BC6D8C"/>
    <w:rsid w:val="00BC7F02"/>
    <w:rsid w:val="00BC7FA3"/>
    <w:rsid w:val="00BD023B"/>
    <w:rsid w:val="00BD0F7B"/>
    <w:rsid w:val="00BD0FA8"/>
    <w:rsid w:val="00BD106F"/>
    <w:rsid w:val="00BD110E"/>
    <w:rsid w:val="00BD1278"/>
    <w:rsid w:val="00BD24FE"/>
    <w:rsid w:val="00BD2865"/>
    <w:rsid w:val="00BD292D"/>
    <w:rsid w:val="00BD2E5F"/>
    <w:rsid w:val="00BD4490"/>
    <w:rsid w:val="00BD49ED"/>
    <w:rsid w:val="00BD4B32"/>
    <w:rsid w:val="00BD4DE1"/>
    <w:rsid w:val="00BD5156"/>
    <w:rsid w:val="00BD5308"/>
    <w:rsid w:val="00BD5B20"/>
    <w:rsid w:val="00BD5BA9"/>
    <w:rsid w:val="00BD665E"/>
    <w:rsid w:val="00BD767E"/>
    <w:rsid w:val="00BD781D"/>
    <w:rsid w:val="00BD7DA9"/>
    <w:rsid w:val="00BE03A5"/>
    <w:rsid w:val="00BE0411"/>
    <w:rsid w:val="00BE178D"/>
    <w:rsid w:val="00BE20F7"/>
    <w:rsid w:val="00BE284D"/>
    <w:rsid w:val="00BE28AC"/>
    <w:rsid w:val="00BE292F"/>
    <w:rsid w:val="00BE2F9E"/>
    <w:rsid w:val="00BE3371"/>
    <w:rsid w:val="00BE4030"/>
    <w:rsid w:val="00BE472D"/>
    <w:rsid w:val="00BE478A"/>
    <w:rsid w:val="00BE4925"/>
    <w:rsid w:val="00BE4A25"/>
    <w:rsid w:val="00BE4D1A"/>
    <w:rsid w:val="00BE7D15"/>
    <w:rsid w:val="00BF0238"/>
    <w:rsid w:val="00BF0957"/>
    <w:rsid w:val="00BF0A54"/>
    <w:rsid w:val="00BF1781"/>
    <w:rsid w:val="00BF185B"/>
    <w:rsid w:val="00BF280C"/>
    <w:rsid w:val="00BF2B2F"/>
    <w:rsid w:val="00BF2C2B"/>
    <w:rsid w:val="00BF2E4E"/>
    <w:rsid w:val="00BF34DD"/>
    <w:rsid w:val="00BF37BD"/>
    <w:rsid w:val="00BF3BCC"/>
    <w:rsid w:val="00BF3BE3"/>
    <w:rsid w:val="00BF3E28"/>
    <w:rsid w:val="00BF466B"/>
    <w:rsid w:val="00BF473B"/>
    <w:rsid w:val="00BF5A22"/>
    <w:rsid w:val="00BF67F1"/>
    <w:rsid w:val="00BF6CD3"/>
    <w:rsid w:val="00BF6DB2"/>
    <w:rsid w:val="00BF7333"/>
    <w:rsid w:val="00BF7D78"/>
    <w:rsid w:val="00C003D4"/>
    <w:rsid w:val="00C00974"/>
    <w:rsid w:val="00C015BD"/>
    <w:rsid w:val="00C01DCD"/>
    <w:rsid w:val="00C02191"/>
    <w:rsid w:val="00C026DE"/>
    <w:rsid w:val="00C03B66"/>
    <w:rsid w:val="00C04469"/>
    <w:rsid w:val="00C046E1"/>
    <w:rsid w:val="00C0546B"/>
    <w:rsid w:val="00C056E2"/>
    <w:rsid w:val="00C057EE"/>
    <w:rsid w:val="00C063B9"/>
    <w:rsid w:val="00C0676A"/>
    <w:rsid w:val="00C06AFC"/>
    <w:rsid w:val="00C06EAF"/>
    <w:rsid w:val="00C076BA"/>
    <w:rsid w:val="00C07A56"/>
    <w:rsid w:val="00C07D97"/>
    <w:rsid w:val="00C10A5C"/>
    <w:rsid w:val="00C11250"/>
    <w:rsid w:val="00C11934"/>
    <w:rsid w:val="00C11A5F"/>
    <w:rsid w:val="00C11BCB"/>
    <w:rsid w:val="00C11D89"/>
    <w:rsid w:val="00C1306A"/>
    <w:rsid w:val="00C14174"/>
    <w:rsid w:val="00C14685"/>
    <w:rsid w:val="00C14746"/>
    <w:rsid w:val="00C14971"/>
    <w:rsid w:val="00C15144"/>
    <w:rsid w:val="00C15B09"/>
    <w:rsid w:val="00C16288"/>
    <w:rsid w:val="00C163A5"/>
    <w:rsid w:val="00C1647F"/>
    <w:rsid w:val="00C167D2"/>
    <w:rsid w:val="00C16838"/>
    <w:rsid w:val="00C16988"/>
    <w:rsid w:val="00C16BDA"/>
    <w:rsid w:val="00C16C53"/>
    <w:rsid w:val="00C16CF4"/>
    <w:rsid w:val="00C16DE9"/>
    <w:rsid w:val="00C172C0"/>
    <w:rsid w:val="00C17518"/>
    <w:rsid w:val="00C17E31"/>
    <w:rsid w:val="00C20245"/>
    <w:rsid w:val="00C20765"/>
    <w:rsid w:val="00C20C62"/>
    <w:rsid w:val="00C20D26"/>
    <w:rsid w:val="00C216E2"/>
    <w:rsid w:val="00C21772"/>
    <w:rsid w:val="00C21ABE"/>
    <w:rsid w:val="00C21EBC"/>
    <w:rsid w:val="00C22146"/>
    <w:rsid w:val="00C22666"/>
    <w:rsid w:val="00C2273E"/>
    <w:rsid w:val="00C22BD1"/>
    <w:rsid w:val="00C23B31"/>
    <w:rsid w:val="00C23E5B"/>
    <w:rsid w:val="00C24504"/>
    <w:rsid w:val="00C245D3"/>
    <w:rsid w:val="00C24BEB"/>
    <w:rsid w:val="00C24DD3"/>
    <w:rsid w:val="00C24EF1"/>
    <w:rsid w:val="00C24F5C"/>
    <w:rsid w:val="00C24FCB"/>
    <w:rsid w:val="00C25184"/>
    <w:rsid w:val="00C26446"/>
    <w:rsid w:val="00C267C7"/>
    <w:rsid w:val="00C26C50"/>
    <w:rsid w:val="00C30EF8"/>
    <w:rsid w:val="00C31106"/>
    <w:rsid w:val="00C31954"/>
    <w:rsid w:val="00C327E6"/>
    <w:rsid w:val="00C33217"/>
    <w:rsid w:val="00C333D5"/>
    <w:rsid w:val="00C33BD4"/>
    <w:rsid w:val="00C33C48"/>
    <w:rsid w:val="00C34006"/>
    <w:rsid w:val="00C342F4"/>
    <w:rsid w:val="00C3439C"/>
    <w:rsid w:val="00C35A29"/>
    <w:rsid w:val="00C35BF2"/>
    <w:rsid w:val="00C3640B"/>
    <w:rsid w:val="00C364D2"/>
    <w:rsid w:val="00C36939"/>
    <w:rsid w:val="00C36B4C"/>
    <w:rsid w:val="00C36F17"/>
    <w:rsid w:val="00C37AE4"/>
    <w:rsid w:val="00C40AC2"/>
    <w:rsid w:val="00C40CCC"/>
    <w:rsid w:val="00C426B1"/>
    <w:rsid w:val="00C427FD"/>
    <w:rsid w:val="00C42887"/>
    <w:rsid w:val="00C42AD3"/>
    <w:rsid w:val="00C42CD5"/>
    <w:rsid w:val="00C42EF6"/>
    <w:rsid w:val="00C43070"/>
    <w:rsid w:val="00C433E6"/>
    <w:rsid w:val="00C43980"/>
    <w:rsid w:val="00C45571"/>
    <w:rsid w:val="00C45D78"/>
    <w:rsid w:val="00C46067"/>
    <w:rsid w:val="00C460FA"/>
    <w:rsid w:val="00C461AC"/>
    <w:rsid w:val="00C463C7"/>
    <w:rsid w:val="00C46EC9"/>
    <w:rsid w:val="00C47157"/>
    <w:rsid w:val="00C471B5"/>
    <w:rsid w:val="00C472BD"/>
    <w:rsid w:val="00C479E8"/>
    <w:rsid w:val="00C50458"/>
    <w:rsid w:val="00C50A28"/>
    <w:rsid w:val="00C515F6"/>
    <w:rsid w:val="00C51E17"/>
    <w:rsid w:val="00C5219F"/>
    <w:rsid w:val="00C52866"/>
    <w:rsid w:val="00C528F7"/>
    <w:rsid w:val="00C53EC5"/>
    <w:rsid w:val="00C548F9"/>
    <w:rsid w:val="00C54B1D"/>
    <w:rsid w:val="00C5558B"/>
    <w:rsid w:val="00C55DAA"/>
    <w:rsid w:val="00C565DC"/>
    <w:rsid w:val="00C56C95"/>
    <w:rsid w:val="00C56F4A"/>
    <w:rsid w:val="00C57785"/>
    <w:rsid w:val="00C577E5"/>
    <w:rsid w:val="00C57BB5"/>
    <w:rsid w:val="00C57DC2"/>
    <w:rsid w:val="00C601BA"/>
    <w:rsid w:val="00C60429"/>
    <w:rsid w:val="00C60B28"/>
    <w:rsid w:val="00C60E92"/>
    <w:rsid w:val="00C61482"/>
    <w:rsid w:val="00C6169C"/>
    <w:rsid w:val="00C61AA0"/>
    <w:rsid w:val="00C61EAB"/>
    <w:rsid w:val="00C62D63"/>
    <w:rsid w:val="00C641F0"/>
    <w:rsid w:val="00C648DD"/>
    <w:rsid w:val="00C654ED"/>
    <w:rsid w:val="00C65BE4"/>
    <w:rsid w:val="00C66160"/>
    <w:rsid w:val="00C663C7"/>
    <w:rsid w:val="00C666B8"/>
    <w:rsid w:val="00C667DF"/>
    <w:rsid w:val="00C66EFA"/>
    <w:rsid w:val="00C67421"/>
    <w:rsid w:val="00C679F4"/>
    <w:rsid w:val="00C67D38"/>
    <w:rsid w:val="00C7002E"/>
    <w:rsid w:val="00C70205"/>
    <w:rsid w:val="00C7099B"/>
    <w:rsid w:val="00C709FB"/>
    <w:rsid w:val="00C70F12"/>
    <w:rsid w:val="00C71100"/>
    <w:rsid w:val="00C714A1"/>
    <w:rsid w:val="00C716F2"/>
    <w:rsid w:val="00C71B71"/>
    <w:rsid w:val="00C72014"/>
    <w:rsid w:val="00C721AC"/>
    <w:rsid w:val="00C721CE"/>
    <w:rsid w:val="00C724C8"/>
    <w:rsid w:val="00C72610"/>
    <w:rsid w:val="00C72BD2"/>
    <w:rsid w:val="00C74A41"/>
    <w:rsid w:val="00C74ACB"/>
    <w:rsid w:val="00C74D4A"/>
    <w:rsid w:val="00C74E08"/>
    <w:rsid w:val="00C7514D"/>
    <w:rsid w:val="00C75576"/>
    <w:rsid w:val="00C75E51"/>
    <w:rsid w:val="00C75FBD"/>
    <w:rsid w:val="00C76284"/>
    <w:rsid w:val="00C768F7"/>
    <w:rsid w:val="00C7722A"/>
    <w:rsid w:val="00C775B5"/>
    <w:rsid w:val="00C778DD"/>
    <w:rsid w:val="00C77B92"/>
    <w:rsid w:val="00C77CEB"/>
    <w:rsid w:val="00C8028D"/>
    <w:rsid w:val="00C803F2"/>
    <w:rsid w:val="00C8044D"/>
    <w:rsid w:val="00C81390"/>
    <w:rsid w:val="00C815C0"/>
    <w:rsid w:val="00C8255D"/>
    <w:rsid w:val="00C82D6B"/>
    <w:rsid w:val="00C82FC9"/>
    <w:rsid w:val="00C83C4A"/>
    <w:rsid w:val="00C84280"/>
    <w:rsid w:val="00C84590"/>
    <w:rsid w:val="00C847D4"/>
    <w:rsid w:val="00C850FA"/>
    <w:rsid w:val="00C85ABE"/>
    <w:rsid w:val="00C85E66"/>
    <w:rsid w:val="00C85E9D"/>
    <w:rsid w:val="00C86509"/>
    <w:rsid w:val="00C87013"/>
    <w:rsid w:val="00C87FD7"/>
    <w:rsid w:val="00C90339"/>
    <w:rsid w:val="00C90457"/>
    <w:rsid w:val="00C9088D"/>
    <w:rsid w:val="00C90D6A"/>
    <w:rsid w:val="00C9189B"/>
    <w:rsid w:val="00C91C0B"/>
    <w:rsid w:val="00C927C2"/>
    <w:rsid w:val="00C92A6A"/>
    <w:rsid w:val="00C93154"/>
    <w:rsid w:val="00C93DE0"/>
    <w:rsid w:val="00C94361"/>
    <w:rsid w:val="00C947DC"/>
    <w:rsid w:val="00C9538C"/>
    <w:rsid w:val="00C95830"/>
    <w:rsid w:val="00C95DFE"/>
    <w:rsid w:val="00C96109"/>
    <w:rsid w:val="00C96844"/>
    <w:rsid w:val="00C97432"/>
    <w:rsid w:val="00CA00AF"/>
    <w:rsid w:val="00CA04EB"/>
    <w:rsid w:val="00CA068B"/>
    <w:rsid w:val="00CA0751"/>
    <w:rsid w:val="00CA0CA4"/>
    <w:rsid w:val="00CA0D0D"/>
    <w:rsid w:val="00CA1149"/>
    <w:rsid w:val="00CA1E2C"/>
    <w:rsid w:val="00CA2008"/>
    <w:rsid w:val="00CA2461"/>
    <w:rsid w:val="00CA247E"/>
    <w:rsid w:val="00CA2949"/>
    <w:rsid w:val="00CA323B"/>
    <w:rsid w:val="00CA3610"/>
    <w:rsid w:val="00CA37D6"/>
    <w:rsid w:val="00CA38EB"/>
    <w:rsid w:val="00CA48B8"/>
    <w:rsid w:val="00CA5122"/>
    <w:rsid w:val="00CA54B3"/>
    <w:rsid w:val="00CA6783"/>
    <w:rsid w:val="00CA684B"/>
    <w:rsid w:val="00CA6C1C"/>
    <w:rsid w:val="00CA6CE7"/>
    <w:rsid w:val="00CA6D21"/>
    <w:rsid w:val="00CA700F"/>
    <w:rsid w:val="00CB1B85"/>
    <w:rsid w:val="00CB1BE5"/>
    <w:rsid w:val="00CB1FF6"/>
    <w:rsid w:val="00CB2611"/>
    <w:rsid w:val="00CB31D5"/>
    <w:rsid w:val="00CB386A"/>
    <w:rsid w:val="00CB418F"/>
    <w:rsid w:val="00CB4E6B"/>
    <w:rsid w:val="00CB5121"/>
    <w:rsid w:val="00CB5154"/>
    <w:rsid w:val="00CB56C4"/>
    <w:rsid w:val="00CB625B"/>
    <w:rsid w:val="00CB68B3"/>
    <w:rsid w:val="00CB6D21"/>
    <w:rsid w:val="00CB6D66"/>
    <w:rsid w:val="00CB6E0E"/>
    <w:rsid w:val="00CC0802"/>
    <w:rsid w:val="00CC083E"/>
    <w:rsid w:val="00CC0B52"/>
    <w:rsid w:val="00CC16BF"/>
    <w:rsid w:val="00CC1878"/>
    <w:rsid w:val="00CC2F12"/>
    <w:rsid w:val="00CC3AB9"/>
    <w:rsid w:val="00CC3DA3"/>
    <w:rsid w:val="00CC42EF"/>
    <w:rsid w:val="00CC468C"/>
    <w:rsid w:val="00CC4A7E"/>
    <w:rsid w:val="00CC5108"/>
    <w:rsid w:val="00CC5317"/>
    <w:rsid w:val="00CC56E3"/>
    <w:rsid w:val="00CC5725"/>
    <w:rsid w:val="00CC5A2D"/>
    <w:rsid w:val="00CC5CD7"/>
    <w:rsid w:val="00CC5DB2"/>
    <w:rsid w:val="00CC6053"/>
    <w:rsid w:val="00CC6615"/>
    <w:rsid w:val="00CC6B86"/>
    <w:rsid w:val="00CC6DA2"/>
    <w:rsid w:val="00CC72B6"/>
    <w:rsid w:val="00CC7855"/>
    <w:rsid w:val="00CC7ED9"/>
    <w:rsid w:val="00CD0758"/>
    <w:rsid w:val="00CD07DA"/>
    <w:rsid w:val="00CD0921"/>
    <w:rsid w:val="00CD0AB2"/>
    <w:rsid w:val="00CD0E90"/>
    <w:rsid w:val="00CD16E0"/>
    <w:rsid w:val="00CD1762"/>
    <w:rsid w:val="00CD18A8"/>
    <w:rsid w:val="00CD191F"/>
    <w:rsid w:val="00CD1AEE"/>
    <w:rsid w:val="00CD1C61"/>
    <w:rsid w:val="00CD1C7A"/>
    <w:rsid w:val="00CD263A"/>
    <w:rsid w:val="00CD2A2F"/>
    <w:rsid w:val="00CD2B72"/>
    <w:rsid w:val="00CD2B79"/>
    <w:rsid w:val="00CD387A"/>
    <w:rsid w:val="00CD3E84"/>
    <w:rsid w:val="00CD4BC6"/>
    <w:rsid w:val="00CD5DE8"/>
    <w:rsid w:val="00CD5FBB"/>
    <w:rsid w:val="00CD6CC9"/>
    <w:rsid w:val="00CD7276"/>
    <w:rsid w:val="00CE076C"/>
    <w:rsid w:val="00CE0A7F"/>
    <w:rsid w:val="00CE0E8F"/>
    <w:rsid w:val="00CE1248"/>
    <w:rsid w:val="00CE1550"/>
    <w:rsid w:val="00CE1A75"/>
    <w:rsid w:val="00CE1A9E"/>
    <w:rsid w:val="00CE1BFD"/>
    <w:rsid w:val="00CE28B4"/>
    <w:rsid w:val="00CE2CE5"/>
    <w:rsid w:val="00CE319D"/>
    <w:rsid w:val="00CE380E"/>
    <w:rsid w:val="00CE3A3F"/>
    <w:rsid w:val="00CE41F7"/>
    <w:rsid w:val="00CE47B0"/>
    <w:rsid w:val="00CE49A2"/>
    <w:rsid w:val="00CE4CAF"/>
    <w:rsid w:val="00CE4D49"/>
    <w:rsid w:val="00CE4F6B"/>
    <w:rsid w:val="00CE55E7"/>
    <w:rsid w:val="00CE5A19"/>
    <w:rsid w:val="00CE5C43"/>
    <w:rsid w:val="00CE5C68"/>
    <w:rsid w:val="00CE773C"/>
    <w:rsid w:val="00CE7AAB"/>
    <w:rsid w:val="00CF041D"/>
    <w:rsid w:val="00CF0606"/>
    <w:rsid w:val="00CF11C9"/>
    <w:rsid w:val="00CF205F"/>
    <w:rsid w:val="00CF2B89"/>
    <w:rsid w:val="00CF30EF"/>
    <w:rsid w:val="00CF36BE"/>
    <w:rsid w:val="00CF36DF"/>
    <w:rsid w:val="00CF3702"/>
    <w:rsid w:val="00CF3996"/>
    <w:rsid w:val="00CF3AA0"/>
    <w:rsid w:val="00CF3B30"/>
    <w:rsid w:val="00CF41E6"/>
    <w:rsid w:val="00CF4A42"/>
    <w:rsid w:val="00CF506E"/>
    <w:rsid w:val="00CF562C"/>
    <w:rsid w:val="00CF581B"/>
    <w:rsid w:val="00CF6443"/>
    <w:rsid w:val="00CF6E85"/>
    <w:rsid w:val="00CF6EF4"/>
    <w:rsid w:val="00CF702B"/>
    <w:rsid w:val="00CF7BDC"/>
    <w:rsid w:val="00CF7FD8"/>
    <w:rsid w:val="00D004FD"/>
    <w:rsid w:val="00D00EFB"/>
    <w:rsid w:val="00D00FCA"/>
    <w:rsid w:val="00D0101B"/>
    <w:rsid w:val="00D011E0"/>
    <w:rsid w:val="00D0122A"/>
    <w:rsid w:val="00D0198A"/>
    <w:rsid w:val="00D01B2C"/>
    <w:rsid w:val="00D0218D"/>
    <w:rsid w:val="00D026BA"/>
    <w:rsid w:val="00D03731"/>
    <w:rsid w:val="00D03E5B"/>
    <w:rsid w:val="00D052CB"/>
    <w:rsid w:val="00D0560D"/>
    <w:rsid w:val="00D05D48"/>
    <w:rsid w:val="00D060A0"/>
    <w:rsid w:val="00D061D5"/>
    <w:rsid w:val="00D06D41"/>
    <w:rsid w:val="00D07B96"/>
    <w:rsid w:val="00D1061D"/>
    <w:rsid w:val="00D10AF1"/>
    <w:rsid w:val="00D10E77"/>
    <w:rsid w:val="00D112E0"/>
    <w:rsid w:val="00D115EA"/>
    <w:rsid w:val="00D11D9C"/>
    <w:rsid w:val="00D1203B"/>
    <w:rsid w:val="00D120A2"/>
    <w:rsid w:val="00D12325"/>
    <w:rsid w:val="00D12497"/>
    <w:rsid w:val="00D12538"/>
    <w:rsid w:val="00D12CEA"/>
    <w:rsid w:val="00D13A13"/>
    <w:rsid w:val="00D143B6"/>
    <w:rsid w:val="00D16667"/>
    <w:rsid w:val="00D169E4"/>
    <w:rsid w:val="00D16F7A"/>
    <w:rsid w:val="00D172C4"/>
    <w:rsid w:val="00D17533"/>
    <w:rsid w:val="00D17642"/>
    <w:rsid w:val="00D1779D"/>
    <w:rsid w:val="00D2043D"/>
    <w:rsid w:val="00D206C4"/>
    <w:rsid w:val="00D21306"/>
    <w:rsid w:val="00D21840"/>
    <w:rsid w:val="00D21FD9"/>
    <w:rsid w:val="00D221BD"/>
    <w:rsid w:val="00D229C8"/>
    <w:rsid w:val="00D22DB5"/>
    <w:rsid w:val="00D2350A"/>
    <w:rsid w:val="00D2443D"/>
    <w:rsid w:val="00D245D3"/>
    <w:rsid w:val="00D246C5"/>
    <w:rsid w:val="00D24904"/>
    <w:rsid w:val="00D24EB9"/>
    <w:rsid w:val="00D24FA9"/>
    <w:rsid w:val="00D25B63"/>
    <w:rsid w:val="00D25BA5"/>
    <w:rsid w:val="00D25F54"/>
    <w:rsid w:val="00D25FB5"/>
    <w:rsid w:val="00D2621E"/>
    <w:rsid w:val="00D2622A"/>
    <w:rsid w:val="00D2634C"/>
    <w:rsid w:val="00D26EE1"/>
    <w:rsid w:val="00D27176"/>
    <w:rsid w:val="00D2726B"/>
    <w:rsid w:val="00D274B4"/>
    <w:rsid w:val="00D30372"/>
    <w:rsid w:val="00D30779"/>
    <w:rsid w:val="00D30D7B"/>
    <w:rsid w:val="00D31156"/>
    <w:rsid w:val="00D31A07"/>
    <w:rsid w:val="00D31EA0"/>
    <w:rsid w:val="00D31F0C"/>
    <w:rsid w:val="00D32374"/>
    <w:rsid w:val="00D32B0A"/>
    <w:rsid w:val="00D33CD4"/>
    <w:rsid w:val="00D33E18"/>
    <w:rsid w:val="00D33F1D"/>
    <w:rsid w:val="00D34543"/>
    <w:rsid w:val="00D348C6"/>
    <w:rsid w:val="00D34D61"/>
    <w:rsid w:val="00D358A8"/>
    <w:rsid w:val="00D3623E"/>
    <w:rsid w:val="00D362F5"/>
    <w:rsid w:val="00D36DF6"/>
    <w:rsid w:val="00D378C2"/>
    <w:rsid w:val="00D37F13"/>
    <w:rsid w:val="00D40273"/>
    <w:rsid w:val="00D40760"/>
    <w:rsid w:val="00D40D69"/>
    <w:rsid w:val="00D41217"/>
    <w:rsid w:val="00D42A6E"/>
    <w:rsid w:val="00D432F7"/>
    <w:rsid w:val="00D433CD"/>
    <w:rsid w:val="00D434F2"/>
    <w:rsid w:val="00D44223"/>
    <w:rsid w:val="00D4470D"/>
    <w:rsid w:val="00D449E0"/>
    <w:rsid w:val="00D44DD8"/>
    <w:rsid w:val="00D454C6"/>
    <w:rsid w:val="00D458EB"/>
    <w:rsid w:val="00D476F5"/>
    <w:rsid w:val="00D4792D"/>
    <w:rsid w:val="00D47C70"/>
    <w:rsid w:val="00D504D6"/>
    <w:rsid w:val="00D50548"/>
    <w:rsid w:val="00D50586"/>
    <w:rsid w:val="00D50D71"/>
    <w:rsid w:val="00D50E32"/>
    <w:rsid w:val="00D510F1"/>
    <w:rsid w:val="00D51586"/>
    <w:rsid w:val="00D51A99"/>
    <w:rsid w:val="00D52468"/>
    <w:rsid w:val="00D52773"/>
    <w:rsid w:val="00D527E6"/>
    <w:rsid w:val="00D52899"/>
    <w:rsid w:val="00D53428"/>
    <w:rsid w:val="00D535F4"/>
    <w:rsid w:val="00D53D16"/>
    <w:rsid w:val="00D54191"/>
    <w:rsid w:val="00D546B5"/>
    <w:rsid w:val="00D546FA"/>
    <w:rsid w:val="00D54A34"/>
    <w:rsid w:val="00D54DAF"/>
    <w:rsid w:val="00D5527C"/>
    <w:rsid w:val="00D5561C"/>
    <w:rsid w:val="00D559F4"/>
    <w:rsid w:val="00D55DD6"/>
    <w:rsid w:val="00D55F3A"/>
    <w:rsid w:val="00D563B2"/>
    <w:rsid w:val="00D5780E"/>
    <w:rsid w:val="00D579BE"/>
    <w:rsid w:val="00D611CD"/>
    <w:rsid w:val="00D613F9"/>
    <w:rsid w:val="00D61636"/>
    <w:rsid w:val="00D616AD"/>
    <w:rsid w:val="00D61990"/>
    <w:rsid w:val="00D61E0A"/>
    <w:rsid w:val="00D63E6F"/>
    <w:rsid w:val="00D646AF"/>
    <w:rsid w:val="00D648A0"/>
    <w:rsid w:val="00D651E8"/>
    <w:rsid w:val="00D6532F"/>
    <w:rsid w:val="00D65574"/>
    <w:rsid w:val="00D660B8"/>
    <w:rsid w:val="00D66890"/>
    <w:rsid w:val="00D66B27"/>
    <w:rsid w:val="00D6730A"/>
    <w:rsid w:val="00D70042"/>
    <w:rsid w:val="00D70CC0"/>
    <w:rsid w:val="00D71407"/>
    <w:rsid w:val="00D71B92"/>
    <w:rsid w:val="00D71E84"/>
    <w:rsid w:val="00D7208A"/>
    <w:rsid w:val="00D72283"/>
    <w:rsid w:val="00D7244B"/>
    <w:rsid w:val="00D725C7"/>
    <w:rsid w:val="00D728F2"/>
    <w:rsid w:val="00D72D35"/>
    <w:rsid w:val="00D72E2C"/>
    <w:rsid w:val="00D732F7"/>
    <w:rsid w:val="00D73527"/>
    <w:rsid w:val="00D73D50"/>
    <w:rsid w:val="00D74234"/>
    <w:rsid w:val="00D74B39"/>
    <w:rsid w:val="00D74B4C"/>
    <w:rsid w:val="00D74CBF"/>
    <w:rsid w:val="00D758C0"/>
    <w:rsid w:val="00D76113"/>
    <w:rsid w:val="00D761EE"/>
    <w:rsid w:val="00D762D9"/>
    <w:rsid w:val="00D764DD"/>
    <w:rsid w:val="00D765D8"/>
    <w:rsid w:val="00D77374"/>
    <w:rsid w:val="00D7754C"/>
    <w:rsid w:val="00D77B39"/>
    <w:rsid w:val="00D77B8E"/>
    <w:rsid w:val="00D80518"/>
    <w:rsid w:val="00D807B2"/>
    <w:rsid w:val="00D80BC1"/>
    <w:rsid w:val="00D811A7"/>
    <w:rsid w:val="00D81495"/>
    <w:rsid w:val="00D81AA8"/>
    <w:rsid w:val="00D81D35"/>
    <w:rsid w:val="00D81DFA"/>
    <w:rsid w:val="00D826FA"/>
    <w:rsid w:val="00D82E81"/>
    <w:rsid w:val="00D8331E"/>
    <w:rsid w:val="00D8362C"/>
    <w:rsid w:val="00D83EFB"/>
    <w:rsid w:val="00D84259"/>
    <w:rsid w:val="00D8426C"/>
    <w:rsid w:val="00D84F22"/>
    <w:rsid w:val="00D850D9"/>
    <w:rsid w:val="00D85FAD"/>
    <w:rsid w:val="00D863EC"/>
    <w:rsid w:val="00D868DC"/>
    <w:rsid w:val="00D86936"/>
    <w:rsid w:val="00D87226"/>
    <w:rsid w:val="00D872B2"/>
    <w:rsid w:val="00D87737"/>
    <w:rsid w:val="00D87E00"/>
    <w:rsid w:val="00D87F66"/>
    <w:rsid w:val="00D87FE5"/>
    <w:rsid w:val="00D90089"/>
    <w:rsid w:val="00D9043D"/>
    <w:rsid w:val="00D9068C"/>
    <w:rsid w:val="00D90BAF"/>
    <w:rsid w:val="00D91269"/>
    <w:rsid w:val="00D91D6F"/>
    <w:rsid w:val="00D92239"/>
    <w:rsid w:val="00D92259"/>
    <w:rsid w:val="00D932E4"/>
    <w:rsid w:val="00D93397"/>
    <w:rsid w:val="00D936CB"/>
    <w:rsid w:val="00D93C36"/>
    <w:rsid w:val="00D93C52"/>
    <w:rsid w:val="00D93E62"/>
    <w:rsid w:val="00D93FDD"/>
    <w:rsid w:val="00D94420"/>
    <w:rsid w:val="00D94913"/>
    <w:rsid w:val="00D94A16"/>
    <w:rsid w:val="00D95FA6"/>
    <w:rsid w:val="00D964CB"/>
    <w:rsid w:val="00D96BA4"/>
    <w:rsid w:val="00D96F1E"/>
    <w:rsid w:val="00D97265"/>
    <w:rsid w:val="00D97EDC"/>
    <w:rsid w:val="00D97F76"/>
    <w:rsid w:val="00DA0033"/>
    <w:rsid w:val="00DA0294"/>
    <w:rsid w:val="00DA07B5"/>
    <w:rsid w:val="00DA11AF"/>
    <w:rsid w:val="00DA16FB"/>
    <w:rsid w:val="00DA232F"/>
    <w:rsid w:val="00DA2529"/>
    <w:rsid w:val="00DA26E6"/>
    <w:rsid w:val="00DA290C"/>
    <w:rsid w:val="00DA2F28"/>
    <w:rsid w:val="00DA30C6"/>
    <w:rsid w:val="00DA37B6"/>
    <w:rsid w:val="00DA384C"/>
    <w:rsid w:val="00DA3AAB"/>
    <w:rsid w:val="00DA4620"/>
    <w:rsid w:val="00DA49DF"/>
    <w:rsid w:val="00DA570B"/>
    <w:rsid w:val="00DA5C91"/>
    <w:rsid w:val="00DA641E"/>
    <w:rsid w:val="00DA6625"/>
    <w:rsid w:val="00DA7386"/>
    <w:rsid w:val="00DB0642"/>
    <w:rsid w:val="00DB130A"/>
    <w:rsid w:val="00DB1734"/>
    <w:rsid w:val="00DB1C33"/>
    <w:rsid w:val="00DB1C93"/>
    <w:rsid w:val="00DB20A8"/>
    <w:rsid w:val="00DB2D7F"/>
    <w:rsid w:val="00DB2EBB"/>
    <w:rsid w:val="00DB2F73"/>
    <w:rsid w:val="00DB3915"/>
    <w:rsid w:val="00DB39EE"/>
    <w:rsid w:val="00DB3D48"/>
    <w:rsid w:val="00DB3FF6"/>
    <w:rsid w:val="00DB43D8"/>
    <w:rsid w:val="00DB4ADA"/>
    <w:rsid w:val="00DB4F47"/>
    <w:rsid w:val="00DB522E"/>
    <w:rsid w:val="00DB5D51"/>
    <w:rsid w:val="00DB5E1D"/>
    <w:rsid w:val="00DB6867"/>
    <w:rsid w:val="00DB6911"/>
    <w:rsid w:val="00DB7426"/>
    <w:rsid w:val="00DB7728"/>
    <w:rsid w:val="00DB7D3C"/>
    <w:rsid w:val="00DB7D53"/>
    <w:rsid w:val="00DC03B8"/>
    <w:rsid w:val="00DC0858"/>
    <w:rsid w:val="00DC09F2"/>
    <w:rsid w:val="00DC1062"/>
    <w:rsid w:val="00DC10A1"/>
    <w:rsid w:val="00DC11DB"/>
    <w:rsid w:val="00DC1F7E"/>
    <w:rsid w:val="00DC1FC5"/>
    <w:rsid w:val="00DC2539"/>
    <w:rsid w:val="00DC26E0"/>
    <w:rsid w:val="00DC294E"/>
    <w:rsid w:val="00DC2AEF"/>
    <w:rsid w:val="00DC2B86"/>
    <w:rsid w:val="00DC2C88"/>
    <w:rsid w:val="00DC3681"/>
    <w:rsid w:val="00DC3BC7"/>
    <w:rsid w:val="00DC3F05"/>
    <w:rsid w:val="00DC4991"/>
    <w:rsid w:val="00DC4B50"/>
    <w:rsid w:val="00DC5B9E"/>
    <w:rsid w:val="00DC655F"/>
    <w:rsid w:val="00DC6AC4"/>
    <w:rsid w:val="00DC76DA"/>
    <w:rsid w:val="00DC77E2"/>
    <w:rsid w:val="00DD08A0"/>
    <w:rsid w:val="00DD0B59"/>
    <w:rsid w:val="00DD10E5"/>
    <w:rsid w:val="00DD1231"/>
    <w:rsid w:val="00DD1D79"/>
    <w:rsid w:val="00DD2241"/>
    <w:rsid w:val="00DD2521"/>
    <w:rsid w:val="00DD2803"/>
    <w:rsid w:val="00DD28D0"/>
    <w:rsid w:val="00DD2A32"/>
    <w:rsid w:val="00DD2B57"/>
    <w:rsid w:val="00DD2DE4"/>
    <w:rsid w:val="00DD3186"/>
    <w:rsid w:val="00DD3456"/>
    <w:rsid w:val="00DD38C2"/>
    <w:rsid w:val="00DD39AD"/>
    <w:rsid w:val="00DD3BE8"/>
    <w:rsid w:val="00DD4319"/>
    <w:rsid w:val="00DD46ED"/>
    <w:rsid w:val="00DD47F5"/>
    <w:rsid w:val="00DD4CBD"/>
    <w:rsid w:val="00DD4F73"/>
    <w:rsid w:val="00DD5029"/>
    <w:rsid w:val="00DD5064"/>
    <w:rsid w:val="00DD5786"/>
    <w:rsid w:val="00DD5BF6"/>
    <w:rsid w:val="00DD667D"/>
    <w:rsid w:val="00DD7845"/>
    <w:rsid w:val="00DD7D2F"/>
    <w:rsid w:val="00DD7EBD"/>
    <w:rsid w:val="00DE0889"/>
    <w:rsid w:val="00DE0AA3"/>
    <w:rsid w:val="00DE0E3D"/>
    <w:rsid w:val="00DE1A2E"/>
    <w:rsid w:val="00DE1CA5"/>
    <w:rsid w:val="00DE1DFD"/>
    <w:rsid w:val="00DE26D7"/>
    <w:rsid w:val="00DE2ED6"/>
    <w:rsid w:val="00DE2F00"/>
    <w:rsid w:val="00DE2FB3"/>
    <w:rsid w:val="00DE3154"/>
    <w:rsid w:val="00DE3E16"/>
    <w:rsid w:val="00DE439C"/>
    <w:rsid w:val="00DE4957"/>
    <w:rsid w:val="00DE5364"/>
    <w:rsid w:val="00DE559B"/>
    <w:rsid w:val="00DE5753"/>
    <w:rsid w:val="00DE6250"/>
    <w:rsid w:val="00DE662F"/>
    <w:rsid w:val="00DE6F41"/>
    <w:rsid w:val="00DF031F"/>
    <w:rsid w:val="00DF03B7"/>
    <w:rsid w:val="00DF05CB"/>
    <w:rsid w:val="00DF0C31"/>
    <w:rsid w:val="00DF0D82"/>
    <w:rsid w:val="00DF15DC"/>
    <w:rsid w:val="00DF2787"/>
    <w:rsid w:val="00DF2B0E"/>
    <w:rsid w:val="00DF2E99"/>
    <w:rsid w:val="00DF3135"/>
    <w:rsid w:val="00DF31A0"/>
    <w:rsid w:val="00DF32B2"/>
    <w:rsid w:val="00DF3622"/>
    <w:rsid w:val="00DF44B6"/>
    <w:rsid w:val="00DF4879"/>
    <w:rsid w:val="00DF577E"/>
    <w:rsid w:val="00DF59F6"/>
    <w:rsid w:val="00DF62B6"/>
    <w:rsid w:val="00DF63D6"/>
    <w:rsid w:val="00DF6905"/>
    <w:rsid w:val="00DF6BE1"/>
    <w:rsid w:val="00DF7001"/>
    <w:rsid w:val="00DF71B8"/>
    <w:rsid w:val="00E00C5F"/>
    <w:rsid w:val="00E00CC0"/>
    <w:rsid w:val="00E01E27"/>
    <w:rsid w:val="00E01F75"/>
    <w:rsid w:val="00E03911"/>
    <w:rsid w:val="00E03D7C"/>
    <w:rsid w:val="00E03E35"/>
    <w:rsid w:val="00E03F30"/>
    <w:rsid w:val="00E0468C"/>
    <w:rsid w:val="00E04897"/>
    <w:rsid w:val="00E04C30"/>
    <w:rsid w:val="00E04D4F"/>
    <w:rsid w:val="00E04F37"/>
    <w:rsid w:val="00E05024"/>
    <w:rsid w:val="00E05595"/>
    <w:rsid w:val="00E05992"/>
    <w:rsid w:val="00E05E60"/>
    <w:rsid w:val="00E05EDE"/>
    <w:rsid w:val="00E05F1F"/>
    <w:rsid w:val="00E0606B"/>
    <w:rsid w:val="00E0670A"/>
    <w:rsid w:val="00E06CE5"/>
    <w:rsid w:val="00E06ED0"/>
    <w:rsid w:val="00E07225"/>
    <w:rsid w:val="00E07364"/>
    <w:rsid w:val="00E1209B"/>
    <w:rsid w:val="00E12BC2"/>
    <w:rsid w:val="00E134E8"/>
    <w:rsid w:val="00E14979"/>
    <w:rsid w:val="00E149A0"/>
    <w:rsid w:val="00E151D9"/>
    <w:rsid w:val="00E15267"/>
    <w:rsid w:val="00E15567"/>
    <w:rsid w:val="00E157D6"/>
    <w:rsid w:val="00E169FE"/>
    <w:rsid w:val="00E17514"/>
    <w:rsid w:val="00E17991"/>
    <w:rsid w:val="00E17C13"/>
    <w:rsid w:val="00E20221"/>
    <w:rsid w:val="00E20420"/>
    <w:rsid w:val="00E207AB"/>
    <w:rsid w:val="00E207D5"/>
    <w:rsid w:val="00E20865"/>
    <w:rsid w:val="00E21446"/>
    <w:rsid w:val="00E214EE"/>
    <w:rsid w:val="00E219D0"/>
    <w:rsid w:val="00E21A65"/>
    <w:rsid w:val="00E21C0C"/>
    <w:rsid w:val="00E22210"/>
    <w:rsid w:val="00E222EB"/>
    <w:rsid w:val="00E234CC"/>
    <w:rsid w:val="00E2417C"/>
    <w:rsid w:val="00E24563"/>
    <w:rsid w:val="00E2475B"/>
    <w:rsid w:val="00E24D96"/>
    <w:rsid w:val="00E24EEB"/>
    <w:rsid w:val="00E250C8"/>
    <w:rsid w:val="00E260F7"/>
    <w:rsid w:val="00E2658A"/>
    <w:rsid w:val="00E272B2"/>
    <w:rsid w:val="00E27989"/>
    <w:rsid w:val="00E27CB7"/>
    <w:rsid w:val="00E305DF"/>
    <w:rsid w:val="00E308D1"/>
    <w:rsid w:val="00E30B7F"/>
    <w:rsid w:val="00E30F1B"/>
    <w:rsid w:val="00E31065"/>
    <w:rsid w:val="00E31B07"/>
    <w:rsid w:val="00E32B88"/>
    <w:rsid w:val="00E33470"/>
    <w:rsid w:val="00E3350E"/>
    <w:rsid w:val="00E33AE0"/>
    <w:rsid w:val="00E34079"/>
    <w:rsid w:val="00E3432F"/>
    <w:rsid w:val="00E362EA"/>
    <w:rsid w:val="00E373BA"/>
    <w:rsid w:val="00E40372"/>
    <w:rsid w:val="00E40C84"/>
    <w:rsid w:val="00E41645"/>
    <w:rsid w:val="00E42944"/>
    <w:rsid w:val="00E42EFE"/>
    <w:rsid w:val="00E43DBA"/>
    <w:rsid w:val="00E44697"/>
    <w:rsid w:val="00E446CB"/>
    <w:rsid w:val="00E452DB"/>
    <w:rsid w:val="00E46357"/>
    <w:rsid w:val="00E463AF"/>
    <w:rsid w:val="00E46ACA"/>
    <w:rsid w:val="00E46BE9"/>
    <w:rsid w:val="00E472F3"/>
    <w:rsid w:val="00E47AC9"/>
    <w:rsid w:val="00E47C32"/>
    <w:rsid w:val="00E47C35"/>
    <w:rsid w:val="00E47EB6"/>
    <w:rsid w:val="00E505A1"/>
    <w:rsid w:val="00E50D97"/>
    <w:rsid w:val="00E50F53"/>
    <w:rsid w:val="00E510A5"/>
    <w:rsid w:val="00E515F3"/>
    <w:rsid w:val="00E51F65"/>
    <w:rsid w:val="00E52178"/>
    <w:rsid w:val="00E52827"/>
    <w:rsid w:val="00E52B34"/>
    <w:rsid w:val="00E52C11"/>
    <w:rsid w:val="00E530BD"/>
    <w:rsid w:val="00E53898"/>
    <w:rsid w:val="00E53FB1"/>
    <w:rsid w:val="00E54037"/>
    <w:rsid w:val="00E5409F"/>
    <w:rsid w:val="00E5444F"/>
    <w:rsid w:val="00E54EE7"/>
    <w:rsid w:val="00E55354"/>
    <w:rsid w:val="00E5592B"/>
    <w:rsid w:val="00E55E21"/>
    <w:rsid w:val="00E565F7"/>
    <w:rsid w:val="00E56F5F"/>
    <w:rsid w:val="00E5730D"/>
    <w:rsid w:val="00E57793"/>
    <w:rsid w:val="00E5792A"/>
    <w:rsid w:val="00E602CE"/>
    <w:rsid w:val="00E6059E"/>
    <w:rsid w:val="00E60ACE"/>
    <w:rsid w:val="00E60DBD"/>
    <w:rsid w:val="00E6108A"/>
    <w:rsid w:val="00E61610"/>
    <w:rsid w:val="00E61740"/>
    <w:rsid w:val="00E619D2"/>
    <w:rsid w:val="00E61FBD"/>
    <w:rsid w:val="00E6217D"/>
    <w:rsid w:val="00E62464"/>
    <w:rsid w:val="00E6264F"/>
    <w:rsid w:val="00E62A99"/>
    <w:rsid w:val="00E62B5D"/>
    <w:rsid w:val="00E62E1B"/>
    <w:rsid w:val="00E63360"/>
    <w:rsid w:val="00E633ED"/>
    <w:rsid w:val="00E64DAB"/>
    <w:rsid w:val="00E64E47"/>
    <w:rsid w:val="00E65341"/>
    <w:rsid w:val="00E6581F"/>
    <w:rsid w:val="00E65A3E"/>
    <w:rsid w:val="00E674C6"/>
    <w:rsid w:val="00E67508"/>
    <w:rsid w:val="00E6763B"/>
    <w:rsid w:val="00E67706"/>
    <w:rsid w:val="00E70268"/>
    <w:rsid w:val="00E704CA"/>
    <w:rsid w:val="00E70B94"/>
    <w:rsid w:val="00E71308"/>
    <w:rsid w:val="00E7133E"/>
    <w:rsid w:val="00E71AF5"/>
    <w:rsid w:val="00E72063"/>
    <w:rsid w:val="00E72AB7"/>
    <w:rsid w:val="00E72E44"/>
    <w:rsid w:val="00E733DC"/>
    <w:rsid w:val="00E73448"/>
    <w:rsid w:val="00E734BC"/>
    <w:rsid w:val="00E7362F"/>
    <w:rsid w:val="00E736BF"/>
    <w:rsid w:val="00E738A8"/>
    <w:rsid w:val="00E73BB4"/>
    <w:rsid w:val="00E73BD1"/>
    <w:rsid w:val="00E74105"/>
    <w:rsid w:val="00E742C0"/>
    <w:rsid w:val="00E74393"/>
    <w:rsid w:val="00E744EE"/>
    <w:rsid w:val="00E74789"/>
    <w:rsid w:val="00E74840"/>
    <w:rsid w:val="00E7494C"/>
    <w:rsid w:val="00E754AE"/>
    <w:rsid w:val="00E75C5A"/>
    <w:rsid w:val="00E75EEB"/>
    <w:rsid w:val="00E7655D"/>
    <w:rsid w:val="00E76737"/>
    <w:rsid w:val="00E7676E"/>
    <w:rsid w:val="00E76EB9"/>
    <w:rsid w:val="00E775BD"/>
    <w:rsid w:val="00E77E03"/>
    <w:rsid w:val="00E8027A"/>
    <w:rsid w:val="00E8052C"/>
    <w:rsid w:val="00E805D5"/>
    <w:rsid w:val="00E80730"/>
    <w:rsid w:val="00E80B31"/>
    <w:rsid w:val="00E81035"/>
    <w:rsid w:val="00E81210"/>
    <w:rsid w:val="00E81441"/>
    <w:rsid w:val="00E8180A"/>
    <w:rsid w:val="00E81A96"/>
    <w:rsid w:val="00E81D37"/>
    <w:rsid w:val="00E828AF"/>
    <w:rsid w:val="00E83654"/>
    <w:rsid w:val="00E838A4"/>
    <w:rsid w:val="00E83AC0"/>
    <w:rsid w:val="00E842FF"/>
    <w:rsid w:val="00E848C3"/>
    <w:rsid w:val="00E8507C"/>
    <w:rsid w:val="00E8543D"/>
    <w:rsid w:val="00E858CC"/>
    <w:rsid w:val="00E85978"/>
    <w:rsid w:val="00E85C5D"/>
    <w:rsid w:val="00E8608B"/>
    <w:rsid w:val="00E87476"/>
    <w:rsid w:val="00E87830"/>
    <w:rsid w:val="00E9012F"/>
    <w:rsid w:val="00E910F5"/>
    <w:rsid w:val="00E91B47"/>
    <w:rsid w:val="00E92052"/>
    <w:rsid w:val="00E92713"/>
    <w:rsid w:val="00E929CB"/>
    <w:rsid w:val="00E929D9"/>
    <w:rsid w:val="00E9303F"/>
    <w:rsid w:val="00E931F7"/>
    <w:rsid w:val="00E93C3F"/>
    <w:rsid w:val="00E94AEA"/>
    <w:rsid w:val="00E94DAC"/>
    <w:rsid w:val="00E950F5"/>
    <w:rsid w:val="00E95A53"/>
    <w:rsid w:val="00E96F87"/>
    <w:rsid w:val="00E9719B"/>
    <w:rsid w:val="00E97689"/>
    <w:rsid w:val="00E97E81"/>
    <w:rsid w:val="00EA0759"/>
    <w:rsid w:val="00EA0BD8"/>
    <w:rsid w:val="00EA1160"/>
    <w:rsid w:val="00EA1470"/>
    <w:rsid w:val="00EA1DCB"/>
    <w:rsid w:val="00EA2070"/>
    <w:rsid w:val="00EA2A56"/>
    <w:rsid w:val="00EA2C3B"/>
    <w:rsid w:val="00EA3EC3"/>
    <w:rsid w:val="00EA406B"/>
    <w:rsid w:val="00EA4A7C"/>
    <w:rsid w:val="00EA4BBE"/>
    <w:rsid w:val="00EA57D7"/>
    <w:rsid w:val="00EA5827"/>
    <w:rsid w:val="00EA586B"/>
    <w:rsid w:val="00EA5BE6"/>
    <w:rsid w:val="00EA6CA0"/>
    <w:rsid w:val="00EA7047"/>
    <w:rsid w:val="00EA7100"/>
    <w:rsid w:val="00EA7147"/>
    <w:rsid w:val="00EA7781"/>
    <w:rsid w:val="00EA7859"/>
    <w:rsid w:val="00EA7DBB"/>
    <w:rsid w:val="00EB07EA"/>
    <w:rsid w:val="00EB0A6B"/>
    <w:rsid w:val="00EB0D6E"/>
    <w:rsid w:val="00EB0DAA"/>
    <w:rsid w:val="00EB1AB6"/>
    <w:rsid w:val="00EB2FA1"/>
    <w:rsid w:val="00EB324B"/>
    <w:rsid w:val="00EB3DC6"/>
    <w:rsid w:val="00EB4757"/>
    <w:rsid w:val="00EB5993"/>
    <w:rsid w:val="00EB5D64"/>
    <w:rsid w:val="00EB6693"/>
    <w:rsid w:val="00EB6710"/>
    <w:rsid w:val="00EB7263"/>
    <w:rsid w:val="00EB787B"/>
    <w:rsid w:val="00EB7BAA"/>
    <w:rsid w:val="00EB7E86"/>
    <w:rsid w:val="00EC0034"/>
    <w:rsid w:val="00EC05E5"/>
    <w:rsid w:val="00EC0E0A"/>
    <w:rsid w:val="00EC0F1E"/>
    <w:rsid w:val="00EC13A3"/>
    <w:rsid w:val="00EC2123"/>
    <w:rsid w:val="00EC2ACC"/>
    <w:rsid w:val="00EC2DAF"/>
    <w:rsid w:val="00EC344E"/>
    <w:rsid w:val="00EC34AC"/>
    <w:rsid w:val="00EC4273"/>
    <w:rsid w:val="00EC4D77"/>
    <w:rsid w:val="00EC4DD9"/>
    <w:rsid w:val="00EC4ED4"/>
    <w:rsid w:val="00EC59DE"/>
    <w:rsid w:val="00EC5B7B"/>
    <w:rsid w:val="00EC5BCE"/>
    <w:rsid w:val="00EC60C0"/>
    <w:rsid w:val="00EC6195"/>
    <w:rsid w:val="00EC65CD"/>
    <w:rsid w:val="00EC6656"/>
    <w:rsid w:val="00EC692D"/>
    <w:rsid w:val="00EC69D3"/>
    <w:rsid w:val="00EC7034"/>
    <w:rsid w:val="00EC714A"/>
    <w:rsid w:val="00EC72F5"/>
    <w:rsid w:val="00EC7DA2"/>
    <w:rsid w:val="00EC7EA5"/>
    <w:rsid w:val="00ED026E"/>
    <w:rsid w:val="00ED03E5"/>
    <w:rsid w:val="00ED057E"/>
    <w:rsid w:val="00ED0CA2"/>
    <w:rsid w:val="00ED2697"/>
    <w:rsid w:val="00ED273E"/>
    <w:rsid w:val="00ED2CFB"/>
    <w:rsid w:val="00ED2F11"/>
    <w:rsid w:val="00ED3328"/>
    <w:rsid w:val="00ED343B"/>
    <w:rsid w:val="00ED3D9A"/>
    <w:rsid w:val="00ED4629"/>
    <w:rsid w:val="00ED47EE"/>
    <w:rsid w:val="00ED49DE"/>
    <w:rsid w:val="00ED5E14"/>
    <w:rsid w:val="00ED602B"/>
    <w:rsid w:val="00ED6106"/>
    <w:rsid w:val="00ED617B"/>
    <w:rsid w:val="00ED6772"/>
    <w:rsid w:val="00ED6890"/>
    <w:rsid w:val="00ED6D8E"/>
    <w:rsid w:val="00ED6E14"/>
    <w:rsid w:val="00ED700E"/>
    <w:rsid w:val="00ED702C"/>
    <w:rsid w:val="00ED787C"/>
    <w:rsid w:val="00ED78D6"/>
    <w:rsid w:val="00ED7A0C"/>
    <w:rsid w:val="00ED7E12"/>
    <w:rsid w:val="00EE0984"/>
    <w:rsid w:val="00EE1E10"/>
    <w:rsid w:val="00EE2994"/>
    <w:rsid w:val="00EE39E8"/>
    <w:rsid w:val="00EE3C15"/>
    <w:rsid w:val="00EE40C4"/>
    <w:rsid w:val="00EE4162"/>
    <w:rsid w:val="00EE42A4"/>
    <w:rsid w:val="00EE435B"/>
    <w:rsid w:val="00EE4B49"/>
    <w:rsid w:val="00EE4D76"/>
    <w:rsid w:val="00EE502A"/>
    <w:rsid w:val="00EE5272"/>
    <w:rsid w:val="00EE5C6B"/>
    <w:rsid w:val="00EE5DE1"/>
    <w:rsid w:val="00EE6287"/>
    <w:rsid w:val="00EE6488"/>
    <w:rsid w:val="00EE64D0"/>
    <w:rsid w:val="00EE65DC"/>
    <w:rsid w:val="00EE7638"/>
    <w:rsid w:val="00EE7679"/>
    <w:rsid w:val="00EE7693"/>
    <w:rsid w:val="00EE7DC8"/>
    <w:rsid w:val="00EE7FAE"/>
    <w:rsid w:val="00EF05A8"/>
    <w:rsid w:val="00EF0E72"/>
    <w:rsid w:val="00EF2420"/>
    <w:rsid w:val="00EF2496"/>
    <w:rsid w:val="00EF2C95"/>
    <w:rsid w:val="00EF3E94"/>
    <w:rsid w:val="00EF4601"/>
    <w:rsid w:val="00EF4A8F"/>
    <w:rsid w:val="00EF5C20"/>
    <w:rsid w:val="00EF5FAD"/>
    <w:rsid w:val="00EF614F"/>
    <w:rsid w:val="00EF65BC"/>
    <w:rsid w:val="00EF76C0"/>
    <w:rsid w:val="00EF7A97"/>
    <w:rsid w:val="00EF7D9D"/>
    <w:rsid w:val="00F00970"/>
    <w:rsid w:val="00F00CC1"/>
    <w:rsid w:val="00F00CFF"/>
    <w:rsid w:val="00F00FBA"/>
    <w:rsid w:val="00F010F8"/>
    <w:rsid w:val="00F0110A"/>
    <w:rsid w:val="00F01F20"/>
    <w:rsid w:val="00F021D4"/>
    <w:rsid w:val="00F021FA"/>
    <w:rsid w:val="00F02EEF"/>
    <w:rsid w:val="00F0307A"/>
    <w:rsid w:val="00F0308C"/>
    <w:rsid w:val="00F03E48"/>
    <w:rsid w:val="00F042C0"/>
    <w:rsid w:val="00F04816"/>
    <w:rsid w:val="00F0493B"/>
    <w:rsid w:val="00F04A65"/>
    <w:rsid w:val="00F05063"/>
    <w:rsid w:val="00F051DE"/>
    <w:rsid w:val="00F05409"/>
    <w:rsid w:val="00F0548A"/>
    <w:rsid w:val="00F05854"/>
    <w:rsid w:val="00F0597E"/>
    <w:rsid w:val="00F06992"/>
    <w:rsid w:val="00F07214"/>
    <w:rsid w:val="00F07391"/>
    <w:rsid w:val="00F079F8"/>
    <w:rsid w:val="00F10098"/>
    <w:rsid w:val="00F10636"/>
    <w:rsid w:val="00F10A4F"/>
    <w:rsid w:val="00F10A55"/>
    <w:rsid w:val="00F10ABC"/>
    <w:rsid w:val="00F10F95"/>
    <w:rsid w:val="00F10FFE"/>
    <w:rsid w:val="00F113E2"/>
    <w:rsid w:val="00F1165B"/>
    <w:rsid w:val="00F11EDE"/>
    <w:rsid w:val="00F121C1"/>
    <w:rsid w:val="00F13167"/>
    <w:rsid w:val="00F1344F"/>
    <w:rsid w:val="00F13CC9"/>
    <w:rsid w:val="00F14C9C"/>
    <w:rsid w:val="00F14F08"/>
    <w:rsid w:val="00F153AD"/>
    <w:rsid w:val="00F163E1"/>
    <w:rsid w:val="00F167B7"/>
    <w:rsid w:val="00F200DD"/>
    <w:rsid w:val="00F20304"/>
    <w:rsid w:val="00F203DB"/>
    <w:rsid w:val="00F2128C"/>
    <w:rsid w:val="00F213BD"/>
    <w:rsid w:val="00F22D92"/>
    <w:rsid w:val="00F22E54"/>
    <w:rsid w:val="00F233D3"/>
    <w:rsid w:val="00F24073"/>
    <w:rsid w:val="00F24228"/>
    <w:rsid w:val="00F248DD"/>
    <w:rsid w:val="00F24AD6"/>
    <w:rsid w:val="00F24B41"/>
    <w:rsid w:val="00F24B43"/>
    <w:rsid w:val="00F24BA8"/>
    <w:rsid w:val="00F24FCC"/>
    <w:rsid w:val="00F2508A"/>
    <w:rsid w:val="00F26478"/>
    <w:rsid w:val="00F26A46"/>
    <w:rsid w:val="00F26F58"/>
    <w:rsid w:val="00F27374"/>
    <w:rsid w:val="00F2782C"/>
    <w:rsid w:val="00F27AAF"/>
    <w:rsid w:val="00F30B89"/>
    <w:rsid w:val="00F319A2"/>
    <w:rsid w:val="00F33614"/>
    <w:rsid w:val="00F33C77"/>
    <w:rsid w:val="00F342E3"/>
    <w:rsid w:val="00F349BD"/>
    <w:rsid w:val="00F34BE5"/>
    <w:rsid w:val="00F34D72"/>
    <w:rsid w:val="00F34EBA"/>
    <w:rsid w:val="00F35F2E"/>
    <w:rsid w:val="00F35FC3"/>
    <w:rsid w:val="00F363AD"/>
    <w:rsid w:val="00F36590"/>
    <w:rsid w:val="00F3700F"/>
    <w:rsid w:val="00F370D1"/>
    <w:rsid w:val="00F373CE"/>
    <w:rsid w:val="00F375D7"/>
    <w:rsid w:val="00F37F6A"/>
    <w:rsid w:val="00F400E1"/>
    <w:rsid w:val="00F40DE7"/>
    <w:rsid w:val="00F41319"/>
    <w:rsid w:val="00F4176B"/>
    <w:rsid w:val="00F419D1"/>
    <w:rsid w:val="00F41BC9"/>
    <w:rsid w:val="00F424A7"/>
    <w:rsid w:val="00F425B6"/>
    <w:rsid w:val="00F4295E"/>
    <w:rsid w:val="00F433BD"/>
    <w:rsid w:val="00F43D45"/>
    <w:rsid w:val="00F4419C"/>
    <w:rsid w:val="00F44352"/>
    <w:rsid w:val="00F454D3"/>
    <w:rsid w:val="00F4620D"/>
    <w:rsid w:val="00F46247"/>
    <w:rsid w:val="00F46D40"/>
    <w:rsid w:val="00F47F57"/>
    <w:rsid w:val="00F47FBA"/>
    <w:rsid w:val="00F500C3"/>
    <w:rsid w:val="00F504C6"/>
    <w:rsid w:val="00F504F2"/>
    <w:rsid w:val="00F50EEA"/>
    <w:rsid w:val="00F51570"/>
    <w:rsid w:val="00F51D7B"/>
    <w:rsid w:val="00F51E8D"/>
    <w:rsid w:val="00F5209C"/>
    <w:rsid w:val="00F5229A"/>
    <w:rsid w:val="00F524BE"/>
    <w:rsid w:val="00F52CAC"/>
    <w:rsid w:val="00F52DA4"/>
    <w:rsid w:val="00F52DAD"/>
    <w:rsid w:val="00F53810"/>
    <w:rsid w:val="00F549FC"/>
    <w:rsid w:val="00F54A8C"/>
    <w:rsid w:val="00F54BE2"/>
    <w:rsid w:val="00F54BF0"/>
    <w:rsid w:val="00F54FD6"/>
    <w:rsid w:val="00F55505"/>
    <w:rsid w:val="00F55987"/>
    <w:rsid w:val="00F55CF8"/>
    <w:rsid w:val="00F56491"/>
    <w:rsid w:val="00F56541"/>
    <w:rsid w:val="00F56926"/>
    <w:rsid w:val="00F5695B"/>
    <w:rsid w:val="00F5750A"/>
    <w:rsid w:val="00F57E02"/>
    <w:rsid w:val="00F57FAF"/>
    <w:rsid w:val="00F57FE5"/>
    <w:rsid w:val="00F603B6"/>
    <w:rsid w:val="00F603BA"/>
    <w:rsid w:val="00F604E2"/>
    <w:rsid w:val="00F6072B"/>
    <w:rsid w:val="00F608C7"/>
    <w:rsid w:val="00F60C56"/>
    <w:rsid w:val="00F6153F"/>
    <w:rsid w:val="00F6172F"/>
    <w:rsid w:val="00F6230B"/>
    <w:rsid w:val="00F62D76"/>
    <w:rsid w:val="00F62E97"/>
    <w:rsid w:val="00F6323E"/>
    <w:rsid w:val="00F635D6"/>
    <w:rsid w:val="00F63B18"/>
    <w:rsid w:val="00F63C16"/>
    <w:rsid w:val="00F63CD0"/>
    <w:rsid w:val="00F64089"/>
    <w:rsid w:val="00F64153"/>
    <w:rsid w:val="00F64209"/>
    <w:rsid w:val="00F64BCB"/>
    <w:rsid w:val="00F64F4F"/>
    <w:rsid w:val="00F651C3"/>
    <w:rsid w:val="00F6530D"/>
    <w:rsid w:val="00F65E51"/>
    <w:rsid w:val="00F66288"/>
    <w:rsid w:val="00F6692F"/>
    <w:rsid w:val="00F66C92"/>
    <w:rsid w:val="00F67051"/>
    <w:rsid w:val="00F6721C"/>
    <w:rsid w:val="00F67496"/>
    <w:rsid w:val="00F67C6C"/>
    <w:rsid w:val="00F70013"/>
    <w:rsid w:val="00F708DA"/>
    <w:rsid w:val="00F70D33"/>
    <w:rsid w:val="00F7266A"/>
    <w:rsid w:val="00F726FF"/>
    <w:rsid w:val="00F72B58"/>
    <w:rsid w:val="00F72F83"/>
    <w:rsid w:val="00F73079"/>
    <w:rsid w:val="00F73628"/>
    <w:rsid w:val="00F73A70"/>
    <w:rsid w:val="00F73C05"/>
    <w:rsid w:val="00F73C60"/>
    <w:rsid w:val="00F7430E"/>
    <w:rsid w:val="00F744F4"/>
    <w:rsid w:val="00F747AB"/>
    <w:rsid w:val="00F765CC"/>
    <w:rsid w:val="00F76C69"/>
    <w:rsid w:val="00F813A8"/>
    <w:rsid w:val="00F813D0"/>
    <w:rsid w:val="00F82271"/>
    <w:rsid w:val="00F82C83"/>
    <w:rsid w:val="00F83030"/>
    <w:rsid w:val="00F83202"/>
    <w:rsid w:val="00F832CB"/>
    <w:rsid w:val="00F8354A"/>
    <w:rsid w:val="00F8399B"/>
    <w:rsid w:val="00F83C44"/>
    <w:rsid w:val="00F845B6"/>
    <w:rsid w:val="00F848E6"/>
    <w:rsid w:val="00F85C4E"/>
    <w:rsid w:val="00F8628C"/>
    <w:rsid w:val="00F86F0E"/>
    <w:rsid w:val="00F873F5"/>
    <w:rsid w:val="00F8748B"/>
    <w:rsid w:val="00F87DE4"/>
    <w:rsid w:val="00F91221"/>
    <w:rsid w:val="00F92327"/>
    <w:rsid w:val="00F928CF"/>
    <w:rsid w:val="00F92C2A"/>
    <w:rsid w:val="00F92D8C"/>
    <w:rsid w:val="00F933E2"/>
    <w:rsid w:val="00F93BF5"/>
    <w:rsid w:val="00F940A7"/>
    <w:rsid w:val="00F9417A"/>
    <w:rsid w:val="00F94E59"/>
    <w:rsid w:val="00F9564F"/>
    <w:rsid w:val="00F95B7F"/>
    <w:rsid w:val="00F9661A"/>
    <w:rsid w:val="00F96D42"/>
    <w:rsid w:val="00F96E24"/>
    <w:rsid w:val="00F96E35"/>
    <w:rsid w:val="00F971CC"/>
    <w:rsid w:val="00F97432"/>
    <w:rsid w:val="00FA084A"/>
    <w:rsid w:val="00FA08E5"/>
    <w:rsid w:val="00FA0B7F"/>
    <w:rsid w:val="00FA1468"/>
    <w:rsid w:val="00FA155A"/>
    <w:rsid w:val="00FA1590"/>
    <w:rsid w:val="00FA1FBA"/>
    <w:rsid w:val="00FA2074"/>
    <w:rsid w:val="00FA2923"/>
    <w:rsid w:val="00FA305C"/>
    <w:rsid w:val="00FA3545"/>
    <w:rsid w:val="00FA3A16"/>
    <w:rsid w:val="00FA3E20"/>
    <w:rsid w:val="00FA4C1D"/>
    <w:rsid w:val="00FA54CA"/>
    <w:rsid w:val="00FA5AD7"/>
    <w:rsid w:val="00FA5B06"/>
    <w:rsid w:val="00FA62D2"/>
    <w:rsid w:val="00FA7662"/>
    <w:rsid w:val="00FA7737"/>
    <w:rsid w:val="00FA7E57"/>
    <w:rsid w:val="00FA7FFE"/>
    <w:rsid w:val="00FB0173"/>
    <w:rsid w:val="00FB0E71"/>
    <w:rsid w:val="00FB1EF5"/>
    <w:rsid w:val="00FB2379"/>
    <w:rsid w:val="00FB2AE3"/>
    <w:rsid w:val="00FB325D"/>
    <w:rsid w:val="00FB4168"/>
    <w:rsid w:val="00FB4C11"/>
    <w:rsid w:val="00FB59EF"/>
    <w:rsid w:val="00FB6397"/>
    <w:rsid w:val="00FB6641"/>
    <w:rsid w:val="00FB6903"/>
    <w:rsid w:val="00FB6C17"/>
    <w:rsid w:val="00FB7D24"/>
    <w:rsid w:val="00FB7F9D"/>
    <w:rsid w:val="00FC0442"/>
    <w:rsid w:val="00FC050F"/>
    <w:rsid w:val="00FC075F"/>
    <w:rsid w:val="00FC0F56"/>
    <w:rsid w:val="00FC138F"/>
    <w:rsid w:val="00FC16D5"/>
    <w:rsid w:val="00FC386B"/>
    <w:rsid w:val="00FC408E"/>
    <w:rsid w:val="00FC434F"/>
    <w:rsid w:val="00FC474D"/>
    <w:rsid w:val="00FC4780"/>
    <w:rsid w:val="00FC5053"/>
    <w:rsid w:val="00FC5D27"/>
    <w:rsid w:val="00FC5FAD"/>
    <w:rsid w:val="00FC64CD"/>
    <w:rsid w:val="00FC7510"/>
    <w:rsid w:val="00FC7C84"/>
    <w:rsid w:val="00FC7C85"/>
    <w:rsid w:val="00FD0797"/>
    <w:rsid w:val="00FD0B9E"/>
    <w:rsid w:val="00FD0CC0"/>
    <w:rsid w:val="00FD1094"/>
    <w:rsid w:val="00FD1205"/>
    <w:rsid w:val="00FD1A81"/>
    <w:rsid w:val="00FD274A"/>
    <w:rsid w:val="00FD2954"/>
    <w:rsid w:val="00FD3158"/>
    <w:rsid w:val="00FD3C5A"/>
    <w:rsid w:val="00FD4026"/>
    <w:rsid w:val="00FD448E"/>
    <w:rsid w:val="00FD4A6F"/>
    <w:rsid w:val="00FD4AD3"/>
    <w:rsid w:val="00FD4D12"/>
    <w:rsid w:val="00FD539D"/>
    <w:rsid w:val="00FD5DDA"/>
    <w:rsid w:val="00FD605C"/>
    <w:rsid w:val="00FD6382"/>
    <w:rsid w:val="00FD6452"/>
    <w:rsid w:val="00FD65A7"/>
    <w:rsid w:val="00FD6C6B"/>
    <w:rsid w:val="00FD70E6"/>
    <w:rsid w:val="00FE14CA"/>
    <w:rsid w:val="00FE172A"/>
    <w:rsid w:val="00FE1781"/>
    <w:rsid w:val="00FE2291"/>
    <w:rsid w:val="00FE250E"/>
    <w:rsid w:val="00FE2B21"/>
    <w:rsid w:val="00FE48A2"/>
    <w:rsid w:val="00FE48FD"/>
    <w:rsid w:val="00FE50E7"/>
    <w:rsid w:val="00FE5135"/>
    <w:rsid w:val="00FE602A"/>
    <w:rsid w:val="00FE63E0"/>
    <w:rsid w:val="00FE6AF3"/>
    <w:rsid w:val="00FE7507"/>
    <w:rsid w:val="00FE75D6"/>
    <w:rsid w:val="00FE777F"/>
    <w:rsid w:val="00FE7C78"/>
    <w:rsid w:val="00FE7D39"/>
    <w:rsid w:val="00FE7F2C"/>
    <w:rsid w:val="00FE7FEA"/>
    <w:rsid w:val="00FF087E"/>
    <w:rsid w:val="00FF0DE4"/>
    <w:rsid w:val="00FF1F23"/>
    <w:rsid w:val="00FF3BA7"/>
    <w:rsid w:val="00FF49F7"/>
    <w:rsid w:val="00FF5028"/>
    <w:rsid w:val="00FF50C6"/>
    <w:rsid w:val="00FF551A"/>
    <w:rsid w:val="00FF5653"/>
    <w:rsid w:val="00FF5ED0"/>
    <w:rsid w:val="00FF7645"/>
    <w:rsid w:val="00FF7B0D"/>
    <w:rsid w:val="00FF7F96"/>
    <w:rsid w:val="00FF7FFE"/>
    <w:rsid w:val="5DAB040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67DDEB0-0E9A-4CE6-B5EB-7310ABFD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74"/>
    <w:pPr>
      <w:widowControl w:val="0"/>
    </w:pPr>
    <w:rPr>
      <w:snapToGrid w:val="0"/>
      <w:kern w:val="28"/>
      <w:sz w:val="22"/>
    </w:rPr>
  </w:style>
  <w:style w:type="paragraph" w:styleId="Heading1">
    <w:name w:val="heading 1"/>
    <w:basedOn w:val="Normal"/>
    <w:next w:val="ParaNum"/>
    <w:qFormat/>
    <w:rsid w:val="005D687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6874"/>
    <w:pPr>
      <w:keepNext/>
      <w:numPr>
        <w:ilvl w:val="1"/>
        <w:numId w:val="3"/>
      </w:numPr>
      <w:spacing w:after="120"/>
      <w:outlineLvl w:val="1"/>
    </w:pPr>
    <w:rPr>
      <w:b/>
    </w:rPr>
  </w:style>
  <w:style w:type="paragraph" w:styleId="Heading3">
    <w:name w:val="heading 3"/>
    <w:basedOn w:val="Normal"/>
    <w:next w:val="ParaNum"/>
    <w:qFormat/>
    <w:rsid w:val="005D6874"/>
    <w:pPr>
      <w:keepNext/>
      <w:numPr>
        <w:ilvl w:val="2"/>
        <w:numId w:val="3"/>
      </w:numPr>
      <w:tabs>
        <w:tab w:val="left" w:pos="2160"/>
      </w:tabs>
      <w:spacing w:after="120"/>
      <w:outlineLvl w:val="2"/>
    </w:pPr>
    <w:rPr>
      <w:b/>
    </w:rPr>
  </w:style>
  <w:style w:type="paragraph" w:styleId="Heading4">
    <w:name w:val="heading 4"/>
    <w:basedOn w:val="Normal"/>
    <w:next w:val="ParaNum"/>
    <w:qFormat/>
    <w:rsid w:val="005D6874"/>
    <w:pPr>
      <w:keepNext/>
      <w:numPr>
        <w:ilvl w:val="3"/>
        <w:numId w:val="3"/>
      </w:numPr>
      <w:tabs>
        <w:tab w:val="left" w:pos="2880"/>
      </w:tabs>
      <w:spacing w:after="120"/>
      <w:outlineLvl w:val="3"/>
    </w:pPr>
    <w:rPr>
      <w:b/>
    </w:rPr>
  </w:style>
  <w:style w:type="paragraph" w:styleId="Heading5">
    <w:name w:val="heading 5"/>
    <w:basedOn w:val="Normal"/>
    <w:next w:val="ParaNum"/>
    <w:qFormat/>
    <w:rsid w:val="005D687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6874"/>
    <w:pPr>
      <w:numPr>
        <w:ilvl w:val="5"/>
        <w:numId w:val="3"/>
      </w:numPr>
      <w:tabs>
        <w:tab w:val="left" w:pos="4320"/>
      </w:tabs>
      <w:spacing w:after="120"/>
      <w:outlineLvl w:val="5"/>
    </w:pPr>
    <w:rPr>
      <w:b/>
    </w:rPr>
  </w:style>
  <w:style w:type="paragraph" w:styleId="Heading7">
    <w:name w:val="heading 7"/>
    <w:basedOn w:val="Normal"/>
    <w:next w:val="ParaNum"/>
    <w:qFormat/>
    <w:rsid w:val="005D687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687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687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68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874"/>
  </w:style>
  <w:style w:type="paragraph" w:customStyle="1" w:styleId="ParaNum">
    <w:name w:val="ParaNum"/>
    <w:basedOn w:val="Normal"/>
    <w:rsid w:val="005D6874"/>
    <w:pPr>
      <w:numPr>
        <w:numId w:val="2"/>
      </w:numPr>
      <w:tabs>
        <w:tab w:val="clear" w:pos="1080"/>
        <w:tab w:val="num" w:pos="1440"/>
      </w:tabs>
      <w:spacing w:after="120"/>
    </w:pPr>
  </w:style>
  <w:style w:type="paragraph" w:styleId="EndnoteText">
    <w:name w:val="endnote text"/>
    <w:basedOn w:val="Normal"/>
    <w:semiHidden/>
    <w:rsid w:val="005D6874"/>
    <w:rPr>
      <w:sz w:val="20"/>
    </w:rPr>
  </w:style>
  <w:style w:type="character" w:styleId="EndnoteReference">
    <w:name w:val="endnote reference"/>
    <w:semiHidden/>
    <w:rsid w:val="005D6874"/>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5D687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D6874"/>
    <w:rPr>
      <w:rFonts w:ascii="Times New Roman" w:hAnsi="Times New Roman"/>
      <w:dstrike w:val="0"/>
      <w:color w:val="auto"/>
      <w:sz w:val="20"/>
      <w:vertAlign w:val="superscript"/>
    </w:rPr>
  </w:style>
  <w:style w:type="paragraph" w:styleId="TOC1">
    <w:name w:val="toc 1"/>
    <w:basedOn w:val="Normal"/>
    <w:next w:val="Normal"/>
    <w:semiHidden/>
    <w:rsid w:val="005D68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6874"/>
    <w:pPr>
      <w:tabs>
        <w:tab w:val="left" w:pos="720"/>
        <w:tab w:val="right" w:leader="dot" w:pos="9360"/>
      </w:tabs>
      <w:suppressAutoHyphens/>
      <w:ind w:left="720" w:right="720" w:hanging="360"/>
    </w:pPr>
    <w:rPr>
      <w:noProof/>
    </w:rPr>
  </w:style>
  <w:style w:type="paragraph" w:styleId="TOC3">
    <w:name w:val="toc 3"/>
    <w:basedOn w:val="Normal"/>
    <w:next w:val="Normal"/>
    <w:semiHidden/>
    <w:rsid w:val="005D68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68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68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68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68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68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68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6874"/>
    <w:pPr>
      <w:tabs>
        <w:tab w:val="right" w:pos="9360"/>
      </w:tabs>
      <w:suppressAutoHyphens/>
    </w:pPr>
  </w:style>
  <w:style w:type="character" w:customStyle="1" w:styleId="EquationCaption">
    <w:name w:val="_Equation Caption"/>
    <w:rsid w:val="005D6874"/>
  </w:style>
  <w:style w:type="paragraph" w:styleId="Header">
    <w:name w:val="header"/>
    <w:basedOn w:val="Normal"/>
    <w:autoRedefine/>
    <w:rsid w:val="005D6874"/>
    <w:pPr>
      <w:tabs>
        <w:tab w:val="center" w:pos="4680"/>
        <w:tab w:val="right" w:pos="9360"/>
      </w:tabs>
    </w:pPr>
    <w:rPr>
      <w:b/>
    </w:rPr>
  </w:style>
  <w:style w:type="paragraph" w:styleId="Footer">
    <w:name w:val="footer"/>
    <w:basedOn w:val="Normal"/>
    <w:link w:val="FooterChar"/>
    <w:uiPriority w:val="99"/>
    <w:rsid w:val="005D6874"/>
    <w:pPr>
      <w:tabs>
        <w:tab w:val="center" w:pos="4320"/>
        <w:tab w:val="right" w:pos="8640"/>
      </w:tabs>
    </w:pPr>
  </w:style>
  <w:style w:type="character" w:styleId="PageNumber">
    <w:name w:val="page number"/>
    <w:basedOn w:val="DefaultParagraphFont"/>
    <w:rsid w:val="005D6874"/>
  </w:style>
  <w:style w:type="paragraph" w:styleId="BlockText">
    <w:name w:val="Block Text"/>
    <w:basedOn w:val="Normal"/>
    <w:rsid w:val="005D6874"/>
    <w:pPr>
      <w:spacing w:after="240"/>
      <w:ind w:left="1440" w:right="1440"/>
    </w:pPr>
  </w:style>
  <w:style w:type="paragraph" w:customStyle="1" w:styleId="Paratitle">
    <w:name w:val="Para title"/>
    <w:basedOn w:val="Normal"/>
    <w:rsid w:val="005D6874"/>
    <w:pPr>
      <w:tabs>
        <w:tab w:val="center" w:pos="9270"/>
      </w:tabs>
      <w:spacing w:after="240"/>
    </w:pPr>
    <w:rPr>
      <w:spacing w:val="-2"/>
    </w:rPr>
  </w:style>
  <w:style w:type="paragraph" w:customStyle="1" w:styleId="Bullet">
    <w:name w:val="Bullet"/>
    <w:basedOn w:val="Normal"/>
    <w:rsid w:val="005D6874"/>
    <w:pPr>
      <w:tabs>
        <w:tab w:val="left" w:pos="2160"/>
      </w:tabs>
      <w:spacing w:after="220"/>
      <w:ind w:left="2160" w:hanging="720"/>
    </w:pPr>
  </w:style>
  <w:style w:type="paragraph" w:customStyle="1" w:styleId="TableFormat">
    <w:name w:val="TableFormat"/>
    <w:basedOn w:val="Bullet"/>
    <w:rsid w:val="005D6874"/>
    <w:pPr>
      <w:tabs>
        <w:tab w:val="clear" w:pos="2160"/>
        <w:tab w:val="left" w:pos="5040"/>
      </w:tabs>
      <w:ind w:left="5040" w:hanging="3600"/>
    </w:pPr>
  </w:style>
  <w:style w:type="paragraph" w:customStyle="1" w:styleId="TOCTitle">
    <w:name w:val="TOC Title"/>
    <w:basedOn w:val="Normal"/>
    <w:rsid w:val="005D68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6874"/>
    <w:pPr>
      <w:jc w:val="center"/>
    </w:pPr>
    <w:rPr>
      <w:rFonts w:ascii="Times New Roman Bold" w:hAnsi="Times New Roman Bold"/>
      <w:b/>
      <w:bCs/>
      <w:caps/>
      <w:szCs w:val="22"/>
    </w:rPr>
  </w:style>
  <w:style w:type="character" w:styleId="Hyperlink">
    <w:name w:val="Hyperlink"/>
    <w:rsid w:val="005D6874"/>
    <w:rPr>
      <w:color w:val="0000FF"/>
      <w:u w:val="single"/>
    </w:rPr>
  </w:style>
  <w:style w:type="character" w:customStyle="1" w:styleId="FooterChar">
    <w:name w:val="Footer Char"/>
    <w:link w:val="Footer"/>
    <w:uiPriority w:val="99"/>
    <w:rsid w:val="005D6874"/>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E305DF"/>
  </w:style>
  <w:style w:type="paragraph" w:styleId="BalloonText">
    <w:name w:val="Balloon Text"/>
    <w:basedOn w:val="Normal"/>
    <w:link w:val="BalloonTextChar"/>
    <w:rsid w:val="007F3E9C"/>
    <w:rPr>
      <w:rFonts w:ascii="Segoe UI" w:hAnsi="Segoe UI" w:cs="Segoe UI"/>
      <w:sz w:val="18"/>
      <w:szCs w:val="18"/>
    </w:rPr>
  </w:style>
  <w:style w:type="character" w:customStyle="1" w:styleId="BalloonTextChar">
    <w:name w:val="Balloon Text Char"/>
    <w:basedOn w:val="DefaultParagraphFont"/>
    <w:link w:val="BalloonText"/>
    <w:rsid w:val="007F3E9C"/>
    <w:rPr>
      <w:rFonts w:ascii="Segoe UI" w:hAnsi="Segoe UI" w:cs="Segoe UI"/>
      <w:snapToGrid w:val="0"/>
      <w:kern w:val="28"/>
      <w:sz w:val="18"/>
      <w:szCs w:val="18"/>
    </w:rPr>
  </w:style>
  <w:style w:type="character" w:styleId="CommentReference">
    <w:name w:val="annotation reference"/>
    <w:basedOn w:val="DefaultParagraphFont"/>
    <w:uiPriority w:val="99"/>
    <w:rsid w:val="00B05BBE"/>
    <w:rPr>
      <w:sz w:val="16"/>
      <w:szCs w:val="16"/>
    </w:rPr>
  </w:style>
  <w:style w:type="paragraph" w:styleId="CommentText">
    <w:name w:val="annotation text"/>
    <w:basedOn w:val="Normal"/>
    <w:link w:val="CommentTextChar"/>
    <w:rsid w:val="00B05BBE"/>
    <w:rPr>
      <w:sz w:val="20"/>
    </w:rPr>
  </w:style>
  <w:style w:type="character" w:customStyle="1" w:styleId="CommentTextChar">
    <w:name w:val="Comment Text Char"/>
    <w:basedOn w:val="DefaultParagraphFont"/>
    <w:link w:val="CommentText"/>
    <w:rsid w:val="00B05BBE"/>
    <w:rPr>
      <w:snapToGrid w:val="0"/>
      <w:kern w:val="28"/>
    </w:rPr>
  </w:style>
  <w:style w:type="paragraph" w:styleId="CommentSubject">
    <w:name w:val="annotation subject"/>
    <w:basedOn w:val="CommentText"/>
    <w:next w:val="CommentText"/>
    <w:link w:val="CommentSubjectChar"/>
    <w:rsid w:val="00B05BBE"/>
    <w:rPr>
      <w:b/>
      <w:bCs/>
    </w:rPr>
  </w:style>
  <w:style w:type="character" w:customStyle="1" w:styleId="CommentSubjectChar">
    <w:name w:val="Comment Subject Char"/>
    <w:basedOn w:val="CommentTextChar"/>
    <w:link w:val="CommentSubject"/>
    <w:rsid w:val="00B05BBE"/>
    <w:rPr>
      <w:b/>
      <w:bCs/>
      <w:snapToGrid w:val="0"/>
      <w:kern w:val="28"/>
    </w:rPr>
  </w:style>
  <w:style w:type="character" w:customStyle="1" w:styleId="UnresolvedMention1">
    <w:name w:val="Unresolved Mention1"/>
    <w:basedOn w:val="DefaultParagraphFont"/>
    <w:uiPriority w:val="99"/>
    <w:semiHidden/>
    <w:unhideWhenUsed/>
    <w:rsid w:val="004E0E1F"/>
    <w:rPr>
      <w:color w:val="605E5C"/>
      <w:shd w:val="clear" w:color="auto" w:fill="E1DFDD"/>
    </w:rPr>
  </w:style>
  <w:style w:type="paragraph" w:styleId="Revision">
    <w:name w:val="Revision"/>
    <w:hidden/>
    <w:uiPriority w:val="99"/>
    <w:semiHidden/>
    <w:rsid w:val="00F4620D"/>
    <w:rPr>
      <w:snapToGrid w:val="0"/>
      <w:kern w:val="28"/>
      <w:sz w:val="22"/>
    </w:rPr>
  </w:style>
  <w:style w:type="character" w:styleId="FollowedHyperlink">
    <w:name w:val="FollowedHyperlink"/>
    <w:basedOn w:val="DefaultParagraphFont"/>
    <w:rsid w:val="007C3443"/>
    <w:rPr>
      <w:color w:val="954F72" w:themeColor="followedHyperlink"/>
      <w:u w:val="single"/>
    </w:rPr>
  </w:style>
  <w:style w:type="character" w:customStyle="1" w:styleId="UnresolvedMention">
    <w:name w:val="Unresolved Mention"/>
    <w:basedOn w:val="DefaultParagraphFont"/>
    <w:rsid w:val="0026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35423002&amp;pubNum=0004493&amp;originatingDoc=I8367802bc4ea11e9a76eb9e71287f4ea&amp;refType=CA&amp;fi=co_pp_sp_4493_1065&amp;originationContext=document&amp;transitionType=DocumentItem&amp;contextData=(sc.Search)" TargetMode="External" /><Relationship Id="rId10" Type="http://schemas.openxmlformats.org/officeDocument/2006/relationships/hyperlink" Target="https://covid.cdc.gov/covid-data-tracker/" TargetMode="External" /><Relationship Id="rId11" Type="http://schemas.openxmlformats.org/officeDocument/2006/relationships/hyperlink" Target="https://time.com/5938128/covid-19-vaccine-rollout-biden/" TargetMode="External" /><Relationship Id="rId2" Type="http://schemas.openxmlformats.org/officeDocument/2006/relationships/hyperlink" Target="http://www.broadband.gov/download-plan/" TargetMode="External" /><Relationship Id="rId3" Type="http://schemas.openxmlformats.org/officeDocument/2006/relationships/hyperlink" Target="https://rhc.usac.org/ratesdb/" TargetMode="External" /><Relationship Id="rId4" Type="http://schemas.openxmlformats.org/officeDocument/2006/relationships/hyperlink" Target="https://www.cdc.gov/coronavirus/2019-ncov/transmission/variant-cases.html" TargetMode="External" /><Relationship Id="rId5" Type="http://schemas.openxmlformats.org/officeDocument/2006/relationships/hyperlink" Target="https://www.hopkinsmedicine.org/health/conditions-and-diseases/coronavirus/a-new-strain-of-coronavirus-what-you-should-know" TargetMode="External" /><Relationship Id="rId6" Type="http://schemas.openxmlformats.org/officeDocument/2006/relationships/hyperlink" Target="https://www.washingtonpost.com/health/california-covid-variant/2021/02/24/0fb75550-76a3-11eb-948d-19472e683521_story.html" TargetMode="External" /><Relationship Id="rId7" Type="http://schemas.openxmlformats.org/officeDocument/2006/relationships/hyperlink" Target="https://www.wsj.com/articles/demand-for-covid-19-vaccines-overwhelms-state-health-providers-11612789789" TargetMode="External" /><Relationship Id="rId8" Type="http://schemas.openxmlformats.org/officeDocument/2006/relationships/hyperlink" Target="https://www.npr.org/sections/health-shots/2020/12/09/944379919/new-data-reveal-which-hospitals-are-dangerously-full-is-yours" TargetMode="External" /><Relationship Id="rId9" Type="http://schemas.openxmlformats.org/officeDocument/2006/relationships/hyperlink" Target="https://apnews.com/article/us-news-coronavirus-pandemic-faf144ff9442077a9f2bb292614e134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