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E6716" w:rsidRPr="002E6716" w:rsidP="002E6716" w14:paraId="620163CD" w14:textId="25B66D54">
      <w:pPr>
        <w:widowControl w:val="0"/>
        <w:jc w:val="right"/>
        <w:rPr>
          <w:b/>
          <w:snapToGrid w:val="0"/>
          <w:kern w:val="28"/>
          <w:sz w:val="24"/>
        </w:rPr>
      </w:pPr>
      <w:r w:rsidRPr="002E6716">
        <w:rPr>
          <w:b/>
          <w:snapToGrid w:val="0"/>
          <w:kern w:val="28"/>
          <w:sz w:val="24"/>
        </w:rPr>
        <w:t xml:space="preserve">DA </w:t>
      </w:r>
      <w:r w:rsidR="00313990">
        <w:rPr>
          <w:b/>
          <w:snapToGrid w:val="0"/>
          <w:kern w:val="28"/>
          <w:sz w:val="24"/>
        </w:rPr>
        <w:t>21</w:t>
      </w:r>
      <w:r w:rsidR="00B65ED1">
        <w:rPr>
          <w:b/>
          <w:snapToGrid w:val="0"/>
          <w:kern w:val="28"/>
          <w:sz w:val="24"/>
        </w:rPr>
        <w:t>-39</w:t>
      </w:r>
      <w:bookmarkStart w:id="0" w:name="_GoBack"/>
      <w:bookmarkEnd w:id="0"/>
    </w:p>
    <w:p w:rsidR="002E6716" w:rsidRPr="002E6716" w:rsidP="002E6716" w14:paraId="6A5EA854" w14:textId="1CB4584C">
      <w:pPr>
        <w:widowControl w:val="0"/>
        <w:spacing w:before="60"/>
        <w:jc w:val="right"/>
        <w:rPr>
          <w:b/>
          <w:snapToGrid w:val="0"/>
          <w:kern w:val="28"/>
          <w:sz w:val="24"/>
        </w:rPr>
      </w:pPr>
      <w:r w:rsidRPr="002E6716">
        <w:rPr>
          <w:b/>
          <w:snapToGrid w:val="0"/>
          <w:kern w:val="28"/>
          <w:sz w:val="24"/>
        </w:rPr>
        <w:t xml:space="preserve">Released:  </w:t>
      </w:r>
      <w:r w:rsidR="003C07FA">
        <w:rPr>
          <w:b/>
          <w:snapToGrid w:val="0"/>
          <w:kern w:val="28"/>
          <w:sz w:val="24"/>
        </w:rPr>
        <w:t>January</w:t>
      </w:r>
      <w:r w:rsidR="00C10AEA">
        <w:rPr>
          <w:b/>
          <w:snapToGrid w:val="0"/>
          <w:kern w:val="28"/>
          <w:sz w:val="24"/>
        </w:rPr>
        <w:t xml:space="preserve"> </w:t>
      </w:r>
      <w:r w:rsidR="004210DC">
        <w:rPr>
          <w:b/>
          <w:snapToGrid w:val="0"/>
          <w:kern w:val="28"/>
          <w:sz w:val="24"/>
        </w:rPr>
        <w:t>11</w:t>
      </w:r>
      <w:r w:rsidRPr="002E6716">
        <w:rPr>
          <w:b/>
          <w:snapToGrid w:val="0"/>
          <w:kern w:val="28"/>
          <w:sz w:val="24"/>
        </w:rPr>
        <w:t>, 202</w:t>
      </w:r>
      <w:r w:rsidR="003C07FA">
        <w:rPr>
          <w:b/>
          <w:snapToGrid w:val="0"/>
          <w:kern w:val="28"/>
          <w:sz w:val="24"/>
        </w:rPr>
        <w:t>1</w:t>
      </w:r>
    </w:p>
    <w:p w:rsidR="002E6716" w:rsidRPr="002E6716" w:rsidP="002E6716" w14:paraId="4C6C9E31" w14:textId="77777777">
      <w:pPr>
        <w:widowControl w:val="0"/>
        <w:spacing w:before="60"/>
        <w:jc w:val="right"/>
        <w:rPr>
          <w:b/>
          <w:snapToGrid w:val="0"/>
          <w:kern w:val="28"/>
          <w:sz w:val="24"/>
        </w:rPr>
      </w:pPr>
    </w:p>
    <w:p w:rsidR="00AD7804" w:rsidP="00C10AEA" w14:paraId="045F2F42" w14:textId="77777777">
      <w:pPr>
        <w:widowControl w:val="0"/>
        <w:autoSpaceDE w:val="0"/>
        <w:autoSpaceDN w:val="0"/>
        <w:jc w:val="center"/>
        <w:rPr>
          <w:b/>
          <w:snapToGrid w:val="0"/>
          <w:color w:val="000000"/>
          <w:kern w:val="28"/>
          <w:szCs w:val="22"/>
        </w:rPr>
      </w:pPr>
      <w:bookmarkStart w:id="1" w:name="_Hlk60991301"/>
      <w:r w:rsidRPr="002E6716">
        <w:rPr>
          <w:b/>
          <w:snapToGrid w:val="0"/>
          <w:color w:val="000000"/>
          <w:kern w:val="28"/>
          <w:szCs w:val="22"/>
        </w:rPr>
        <w:t>FCC</w:t>
      </w:r>
      <w:r w:rsidR="007468B1">
        <w:rPr>
          <w:b/>
          <w:snapToGrid w:val="0"/>
          <w:color w:val="000000"/>
          <w:kern w:val="28"/>
          <w:szCs w:val="22"/>
        </w:rPr>
        <w:t xml:space="preserve"> </w:t>
      </w:r>
      <w:r w:rsidR="00C10AEA">
        <w:rPr>
          <w:b/>
          <w:snapToGrid w:val="0"/>
          <w:color w:val="000000"/>
          <w:kern w:val="28"/>
          <w:szCs w:val="22"/>
        </w:rPr>
        <w:t xml:space="preserve">SEEKS COMMENT ON </w:t>
      </w:r>
      <w:r w:rsidR="00EC6995">
        <w:rPr>
          <w:b/>
          <w:snapToGrid w:val="0"/>
          <w:color w:val="000000"/>
          <w:kern w:val="28"/>
          <w:szCs w:val="22"/>
        </w:rPr>
        <w:t xml:space="preserve">HOW </w:t>
      </w:r>
      <w:r w:rsidR="007E1E81">
        <w:rPr>
          <w:b/>
          <w:snapToGrid w:val="0"/>
          <w:color w:val="000000"/>
          <w:kern w:val="28"/>
          <w:szCs w:val="22"/>
        </w:rPr>
        <w:t>TO FACILITATE</w:t>
      </w:r>
      <w:r w:rsidR="00EC6995">
        <w:rPr>
          <w:b/>
          <w:snapToGrid w:val="0"/>
          <w:color w:val="000000"/>
          <w:kern w:val="28"/>
          <w:szCs w:val="22"/>
        </w:rPr>
        <w:t xml:space="preserve"> VOLUNTARY ADOPTION </w:t>
      </w:r>
    </w:p>
    <w:p w:rsidR="00AD7804" w:rsidP="00C10AEA" w14:paraId="02E4D2D2" w14:textId="77777777">
      <w:pPr>
        <w:widowControl w:val="0"/>
        <w:autoSpaceDE w:val="0"/>
        <w:autoSpaceDN w:val="0"/>
        <w:jc w:val="center"/>
        <w:rPr>
          <w:b/>
          <w:snapToGrid w:val="0"/>
          <w:color w:val="000000"/>
          <w:kern w:val="28"/>
          <w:szCs w:val="22"/>
        </w:rPr>
      </w:pPr>
      <w:r>
        <w:rPr>
          <w:b/>
          <w:snapToGrid w:val="0"/>
          <w:color w:val="000000"/>
          <w:kern w:val="28"/>
          <w:szCs w:val="22"/>
        </w:rPr>
        <w:t>OF</w:t>
      </w:r>
      <w:r>
        <w:rPr>
          <w:b/>
          <w:snapToGrid w:val="0"/>
          <w:color w:val="000000"/>
          <w:kern w:val="28"/>
          <w:szCs w:val="22"/>
        </w:rPr>
        <w:t xml:space="preserve"> </w:t>
      </w:r>
      <w:r w:rsidR="00C10AEA">
        <w:rPr>
          <w:b/>
          <w:snapToGrid w:val="0"/>
          <w:color w:val="000000"/>
          <w:kern w:val="28"/>
          <w:szCs w:val="22"/>
        </w:rPr>
        <w:t>THE HOSPITAL ROBOCALL PROTECTION GROUP’S</w:t>
      </w:r>
      <w:r w:rsidR="007468B1">
        <w:rPr>
          <w:b/>
          <w:snapToGrid w:val="0"/>
          <w:color w:val="000000"/>
          <w:kern w:val="28"/>
          <w:szCs w:val="22"/>
        </w:rPr>
        <w:t xml:space="preserve"> </w:t>
      </w:r>
      <w:r w:rsidR="00C10AEA">
        <w:rPr>
          <w:b/>
          <w:snapToGrid w:val="0"/>
          <w:color w:val="000000"/>
          <w:kern w:val="28"/>
          <w:szCs w:val="22"/>
        </w:rPr>
        <w:t xml:space="preserve">BEST PRACTICES </w:t>
      </w:r>
    </w:p>
    <w:p w:rsidR="002E6716" w:rsidP="00C10AEA" w14:paraId="07A61E1D" w14:textId="0EC25A00">
      <w:pPr>
        <w:widowControl w:val="0"/>
        <w:autoSpaceDE w:val="0"/>
        <w:autoSpaceDN w:val="0"/>
        <w:jc w:val="center"/>
        <w:rPr>
          <w:b/>
          <w:snapToGrid w:val="0"/>
          <w:color w:val="000000"/>
          <w:kern w:val="28"/>
          <w:szCs w:val="22"/>
        </w:rPr>
      </w:pPr>
      <w:r>
        <w:rPr>
          <w:b/>
          <w:snapToGrid w:val="0"/>
          <w:color w:val="000000"/>
          <w:kern w:val="28"/>
          <w:szCs w:val="22"/>
        </w:rPr>
        <w:t>TO COMBAT UNLAWFUL ROBOCALLS TO HOSP</w:t>
      </w:r>
      <w:r w:rsidR="00313990">
        <w:rPr>
          <w:b/>
          <w:snapToGrid w:val="0"/>
          <w:color w:val="000000"/>
          <w:kern w:val="28"/>
          <w:szCs w:val="22"/>
        </w:rPr>
        <w:t>I</w:t>
      </w:r>
      <w:r>
        <w:rPr>
          <w:b/>
          <w:snapToGrid w:val="0"/>
          <w:color w:val="000000"/>
          <w:kern w:val="28"/>
          <w:szCs w:val="22"/>
        </w:rPr>
        <w:t>TALS</w:t>
      </w:r>
    </w:p>
    <w:bookmarkEnd w:id="1"/>
    <w:p w:rsidR="007468B1" w:rsidP="00C10AEA" w14:paraId="7E2BF40E" w14:textId="773EBE1C">
      <w:pPr>
        <w:widowControl w:val="0"/>
        <w:autoSpaceDE w:val="0"/>
        <w:autoSpaceDN w:val="0"/>
        <w:jc w:val="center"/>
        <w:rPr>
          <w:b/>
          <w:snapToGrid w:val="0"/>
          <w:color w:val="000000"/>
          <w:kern w:val="28"/>
          <w:szCs w:val="22"/>
        </w:rPr>
      </w:pPr>
    </w:p>
    <w:p w:rsidR="007468B1" w:rsidRPr="005A3FFD" w:rsidP="007468B1" w14:paraId="0CA3AC53" w14:textId="3A4EC3DF">
      <w:pPr>
        <w:jc w:val="center"/>
        <w:rPr>
          <w:b/>
        </w:rPr>
      </w:pPr>
      <w:r>
        <w:rPr>
          <w:b/>
        </w:rPr>
        <w:t>CG</w:t>
      </w:r>
      <w:r w:rsidRPr="005A3FFD">
        <w:rPr>
          <w:b/>
        </w:rPr>
        <w:t xml:space="preserve"> Docket </w:t>
      </w:r>
      <w:r w:rsidRPr="00927BBD">
        <w:rPr>
          <w:b/>
        </w:rPr>
        <w:t>No. 2</w:t>
      </w:r>
      <w:r w:rsidR="003C07FA">
        <w:rPr>
          <w:b/>
        </w:rPr>
        <w:t>1</w:t>
      </w:r>
      <w:r w:rsidRPr="00927BBD">
        <w:rPr>
          <w:b/>
        </w:rPr>
        <w:t>-</w:t>
      </w:r>
      <w:r w:rsidR="004945B7">
        <w:rPr>
          <w:b/>
        </w:rPr>
        <w:t>7</w:t>
      </w:r>
    </w:p>
    <w:p w:rsidR="007468B1" w:rsidRPr="005A3FFD" w:rsidP="007468B1" w14:paraId="7E16A372" w14:textId="77777777">
      <w:pPr>
        <w:jc w:val="center"/>
        <w:rPr>
          <w:b/>
        </w:rPr>
      </w:pPr>
    </w:p>
    <w:p w:rsidR="007468B1" w:rsidP="007468B1" w14:paraId="45894E91" w14:textId="53EB6CFC">
      <w:pPr>
        <w:rPr>
          <w:b/>
        </w:rPr>
      </w:pPr>
      <w:r w:rsidRPr="005A3FFD">
        <w:rPr>
          <w:b/>
        </w:rPr>
        <w:t xml:space="preserve">Comments Due: </w:t>
      </w:r>
      <w:r w:rsidR="004945B7">
        <w:rPr>
          <w:b/>
        </w:rPr>
        <w:t>February 1</w:t>
      </w:r>
      <w:r>
        <w:rPr>
          <w:b/>
        </w:rPr>
        <w:t>, 2021</w:t>
      </w:r>
    </w:p>
    <w:p w:rsidR="002E6716" w:rsidRPr="002E6716" w:rsidP="007261E8" w14:paraId="0ADDE3EE" w14:textId="77777777">
      <w:pPr>
        <w:widowControl w:val="0"/>
        <w:autoSpaceDE w:val="0"/>
        <w:autoSpaceDN w:val="0"/>
        <w:rPr>
          <w:snapToGrid w:val="0"/>
          <w:color w:val="000000"/>
          <w:kern w:val="28"/>
          <w:szCs w:val="22"/>
        </w:rPr>
      </w:pPr>
    </w:p>
    <w:p w:rsidR="00670773" w:rsidP="00670773" w14:paraId="2C78EC44" w14:textId="4C8D11EF">
      <w:pPr>
        <w:widowControl w:val="0"/>
        <w:autoSpaceDE w:val="0"/>
        <w:autoSpaceDN w:val="0"/>
        <w:adjustRightInd w:val="0"/>
        <w:ind w:firstLine="720"/>
        <w:rPr>
          <w:snapToGrid w:val="0"/>
          <w:color w:val="000000"/>
          <w:kern w:val="28"/>
        </w:rPr>
      </w:pPr>
      <w:r>
        <w:rPr>
          <w:snapToGrid w:val="0"/>
          <w:color w:val="000000"/>
          <w:kern w:val="28"/>
        </w:rPr>
        <w:t xml:space="preserve">As required by the </w:t>
      </w:r>
      <w:r w:rsidRPr="002E6716">
        <w:rPr>
          <w:snapToGrid w:val="0"/>
          <w:color w:val="000000"/>
          <w:kern w:val="28"/>
        </w:rPr>
        <w:t>Telephone Robocall Abuse Criminal Enforcement and Deterrence Act of 2019 (TRACED Act),</w:t>
      </w:r>
      <w:r>
        <w:rPr>
          <w:snapToGrid w:val="0"/>
          <w:color w:val="000000"/>
          <w:kern w:val="28"/>
        </w:rPr>
        <w:t xml:space="preserve"> the Federal Communications Commission (Commission) </w:t>
      </w:r>
      <w:r>
        <w:rPr>
          <w:snapToGrid w:val="0"/>
          <w:color w:val="000000"/>
          <w:kern w:val="28"/>
        </w:rPr>
        <w:t xml:space="preserve">on June 25, 2020, </w:t>
      </w:r>
      <w:r>
        <w:rPr>
          <w:snapToGrid w:val="0"/>
          <w:color w:val="000000"/>
          <w:kern w:val="28"/>
        </w:rPr>
        <w:t xml:space="preserve">established </w:t>
      </w:r>
      <w:r w:rsidR="00BF2A01">
        <w:rPr>
          <w:snapToGrid w:val="0"/>
          <w:color w:val="000000"/>
          <w:kern w:val="28"/>
        </w:rPr>
        <w:t>the H</w:t>
      </w:r>
      <w:r w:rsidRPr="002E6716" w:rsidR="00BF2A01">
        <w:rPr>
          <w:snapToGrid w:val="0"/>
          <w:color w:val="000000"/>
          <w:kern w:val="28"/>
        </w:rPr>
        <w:t>ospital Robocall Protection Group (HRPG)</w:t>
      </w:r>
      <w:r w:rsidR="00455E86">
        <w:rPr>
          <w:snapToGrid w:val="0"/>
          <w:color w:val="000000"/>
          <w:kern w:val="28"/>
        </w:rPr>
        <w:t xml:space="preserve"> to issue best practices to help </w:t>
      </w:r>
      <w:r>
        <w:rPr>
          <w:snapToGrid w:val="0"/>
          <w:color w:val="000000"/>
          <w:kern w:val="28"/>
        </w:rPr>
        <w:t>combat</w:t>
      </w:r>
      <w:r w:rsidR="00455E86">
        <w:rPr>
          <w:snapToGrid w:val="0"/>
          <w:color w:val="000000"/>
          <w:kern w:val="28"/>
        </w:rPr>
        <w:t xml:space="preserve"> unlawful robocalls to hospitals.</w:t>
      </w:r>
      <w:r>
        <w:rPr>
          <w:rStyle w:val="FootnoteReference"/>
          <w:snapToGrid w:val="0"/>
          <w:color w:val="000000"/>
          <w:kern w:val="28"/>
        </w:rPr>
        <w:footnoteReference w:id="3"/>
      </w:r>
      <w:r>
        <w:rPr>
          <w:snapToGrid w:val="0"/>
          <w:color w:val="000000"/>
          <w:kern w:val="28"/>
        </w:rPr>
        <w:t xml:space="preserve">  </w:t>
      </w:r>
      <w:r w:rsidRPr="00670773">
        <w:rPr>
          <w:snapToGrid w:val="0"/>
          <w:color w:val="000000"/>
          <w:kern w:val="28"/>
        </w:rPr>
        <w:t xml:space="preserve">Under the TRACED Act the HRPG was required, within 180 days of its establishment, </w:t>
      </w:r>
      <w:r w:rsidRPr="00670773" w:rsidR="007269FC">
        <w:rPr>
          <w:snapToGrid w:val="0"/>
          <w:color w:val="000000"/>
          <w:kern w:val="28"/>
        </w:rPr>
        <w:t xml:space="preserve">to issue </w:t>
      </w:r>
      <w:r w:rsidRPr="00670773">
        <w:rPr>
          <w:snapToGrid w:val="0"/>
          <w:color w:val="000000"/>
          <w:kern w:val="28"/>
        </w:rPr>
        <w:t>best practices recommendations regarding the following: (1) How voice service providers can better combat unlawful robocalls made to hospitals; (2) How hospitals can better protect themselves from such calls, including by using unlawful robocall mitigation techniques; and (3) How the Federal Government and State governments can help combat such calls.</w:t>
      </w:r>
      <w:r>
        <w:rPr>
          <w:rStyle w:val="FootnoteReference"/>
          <w:snapToGrid w:val="0"/>
          <w:color w:val="000000"/>
          <w:kern w:val="28"/>
        </w:rPr>
        <w:footnoteReference w:id="4"/>
      </w:r>
    </w:p>
    <w:p w:rsidR="00670773" w:rsidRPr="00A45335" w:rsidP="00670773" w14:paraId="22661CF7" w14:textId="77777777">
      <w:pPr>
        <w:widowControl w:val="0"/>
        <w:autoSpaceDE w:val="0"/>
        <w:autoSpaceDN w:val="0"/>
        <w:adjustRightInd w:val="0"/>
        <w:ind w:firstLine="720"/>
        <w:rPr>
          <w:snapToGrid w:val="0"/>
          <w:color w:val="000000"/>
          <w:kern w:val="28"/>
          <w:szCs w:val="22"/>
        </w:rPr>
      </w:pPr>
    </w:p>
    <w:p w:rsidR="007259DA" w:rsidP="00C64BBA" w14:paraId="0140F509" w14:textId="2CD6B10C">
      <w:pPr>
        <w:ind w:firstLine="720"/>
        <w:rPr>
          <w:snapToGrid w:val="0"/>
          <w:color w:val="000000"/>
          <w:kern w:val="28"/>
        </w:rPr>
      </w:pPr>
      <w:r w:rsidRPr="00A45335">
        <w:rPr>
          <w:snapToGrid w:val="0"/>
          <w:color w:val="000000"/>
          <w:kern w:val="28"/>
          <w:szCs w:val="22"/>
        </w:rPr>
        <w:t xml:space="preserve">On December 14, 2020, the HRPG </w:t>
      </w:r>
      <w:r w:rsidRPr="00A45335" w:rsidR="00957998">
        <w:rPr>
          <w:snapToGrid w:val="0"/>
          <w:color w:val="000000"/>
          <w:kern w:val="28"/>
          <w:szCs w:val="22"/>
        </w:rPr>
        <w:t>issue</w:t>
      </w:r>
      <w:r w:rsidRPr="00A45335" w:rsidR="007E1E81">
        <w:rPr>
          <w:snapToGrid w:val="0"/>
          <w:color w:val="000000"/>
          <w:kern w:val="28"/>
          <w:szCs w:val="22"/>
        </w:rPr>
        <w:t>d</w:t>
      </w:r>
      <w:r w:rsidRPr="00A45335" w:rsidR="00957998">
        <w:rPr>
          <w:snapToGrid w:val="0"/>
          <w:color w:val="000000"/>
          <w:kern w:val="28"/>
          <w:szCs w:val="22"/>
        </w:rPr>
        <w:t xml:space="preserve"> </w:t>
      </w:r>
      <w:r w:rsidRPr="00A45335">
        <w:rPr>
          <w:snapToGrid w:val="0"/>
          <w:color w:val="000000"/>
          <w:kern w:val="28"/>
          <w:szCs w:val="22"/>
        </w:rPr>
        <w:t>best practices</w:t>
      </w:r>
      <w:r w:rsidRPr="00A45335">
        <w:rPr>
          <w:snapToGrid w:val="0"/>
          <w:color w:val="000000"/>
          <w:kern w:val="28"/>
          <w:szCs w:val="22"/>
        </w:rPr>
        <w:t xml:space="preserve"> for each of the above-referenced groups</w:t>
      </w:r>
      <w:r w:rsidRPr="00A45335" w:rsidR="00E833CB">
        <w:rPr>
          <w:snapToGrid w:val="0"/>
          <w:color w:val="000000"/>
          <w:kern w:val="28"/>
          <w:szCs w:val="22"/>
        </w:rPr>
        <w:t xml:space="preserve"> as required by the TRACED Act</w:t>
      </w:r>
      <w:r w:rsidRPr="00A45335">
        <w:rPr>
          <w:snapToGrid w:val="0"/>
          <w:color w:val="000000"/>
          <w:kern w:val="28"/>
          <w:szCs w:val="22"/>
        </w:rPr>
        <w:t>.</w:t>
      </w:r>
      <w:r>
        <w:rPr>
          <w:rStyle w:val="FootnoteReference"/>
          <w:snapToGrid w:val="0"/>
          <w:color w:val="000000"/>
          <w:kern w:val="28"/>
          <w:szCs w:val="22"/>
        </w:rPr>
        <w:footnoteReference w:id="5"/>
      </w:r>
      <w:r w:rsidRPr="00A45335">
        <w:rPr>
          <w:snapToGrid w:val="0"/>
          <w:color w:val="000000"/>
          <w:kern w:val="28"/>
          <w:szCs w:val="22"/>
        </w:rPr>
        <w:t xml:space="preserve">  </w:t>
      </w:r>
      <w:r w:rsidRPr="00A45335" w:rsidR="00C64BBA">
        <w:rPr>
          <w:rFonts w:eastAsiaTheme="minorHAnsi"/>
          <w:szCs w:val="22"/>
        </w:rPr>
        <w:t xml:space="preserve">Recognizing that efforts by any single entity will not adequately protect hospitals from illegal robocalls, the HRPG </w:t>
      </w:r>
      <w:r w:rsidRPr="00A45335" w:rsidR="0087322D">
        <w:rPr>
          <w:rFonts w:eastAsiaTheme="minorHAnsi"/>
          <w:szCs w:val="22"/>
        </w:rPr>
        <w:t xml:space="preserve">best practices </w:t>
      </w:r>
      <w:r w:rsidRPr="00A45335" w:rsidR="00C64BBA">
        <w:rPr>
          <w:rFonts w:eastAsiaTheme="minorHAnsi"/>
          <w:szCs w:val="22"/>
        </w:rPr>
        <w:t xml:space="preserve">focus on collective efforts and encourage a coordinated response among hospitals, phone companies, and government agencies, to mitigate the impact of these calls.  </w:t>
      </w:r>
      <w:r w:rsidRPr="00A45335">
        <w:rPr>
          <w:snapToGrid w:val="0"/>
          <w:color w:val="000000"/>
          <w:kern w:val="28"/>
          <w:szCs w:val="22"/>
        </w:rPr>
        <w:t xml:space="preserve">The HRPG also divided its best practices into two categories, how unlawful robocalls to hospitals can be </w:t>
      </w:r>
      <w:r w:rsidRPr="005209FA">
        <w:rPr>
          <w:snapToGrid w:val="0"/>
          <w:color w:val="000000"/>
          <w:kern w:val="28"/>
          <w:szCs w:val="22"/>
        </w:rPr>
        <w:t>prevented, and how hospitals can respond to unlawful robocalls that have occurred</w:t>
      </w:r>
      <w:r>
        <w:rPr>
          <w:snapToGrid w:val="0"/>
          <w:color w:val="000000"/>
          <w:kern w:val="28"/>
        </w:rPr>
        <w:t xml:space="preserve"> and mitigate their impact.  The complete text of the best practices can be found </w:t>
      </w:r>
      <w:hyperlink r:id="rId5" w:history="1">
        <w:r w:rsidRPr="00E833CB">
          <w:rPr>
            <w:rStyle w:val="Hyperlink"/>
            <w:snapToGrid w:val="0"/>
            <w:kern w:val="28"/>
          </w:rPr>
          <w:t>here</w:t>
        </w:r>
      </w:hyperlink>
      <w:r>
        <w:rPr>
          <w:snapToGrid w:val="0"/>
          <w:color w:val="000000"/>
          <w:kern w:val="28"/>
        </w:rPr>
        <w:t>.</w:t>
      </w:r>
    </w:p>
    <w:p w:rsidR="00DA4D2B" w:rsidP="00670773" w14:paraId="397DEE8D" w14:textId="77777777">
      <w:pPr>
        <w:widowControl w:val="0"/>
        <w:autoSpaceDE w:val="0"/>
        <w:autoSpaceDN w:val="0"/>
        <w:adjustRightInd w:val="0"/>
        <w:ind w:firstLine="720"/>
        <w:rPr>
          <w:snapToGrid w:val="0"/>
          <w:color w:val="000000"/>
          <w:kern w:val="28"/>
        </w:rPr>
      </w:pPr>
    </w:p>
    <w:p w:rsidR="00DA4D2B" w:rsidP="005209FA" w14:paraId="3935B93F" w14:textId="77777777">
      <w:pPr>
        <w:autoSpaceDE w:val="0"/>
        <w:autoSpaceDN w:val="0"/>
        <w:adjustRightInd w:val="0"/>
        <w:ind w:firstLine="720"/>
        <w:rPr>
          <w:snapToGrid w:val="0"/>
          <w:color w:val="000000"/>
          <w:kern w:val="28"/>
        </w:rPr>
      </w:pPr>
      <w:r>
        <w:rPr>
          <w:snapToGrid w:val="0"/>
          <w:color w:val="000000"/>
          <w:kern w:val="28"/>
        </w:rPr>
        <w:t xml:space="preserve">The TRACED Act now requires </w:t>
      </w:r>
      <w:r w:rsidRPr="002E6716">
        <w:rPr>
          <w:snapToGrid w:val="0"/>
          <w:color w:val="000000"/>
          <w:kern w:val="28"/>
        </w:rPr>
        <w:t xml:space="preserve">the </w:t>
      </w:r>
      <w:r>
        <w:rPr>
          <w:snapToGrid w:val="0"/>
          <w:color w:val="000000"/>
          <w:kern w:val="28"/>
        </w:rPr>
        <w:t xml:space="preserve">Commission to conclude a proceeding no later than June 13, 2021, </w:t>
      </w:r>
      <w:bookmarkStart w:id="4" w:name="_Hlk60993945"/>
      <w:r>
        <w:rPr>
          <w:snapToGrid w:val="0"/>
          <w:color w:val="000000"/>
          <w:kern w:val="28"/>
        </w:rPr>
        <w:t>to “</w:t>
      </w:r>
      <w:r w:rsidRPr="00CA5AF2">
        <w:rPr>
          <w:snapToGrid w:val="0"/>
          <w:color w:val="000000"/>
          <w:kern w:val="28"/>
        </w:rPr>
        <w:t>assess the extent to which the voluntary adoption of such best practices can be facilitated to protect hospitals and other institutions.</w:t>
      </w:r>
      <w:r>
        <w:rPr>
          <w:snapToGrid w:val="0"/>
          <w:color w:val="000000"/>
          <w:kern w:val="28"/>
        </w:rPr>
        <w:t>”</w:t>
      </w:r>
      <w:r>
        <w:rPr>
          <w:rStyle w:val="FootnoteReference"/>
          <w:snapToGrid w:val="0"/>
          <w:color w:val="000000"/>
          <w:kern w:val="28"/>
        </w:rPr>
        <w:footnoteReference w:id="6"/>
      </w:r>
      <w:r>
        <w:rPr>
          <w:snapToGrid w:val="0"/>
          <w:color w:val="000000"/>
          <w:kern w:val="28"/>
        </w:rPr>
        <w:t xml:space="preserve">  </w:t>
      </w:r>
      <w:bookmarkEnd w:id="4"/>
      <w:r w:rsidRPr="00CA5AF2">
        <w:rPr>
          <w:snapToGrid w:val="0"/>
          <w:color w:val="000000"/>
          <w:kern w:val="28"/>
        </w:rPr>
        <w:t xml:space="preserve">By this </w:t>
      </w:r>
      <w:r>
        <w:rPr>
          <w:snapToGrid w:val="0"/>
          <w:color w:val="000000"/>
          <w:kern w:val="28"/>
        </w:rPr>
        <w:t>P</w:t>
      </w:r>
      <w:r w:rsidRPr="00CA5AF2">
        <w:rPr>
          <w:snapToGrid w:val="0"/>
          <w:color w:val="000000"/>
          <w:kern w:val="28"/>
        </w:rPr>
        <w:t xml:space="preserve">ublic </w:t>
      </w:r>
      <w:r>
        <w:rPr>
          <w:snapToGrid w:val="0"/>
          <w:color w:val="000000"/>
          <w:kern w:val="28"/>
        </w:rPr>
        <w:t>N</w:t>
      </w:r>
      <w:r w:rsidRPr="00CA5AF2">
        <w:rPr>
          <w:snapToGrid w:val="0"/>
          <w:color w:val="000000"/>
          <w:kern w:val="28"/>
        </w:rPr>
        <w:t xml:space="preserve">otice, the </w:t>
      </w:r>
      <w:r>
        <w:rPr>
          <w:snapToGrid w:val="0"/>
          <w:color w:val="000000"/>
          <w:kern w:val="28"/>
        </w:rPr>
        <w:t xml:space="preserve">Commission’s Consumer and </w:t>
      </w:r>
      <w:r>
        <w:rPr>
          <w:snapToGrid w:val="0"/>
          <w:color w:val="000000"/>
          <w:kern w:val="28"/>
        </w:rPr>
        <w:t xml:space="preserve">Governmental Affairs Bureau </w:t>
      </w:r>
      <w:r w:rsidRPr="00CA5AF2">
        <w:rPr>
          <w:snapToGrid w:val="0"/>
          <w:color w:val="000000"/>
          <w:kern w:val="28"/>
        </w:rPr>
        <w:t>(Bureau) seeks comment on</w:t>
      </w:r>
      <w:r>
        <w:rPr>
          <w:snapToGrid w:val="0"/>
          <w:color w:val="000000"/>
          <w:kern w:val="28"/>
        </w:rPr>
        <w:t xml:space="preserve"> how the voluntary adoption of the best practices can be facilitated </w:t>
      </w:r>
      <w:r w:rsidRPr="004E2C92">
        <w:rPr>
          <w:snapToGrid w:val="0"/>
          <w:color w:val="000000"/>
          <w:kern w:val="28"/>
        </w:rPr>
        <w:t>consistent with the Congressional directive.</w:t>
      </w:r>
    </w:p>
    <w:p w:rsidR="008D23AE" w:rsidP="00433C59" w14:paraId="2E1222F4" w14:textId="648E5B7D">
      <w:pPr>
        <w:autoSpaceDE w:val="0"/>
        <w:autoSpaceDN w:val="0"/>
        <w:adjustRightInd w:val="0"/>
      </w:pPr>
    </w:p>
    <w:p w:rsidR="008D23AE" w:rsidP="00461CDD" w14:paraId="163FA6A1" w14:textId="1B3EE8B9">
      <w:pPr>
        <w:autoSpaceDE w:val="0"/>
        <w:autoSpaceDN w:val="0"/>
        <w:adjustRightInd w:val="0"/>
        <w:ind w:firstLine="720"/>
      </w:pPr>
      <w:r w:rsidRPr="2853FF8E">
        <w:rPr>
          <w:snapToGrid w:val="0"/>
          <w:kern w:val="28"/>
        </w:rPr>
        <w:t xml:space="preserve">Commenters are asked to comment on </w:t>
      </w:r>
      <w:r w:rsidRPr="2853FF8E" w:rsidR="002016F2">
        <w:rPr>
          <w:snapToGrid w:val="0"/>
          <w:kern w:val="28"/>
        </w:rPr>
        <w:t>all aspects of the HRPG</w:t>
      </w:r>
      <w:r w:rsidRPr="2853FF8E" w:rsidR="1371BBCE">
        <w:rPr>
          <w:snapToGrid w:val="0"/>
          <w:kern w:val="28"/>
        </w:rPr>
        <w:t xml:space="preserve"> B</w:t>
      </w:r>
      <w:r w:rsidRPr="2853FF8E" w:rsidR="002016F2">
        <w:rPr>
          <w:snapToGrid w:val="0"/>
          <w:kern w:val="28"/>
        </w:rPr>
        <w:t xml:space="preserve">est </w:t>
      </w:r>
      <w:r w:rsidRPr="2853FF8E" w:rsidR="3C73B0EA">
        <w:rPr>
          <w:snapToGrid w:val="0"/>
          <w:kern w:val="28"/>
        </w:rPr>
        <w:t>P</w:t>
      </w:r>
      <w:r w:rsidRPr="2853FF8E" w:rsidR="002016F2">
        <w:rPr>
          <w:snapToGrid w:val="0"/>
          <w:kern w:val="28"/>
        </w:rPr>
        <w:t>ractices</w:t>
      </w:r>
      <w:r w:rsidRPr="2853FF8E">
        <w:rPr>
          <w:snapToGrid w:val="0"/>
          <w:kern w:val="28"/>
        </w:rPr>
        <w:t xml:space="preserve">, including </w:t>
      </w:r>
      <w:r w:rsidR="001447B1">
        <w:rPr>
          <w:snapToGrid w:val="0"/>
          <w:kern w:val="28"/>
        </w:rPr>
        <w:t xml:space="preserve">whether the division of </w:t>
      </w:r>
      <w:r w:rsidRPr="2853FF8E">
        <w:rPr>
          <w:snapToGrid w:val="0"/>
          <w:kern w:val="28"/>
        </w:rPr>
        <w:t>best practices into “prevention” and “mitigation” categories ha</w:t>
      </w:r>
      <w:r w:rsidR="001447B1">
        <w:rPr>
          <w:snapToGrid w:val="0"/>
          <w:kern w:val="28"/>
        </w:rPr>
        <w:t>s</w:t>
      </w:r>
      <w:r w:rsidRPr="2853FF8E">
        <w:rPr>
          <w:snapToGrid w:val="0"/>
          <w:kern w:val="28"/>
        </w:rPr>
        <w:t xml:space="preserve"> any impact on the extent to which the voluntary adoption of the best practices can be facilitated</w:t>
      </w:r>
      <w:r w:rsidR="001447B1">
        <w:rPr>
          <w:snapToGrid w:val="0"/>
          <w:kern w:val="28"/>
        </w:rPr>
        <w:t>.</w:t>
      </w:r>
      <w:r w:rsidRPr="2853FF8E">
        <w:rPr>
          <w:snapToGrid w:val="0"/>
          <w:kern w:val="28"/>
        </w:rPr>
        <w:t xml:space="preserve">  </w:t>
      </w:r>
      <w:r w:rsidR="001447B1">
        <w:rPr>
          <w:snapToGrid w:val="0"/>
          <w:kern w:val="28"/>
        </w:rPr>
        <w:t xml:space="preserve">Interested parties should identify specific incentives that are most likely to lead to voluntary adoption.  </w:t>
      </w:r>
      <w:r w:rsidRPr="2853FF8E">
        <w:rPr>
          <w:snapToGrid w:val="0"/>
          <w:kern w:val="28"/>
        </w:rPr>
        <w:t xml:space="preserve">Finally, interested parties should </w:t>
      </w:r>
      <w:r w:rsidR="001447B1">
        <w:rPr>
          <w:snapToGrid w:val="0"/>
          <w:kern w:val="28"/>
        </w:rPr>
        <w:t xml:space="preserve">also </w:t>
      </w:r>
      <w:r w:rsidRPr="2853FF8E">
        <w:rPr>
          <w:snapToGrid w:val="0"/>
          <w:kern w:val="28"/>
        </w:rPr>
        <w:t>look upon the best practices both individually and as a group.  Might s</w:t>
      </w:r>
      <w:r w:rsidR="005D39EA">
        <w:rPr>
          <w:snapToGrid w:val="0"/>
          <w:kern w:val="28"/>
        </w:rPr>
        <w:t xml:space="preserve">ome </w:t>
      </w:r>
      <w:r w:rsidRPr="2853FF8E">
        <w:rPr>
          <w:snapToGrid w:val="0"/>
          <w:kern w:val="28"/>
        </w:rPr>
        <w:t xml:space="preserve">best practices </w:t>
      </w:r>
      <w:r w:rsidRPr="2853FF8E" w:rsidR="00461CDD">
        <w:rPr>
          <w:snapToGrid w:val="0"/>
          <w:kern w:val="28"/>
        </w:rPr>
        <w:t>be easier to adopt than others?</w:t>
      </w:r>
      <w:r w:rsidR="00E833CB">
        <w:rPr>
          <w:snapToGrid w:val="0"/>
          <w:kern w:val="28"/>
        </w:rPr>
        <w:t xml:space="preserve">  By seeking comment</w:t>
      </w:r>
      <w:r w:rsidR="003B7B4D">
        <w:rPr>
          <w:snapToGrid w:val="0"/>
          <w:kern w:val="28"/>
        </w:rPr>
        <w:t xml:space="preserve"> in this fashion</w:t>
      </w:r>
      <w:r w:rsidR="001447B1">
        <w:rPr>
          <w:snapToGrid w:val="0"/>
          <w:kern w:val="28"/>
        </w:rPr>
        <w:t>,</w:t>
      </w:r>
      <w:r w:rsidR="003B7B4D">
        <w:rPr>
          <w:snapToGrid w:val="0"/>
          <w:kern w:val="28"/>
        </w:rPr>
        <w:t xml:space="preserve"> t</w:t>
      </w:r>
      <w:r w:rsidRPr="2853FF8E" w:rsidR="002016F2">
        <w:rPr>
          <w:snapToGrid w:val="0"/>
          <w:kern w:val="28"/>
        </w:rPr>
        <w:t xml:space="preserve">he Commission hopes to draw upon a wide range of stakeholder perspectives to ensure that its Section 14(d) assessment is comprehensive.  </w:t>
      </w:r>
    </w:p>
    <w:p w:rsidR="004C105C" w:rsidP="00461CDD" w14:paraId="3FBE87CE" w14:textId="77777777">
      <w:pPr>
        <w:autoSpaceDE w:val="0"/>
        <w:autoSpaceDN w:val="0"/>
        <w:adjustRightInd w:val="0"/>
        <w:rPr>
          <w:snapToGrid w:val="0"/>
          <w:kern w:val="28"/>
          <w:szCs w:val="22"/>
        </w:rPr>
      </w:pPr>
    </w:p>
    <w:p w:rsidR="000D1040" w:rsidRPr="000D1040" w:rsidP="000D1040" w14:paraId="79EFEA08" w14:textId="2602EAB6">
      <w:pPr>
        <w:widowControl w:val="0"/>
        <w:ind w:firstLine="720"/>
        <w:rPr>
          <w:kern w:val="28"/>
        </w:rPr>
      </w:pPr>
      <w:bookmarkStart w:id="5" w:name="_Hlk33453421"/>
      <w:r w:rsidRPr="004C105C">
        <w:rPr>
          <w:i/>
          <w:iCs/>
          <w:kern w:val="28"/>
        </w:rPr>
        <w:t>Filing requirements</w:t>
      </w:r>
      <w:r>
        <w:rPr>
          <w:kern w:val="28"/>
        </w:rPr>
        <w:t>.  I</w:t>
      </w:r>
      <w:r w:rsidRPr="000D1040">
        <w:rPr>
          <w:kern w:val="28"/>
        </w:rPr>
        <w:t xml:space="preserve">nterested parties may file comments on or before </w:t>
      </w:r>
      <w:r w:rsidRPr="004945B7" w:rsidR="004945B7">
        <w:rPr>
          <w:b/>
          <w:bCs/>
          <w:kern w:val="28"/>
        </w:rPr>
        <w:t>February 1</w:t>
      </w:r>
      <w:r w:rsidRPr="000D1040">
        <w:rPr>
          <w:b/>
          <w:bCs/>
          <w:kern w:val="28"/>
        </w:rPr>
        <w:t>, 202</w:t>
      </w:r>
      <w:r w:rsidR="00F10A80">
        <w:rPr>
          <w:b/>
          <w:bCs/>
          <w:kern w:val="28"/>
        </w:rPr>
        <w:t>1</w:t>
      </w:r>
      <w:r w:rsidRPr="000D1040">
        <w:rPr>
          <w:kern w:val="28"/>
        </w:rPr>
        <w:t xml:space="preserve">.  All filings should refer to </w:t>
      </w:r>
      <w:r w:rsidR="00F10A80">
        <w:rPr>
          <w:kern w:val="28"/>
        </w:rPr>
        <w:t>CG</w:t>
      </w:r>
      <w:r w:rsidRPr="000D1040">
        <w:rPr>
          <w:kern w:val="28"/>
        </w:rPr>
        <w:t xml:space="preserve"> Docket No. 2</w:t>
      </w:r>
      <w:r w:rsidR="00F10A80">
        <w:rPr>
          <w:kern w:val="28"/>
        </w:rPr>
        <w:t>1</w:t>
      </w:r>
      <w:r w:rsidRPr="000D1040">
        <w:rPr>
          <w:kern w:val="28"/>
        </w:rPr>
        <w:t>-</w:t>
      </w:r>
      <w:r w:rsidR="004945B7">
        <w:rPr>
          <w:kern w:val="28"/>
        </w:rPr>
        <w:t>7</w:t>
      </w:r>
      <w:r w:rsidRPr="000D1040">
        <w:rPr>
          <w:kern w:val="28"/>
        </w:rPr>
        <w:t xml:space="preserve">.  </w:t>
      </w:r>
      <w:r w:rsidRPr="000D1040">
        <w:rPr>
          <w:rFonts w:eastAsia="Calibri"/>
          <w:kern w:val="28"/>
        </w:rPr>
        <w:t>Filings must be addressed to the Commission’s Secretary, Office of the Secretary, Federal Communications Commission.</w:t>
      </w:r>
      <w:r w:rsidRPr="000D1040">
        <w:rPr>
          <w:kern w:val="28"/>
        </w:rPr>
        <w:t xml:space="preserve">  Comments may be filed by paper or by using the Commission’s Electronic Comment Filing System (ECFS).  </w:t>
      </w:r>
      <w:r w:rsidRPr="000D1040">
        <w:rPr>
          <w:i/>
          <w:kern w:val="28"/>
        </w:rPr>
        <w:t>See Electronic Filing of Documents in Rulemaking Proceedings</w:t>
      </w:r>
      <w:r w:rsidRPr="000D1040">
        <w:rPr>
          <w:kern w:val="28"/>
        </w:rPr>
        <w:t>, 63 FR 24121 (1998).</w:t>
      </w:r>
    </w:p>
    <w:p w:rsidR="000D1040" w:rsidRPr="000D1040" w:rsidP="00461CDD" w14:paraId="03F22D65" w14:textId="77777777">
      <w:pPr>
        <w:widowControl w:val="0"/>
        <w:rPr>
          <w:kern w:val="28"/>
        </w:rPr>
      </w:pPr>
    </w:p>
    <w:p w:rsidR="000D1040" w:rsidRPr="000D1040" w:rsidP="000D1040" w14:paraId="7CC43229" w14:textId="1D64718E">
      <w:pPr>
        <w:widowControl w:val="0"/>
        <w:numPr>
          <w:ilvl w:val="0"/>
          <w:numId w:val="36"/>
        </w:numPr>
        <w:rPr>
          <w:kern w:val="28"/>
          <w:szCs w:val="22"/>
        </w:rPr>
      </w:pPr>
      <w:r w:rsidRPr="000D1040">
        <w:rPr>
          <w:kern w:val="28"/>
          <w:szCs w:val="22"/>
        </w:rPr>
        <w:t xml:space="preserve">Electronic Filers:  Comments may be filed electronically using the Internet by accessing the ECFS:  </w:t>
      </w:r>
      <w:hyperlink r:id="rId6" w:history="1">
        <w:r w:rsidRPr="000D1040">
          <w:rPr>
            <w:color w:val="0000FF"/>
            <w:kern w:val="28"/>
            <w:szCs w:val="22"/>
            <w:u w:val="single"/>
          </w:rPr>
          <w:t>http://www.fcc.gov/ecfs/</w:t>
        </w:r>
      </w:hyperlink>
      <w:r w:rsidRPr="000D1040">
        <w:rPr>
          <w:kern w:val="28"/>
          <w:szCs w:val="22"/>
        </w:rPr>
        <w:t>.</w:t>
      </w:r>
    </w:p>
    <w:p w:rsidR="00015CAC" w:rsidRPr="00610E39" w:rsidP="00015CAC" w14:paraId="1F0F9102" w14:textId="77777777">
      <w:pPr>
        <w:numPr>
          <w:ilvl w:val="0"/>
          <w:numId w:val="39"/>
        </w:numPr>
        <w:spacing w:line="271" w:lineRule="auto"/>
        <w:ind w:right="158"/>
        <w:rPr>
          <w:rFonts w:cs="Arial"/>
        </w:rPr>
      </w:pPr>
      <w:r w:rsidRPr="00610E39">
        <w:rPr>
          <w:rFonts w:cs="Arial"/>
        </w:rPr>
        <w:t xml:space="preserve">Paper Filers:  Parties who choose to file by paper must file an original and one copy of each filing. </w:t>
      </w:r>
    </w:p>
    <w:p w:rsidR="00015CAC" w:rsidRPr="00610E39" w:rsidP="00015CAC" w14:paraId="333AB36C" w14:textId="77777777">
      <w:pPr>
        <w:widowControl w:val="0"/>
        <w:numPr>
          <w:ilvl w:val="1"/>
          <w:numId w:val="39"/>
        </w:numPr>
        <w:spacing w:line="271" w:lineRule="auto"/>
        <w:ind w:right="160"/>
        <w:rPr>
          <w:rFonts w:cs="Arial"/>
        </w:rPr>
      </w:pPr>
      <w:r w:rsidRPr="00610E39">
        <w:rPr>
          <w:rFonts w:cs="Arial"/>
        </w:rPr>
        <w:t>Filings can be sent by commercial overnight courier, or by first-class or overnight U.S. Postal Service mail. All filings must be addressed to the Commission’s Secretary, Office of the Secretary, Federal Communications Commission.</w:t>
      </w:r>
    </w:p>
    <w:p w:rsidR="00015CAC" w:rsidRPr="00610E39" w:rsidP="00015CAC" w14:paraId="6E020AD3" w14:textId="5397572D">
      <w:pPr>
        <w:widowControl w:val="0"/>
        <w:numPr>
          <w:ilvl w:val="1"/>
          <w:numId w:val="39"/>
        </w:numPr>
        <w:spacing w:line="271" w:lineRule="auto"/>
        <w:ind w:right="160"/>
        <w:rPr>
          <w:rFonts w:cs="Arial"/>
        </w:rPr>
      </w:pPr>
      <w:r w:rsidRPr="2853FF8E">
        <w:rPr>
          <w:rFonts w:cs="Arial"/>
        </w:rPr>
        <w:t xml:space="preserve">Commercial overnight mail (other than U.S. Postal Service Express Mail and Priority Mail) must be sent to 9050 Junction Drive, Annapolis Junction, MD 20701. </w:t>
      </w:r>
    </w:p>
    <w:p w:rsidR="00015CAC" w:rsidRPr="00610E39" w:rsidP="00015CAC" w14:paraId="5F6643A0" w14:textId="3DD4968D">
      <w:pPr>
        <w:widowControl w:val="0"/>
        <w:numPr>
          <w:ilvl w:val="1"/>
          <w:numId w:val="39"/>
        </w:numPr>
        <w:spacing w:line="271" w:lineRule="auto"/>
        <w:ind w:right="160"/>
        <w:rPr>
          <w:rFonts w:cs="Arial"/>
        </w:rPr>
      </w:pPr>
      <w:r w:rsidRPr="2853FF8E">
        <w:rPr>
          <w:rFonts w:cs="Arial"/>
        </w:rPr>
        <w:t xml:space="preserve">U.S. </w:t>
      </w:r>
      <w:r w:rsidRPr="2853FF8E">
        <w:rPr>
          <w:rFonts w:cs="Arial"/>
        </w:rPr>
        <w:t>Postal Service first-class, Express, and Priority mail must be addressed to 45 L Street, N</w:t>
      </w:r>
      <w:r w:rsidRPr="2853FF8E" w:rsidR="00614595">
        <w:rPr>
          <w:rFonts w:cs="Arial"/>
        </w:rPr>
        <w:t>E</w:t>
      </w:r>
      <w:r w:rsidRPr="2853FF8E">
        <w:rPr>
          <w:rFonts w:cs="Arial"/>
        </w:rPr>
        <w:t>, Washington DC  20554.</w:t>
      </w:r>
    </w:p>
    <w:p w:rsidR="00015CAC" w:rsidRPr="00610E39" w:rsidP="00015CAC" w14:paraId="713D3E71" w14:textId="32C97E8F">
      <w:pPr>
        <w:widowControl w:val="0"/>
        <w:numPr>
          <w:ilvl w:val="0"/>
          <w:numId w:val="39"/>
        </w:numPr>
        <w:spacing w:line="271" w:lineRule="auto"/>
        <w:ind w:right="160"/>
        <w:rPr>
          <w:rFonts w:cs="Arial"/>
        </w:rPr>
      </w:pPr>
      <w:r w:rsidRPr="00610E39">
        <w:rPr>
          <w:rFonts w:cs="Arial"/>
        </w:rPr>
        <w:t>Effective March 19, 2020, and until further notice, the Commission no longer accepts any hand or messenger</w:t>
      </w:r>
      <w:r w:rsidRPr="00610E39" w:rsidR="2A377D28">
        <w:rPr>
          <w:rFonts w:cs="Arial"/>
        </w:rPr>
        <w:t>-</w:t>
      </w:r>
      <w:r w:rsidRPr="00610E39">
        <w:rPr>
          <w:rFonts w:cs="Arial"/>
        </w:rPr>
        <w:t>delivered filings. This is a temporary measure taken to help protect the health and safety of individuals, and to mitigate the transmission of COVID-19.</w:t>
      </w:r>
      <w:r>
        <w:rPr>
          <w:rFonts w:cs="Arial"/>
          <w:vertAlign w:val="superscript"/>
        </w:rPr>
        <w:footnoteReference w:id="7"/>
      </w:r>
    </w:p>
    <w:p w:rsidR="000D1040" w:rsidRPr="000D1040" w:rsidP="000D1040" w14:paraId="07B4335E" w14:textId="77777777">
      <w:pPr>
        <w:widowControl w:val="0"/>
        <w:rPr>
          <w:kern w:val="28"/>
          <w:szCs w:val="22"/>
        </w:rPr>
      </w:pPr>
    </w:p>
    <w:p w:rsidR="000D1040" w:rsidRPr="000D1040" w:rsidP="000D1040" w14:paraId="27233F78" w14:textId="0FAD748D">
      <w:pPr>
        <w:ind w:firstLine="720"/>
        <w:rPr>
          <w:kern w:val="28"/>
          <w:szCs w:val="22"/>
        </w:rPr>
      </w:pPr>
      <w:r w:rsidRPr="00E66EC7">
        <w:rPr>
          <w:i/>
          <w:iCs/>
          <w:kern w:val="28"/>
          <w:szCs w:val="22"/>
        </w:rPr>
        <w:t>People with Disabilities</w:t>
      </w:r>
      <w:r w:rsidRPr="000D1040">
        <w:rPr>
          <w:kern w:val="28"/>
          <w:szCs w:val="22"/>
        </w:rPr>
        <w:t xml:space="preserve">:  To request materials in accessible formats for people with disabilities (braille, large print, electronic files, audio format), send an e-mail to </w:t>
      </w:r>
      <w:hyperlink r:id="rId7" w:history="1">
        <w:r w:rsidRPr="000D1040">
          <w:rPr>
            <w:color w:val="0000FF"/>
            <w:kern w:val="28"/>
            <w:szCs w:val="22"/>
            <w:u w:val="single"/>
          </w:rPr>
          <w:t>fcc504@fcc.gov</w:t>
        </w:r>
      </w:hyperlink>
      <w:r w:rsidRPr="000D1040">
        <w:rPr>
          <w:kern w:val="28"/>
          <w:szCs w:val="22"/>
        </w:rPr>
        <w:t xml:space="preserve"> or call the Consumer </w:t>
      </w:r>
      <w:r w:rsidR="00F10A80">
        <w:rPr>
          <w:kern w:val="28"/>
          <w:szCs w:val="22"/>
        </w:rPr>
        <w:t>and</w:t>
      </w:r>
      <w:r w:rsidRPr="000D1040">
        <w:rPr>
          <w:kern w:val="28"/>
          <w:szCs w:val="22"/>
        </w:rPr>
        <w:t xml:space="preserve"> Governmental Affairs Bureau at 202-418-0530 (voice), 202-418-0432 (tty).</w:t>
      </w:r>
    </w:p>
    <w:p w:rsidR="000D1040" w:rsidRPr="000D1040" w:rsidP="000D1040" w14:paraId="0E46996A" w14:textId="77777777">
      <w:pPr>
        <w:widowControl w:val="0"/>
        <w:rPr>
          <w:kern w:val="28"/>
          <w:szCs w:val="22"/>
        </w:rPr>
      </w:pPr>
    </w:p>
    <w:p w:rsidR="000D1040" w:rsidP="000D1040" w14:paraId="0B14D69B" w14:textId="36E4690C">
      <w:pPr>
        <w:widowControl w:val="0"/>
        <w:spacing w:after="220"/>
        <w:ind w:firstLine="720"/>
        <w:rPr>
          <w:kern w:val="28"/>
        </w:rPr>
      </w:pPr>
      <w:r w:rsidRPr="000D1040">
        <w:rPr>
          <w:kern w:val="28"/>
        </w:rPr>
        <w:t>For further information, contact</w:t>
      </w:r>
      <w:r>
        <w:rPr>
          <w:kern w:val="28"/>
        </w:rPr>
        <w:t xml:space="preserve"> Aliza Katz</w:t>
      </w:r>
      <w:r w:rsidRPr="000D1040">
        <w:rPr>
          <w:kern w:val="28"/>
        </w:rPr>
        <w:t>,</w:t>
      </w:r>
      <w:r>
        <w:rPr>
          <w:kern w:val="28"/>
        </w:rPr>
        <w:t xml:space="preserve"> Attorney Advisor,</w:t>
      </w:r>
      <w:r w:rsidRPr="000D1040">
        <w:rPr>
          <w:kern w:val="28"/>
        </w:rPr>
        <w:t xml:space="preserve"> </w:t>
      </w:r>
      <w:bookmarkStart w:id="6" w:name="_Hlk59182220"/>
      <w:r>
        <w:rPr>
          <w:kern w:val="28"/>
        </w:rPr>
        <w:t>Office of Intergovernmental Affairs</w:t>
      </w:r>
      <w:r w:rsidRPr="000D1040">
        <w:rPr>
          <w:kern w:val="28"/>
        </w:rPr>
        <w:t>,</w:t>
      </w:r>
      <w:r>
        <w:rPr>
          <w:kern w:val="28"/>
        </w:rPr>
        <w:t xml:space="preserve"> Consumer and Governmental Affairs Bureau,</w:t>
      </w:r>
      <w:r w:rsidRPr="000D1040">
        <w:rPr>
          <w:kern w:val="28"/>
        </w:rPr>
        <w:t xml:space="preserve"> (202) </w:t>
      </w:r>
      <w:r>
        <w:rPr>
          <w:kern w:val="28"/>
        </w:rPr>
        <w:t>418</w:t>
      </w:r>
      <w:r w:rsidRPr="000D1040">
        <w:rPr>
          <w:kern w:val="28"/>
        </w:rPr>
        <w:t>-</w:t>
      </w:r>
      <w:r>
        <w:rPr>
          <w:kern w:val="28"/>
        </w:rPr>
        <w:t>1737</w:t>
      </w:r>
      <w:r w:rsidRPr="000D1040">
        <w:rPr>
          <w:kern w:val="28"/>
        </w:rPr>
        <w:t xml:space="preserve"> or </w:t>
      </w:r>
      <w:hyperlink r:id="rId8" w:history="1">
        <w:r w:rsidRPr="00E953C5">
          <w:rPr>
            <w:rStyle w:val="Hyperlink"/>
            <w:kern w:val="28"/>
          </w:rPr>
          <w:t>Aliza.Katz@fcc.gov</w:t>
        </w:r>
      </w:hyperlink>
      <w:bookmarkEnd w:id="6"/>
      <w:r w:rsidRPr="000D1040">
        <w:rPr>
          <w:kern w:val="28"/>
        </w:rPr>
        <w:t xml:space="preserve">, or </w:t>
      </w:r>
      <w:r>
        <w:rPr>
          <w:kern w:val="28"/>
        </w:rPr>
        <w:t>Gayle Teicher, Attorney Advisor, Office of Intergovernmental Affairs</w:t>
      </w:r>
      <w:r w:rsidRPr="000D1040">
        <w:rPr>
          <w:kern w:val="28"/>
        </w:rPr>
        <w:t>,</w:t>
      </w:r>
      <w:r>
        <w:rPr>
          <w:kern w:val="28"/>
        </w:rPr>
        <w:t xml:space="preserve"> Consumer and Governmental Affairs Bureau,</w:t>
      </w:r>
      <w:r w:rsidRPr="000D1040">
        <w:rPr>
          <w:kern w:val="28"/>
        </w:rPr>
        <w:t xml:space="preserve"> (202) </w:t>
      </w:r>
      <w:r>
        <w:rPr>
          <w:kern w:val="28"/>
        </w:rPr>
        <w:t>418-1515</w:t>
      </w:r>
      <w:r w:rsidRPr="000D1040">
        <w:rPr>
          <w:kern w:val="28"/>
        </w:rPr>
        <w:t xml:space="preserve"> or </w:t>
      </w:r>
      <w:hyperlink r:id="rId9" w:history="1">
        <w:r w:rsidRPr="00676A8D">
          <w:rPr>
            <w:rStyle w:val="Hyperlink"/>
            <w:kern w:val="28"/>
          </w:rPr>
          <w:t>Gayle.Teicher@fcc.gov</w:t>
        </w:r>
      </w:hyperlink>
      <w:r>
        <w:rPr>
          <w:kern w:val="28"/>
        </w:rPr>
        <w:t>.</w:t>
      </w:r>
      <w:bookmarkEnd w:id="5"/>
    </w:p>
    <w:sectPr w:rsidSect="005209FA">
      <w:footerReference w:type="default" r:id="rId10"/>
      <w:headerReference w:type="first" r:id="rId11"/>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73112CE1"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74F3B4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1744" w14:paraId="3DEEC2BA" w14:textId="77777777">
      <w:r>
        <w:separator/>
      </w:r>
    </w:p>
  </w:footnote>
  <w:footnote w:type="continuationSeparator" w:id="1">
    <w:p w:rsidR="00B91744" w14:paraId="28C8EC69" w14:textId="77777777">
      <w:r>
        <w:continuationSeparator/>
      </w:r>
    </w:p>
  </w:footnote>
  <w:footnote w:type="continuationNotice" w:id="2">
    <w:p w:rsidR="00B91744" w14:paraId="22B8A1D5" w14:textId="77777777"/>
  </w:footnote>
  <w:footnote w:id="3">
    <w:p w:rsidR="00455E86" w14:paraId="59CCFF14" w14:textId="088924D1">
      <w:pPr>
        <w:pStyle w:val="FootnoteText"/>
      </w:pPr>
      <w:r>
        <w:rPr>
          <w:rStyle w:val="FootnoteReference"/>
        </w:rPr>
        <w:footnoteRef/>
      </w:r>
      <w:r>
        <w:t xml:space="preserve"> </w:t>
      </w:r>
      <w:r w:rsidRPr="2853FF8E">
        <w:rPr>
          <w:sz w:val="20"/>
        </w:rPr>
        <w:t>Pub. L., 116-105, 133 Stat 3274, § 14(</w:t>
      </w:r>
      <w:r>
        <w:rPr>
          <w:sz w:val="20"/>
        </w:rPr>
        <w:t xml:space="preserve">a).  </w:t>
      </w:r>
      <w:r w:rsidR="00670773">
        <w:rPr>
          <w:sz w:val="20"/>
        </w:rPr>
        <w:t xml:space="preserve">The TRACED Act also required that the HRPG membership include </w:t>
      </w:r>
      <w:r w:rsidR="007259DA">
        <w:rPr>
          <w:sz w:val="20"/>
        </w:rPr>
        <w:t xml:space="preserve">a specified range of industry and government members.  </w:t>
      </w:r>
      <w:r w:rsidRPr="00433C59" w:rsidR="007259DA">
        <w:rPr>
          <w:i/>
          <w:iCs/>
          <w:sz w:val="20"/>
        </w:rPr>
        <w:t>See</w:t>
      </w:r>
      <w:r w:rsidR="007259DA">
        <w:rPr>
          <w:sz w:val="20"/>
        </w:rPr>
        <w:t xml:space="preserve"> TRACED Act, </w:t>
      </w:r>
      <w:bookmarkStart w:id="2" w:name="_Hlk60833107"/>
      <w:r w:rsidRPr="2853FF8E" w:rsidR="007259DA">
        <w:rPr>
          <w:sz w:val="20"/>
        </w:rPr>
        <w:t>§ 14(</w:t>
      </w:r>
      <w:r w:rsidR="007259DA">
        <w:rPr>
          <w:sz w:val="20"/>
        </w:rPr>
        <w:t>b).</w:t>
      </w:r>
      <w:bookmarkEnd w:id="2"/>
    </w:p>
  </w:footnote>
  <w:footnote w:id="4">
    <w:p w:rsidR="00670773" w14:paraId="06DE15F4" w14:textId="220336BF">
      <w:pPr>
        <w:pStyle w:val="FootnoteText"/>
      </w:pPr>
      <w:r>
        <w:rPr>
          <w:rStyle w:val="FootnoteReference"/>
        </w:rPr>
        <w:footnoteRef/>
      </w:r>
      <w:r>
        <w:t xml:space="preserve"> </w:t>
      </w:r>
      <w:bookmarkStart w:id="3" w:name="_Hlk60832384"/>
      <w:r w:rsidRPr="00433C59">
        <w:rPr>
          <w:i/>
          <w:iCs/>
          <w:snapToGrid w:val="0"/>
          <w:color w:val="000000"/>
          <w:kern w:val="28"/>
        </w:rPr>
        <w:t>See</w:t>
      </w:r>
      <w:r w:rsidRPr="00670773">
        <w:rPr>
          <w:snapToGrid w:val="0"/>
          <w:color w:val="000000"/>
          <w:kern w:val="28"/>
        </w:rPr>
        <w:t xml:space="preserve"> TRACED Act</w:t>
      </w:r>
      <w:r w:rsidR="00433C59">
        <w:rPr>
          <w:snapToGrid w:val="0"/>
          <w:color w:val="000000"/>
          <w:kern w:val="28"/>
        </w:rPr>
        <w:t xml:space="preserve">, </w:t>
      </w:r>
      <w:r w:rsidRPr="2853FF8E" w:rsidR="00433C59">
        <w:rPr>
          <w:sz w:val="20"/>
        </w:rPr>
        <w:t>§ 14(</w:t>
      </w:r>
      <w:r w:rsidR="00433C59">
        <w:rPr>
          <w:sz w:val="20"/>
        </w:rPr>
        <w:t>c)</w:t>
      </w:r>
      <w:bookmarkEnd w:id="3"/>
      <w:r w:rsidR="00433C59">
        <w:rPr>
          <w:sz w:val="20"/>
        </w:rPr>
        <w:t>.</w:t>
      </w:r>
    </w:p>
  </w:footnote>
  <w:footnote w:id="5">
    <w:p w:rsidR="00E833CB" w14:paraId="153D228A" w14:textId="2A452EB2">
      <w:pPr>
        <w:pStyle w:val="FootnoteText"/>
      </w:pPr>
      <w:r>
        <w:rPr>
          <w:rStyle w:val="FootnoteReference"/>
        </w:rPr>
        <w:footnoteRef/>
      </w:r>
      <w:r>
        <w:t xml:space="preserve"> </w:t>
      </w:r>
      <w:r w:rsidRPr="00433C59">
        <w:rPr>
          <w:i/>
          <w:iCs/>
        </w:rPr>
        <w:t>Id.</w:t>
      </w:r>
    </w:p>
  </w:footnote>
  <w:footnote w:id="6">
    <w:p w:rsidR="00DA4D2B" w:rsidP="00DA4D2B" w14:paraId="5D1081D3" w14:textId="77777777">
      <w:pPr>
        <w:pStyle w:val="FootnoteText"/>
      </w:pPr>
      <w:r w:rsidRPr="00002F41">
        <w:rPr>
          <w:rStyle w:val="FootnoteReference"/>
          <w:sz w:val="20"/>
        </w:rPr>
        <w:footnoteRef/>
      </w:r>
      <w:r w:rsidRPr="00002F41">
        <w:rPr>
          <w:sz w:val="20"/>
        </w:rPr>
        <w:t xml:space="preserve"> </w:t>
      </w:r>
      <w:r w:rsidRPr="2853FF8E">
        <w:rPr>
          <w:sz w:val="20"/>
        </w:rPr>
        <w:t>TRACED Act § 14(d)</w:t>
      </w:r>
      <w:r>
        <w:rPr>
          <w:sz w:val="20"/>
        </w:rPr>
        <w:t xml:space="preserve">.  Section 14(d) requires the Commission to complete the proceeding not later than 180 days of the issuance of the best practices.  </w:t>
      </w:r>
      <w:r w:rsidRPr="0025170E">
        <w:rPr>
          <w:i/>
          <w:iCs/>
          <w:sz w:val="20"/>
        </w:rPr>
        <w:t>Id.</w:t>
      </w:r>
    </w:p>
  </w:footnote>
  <w:footnote w:id="7">
    <w:p w:rsidR="00015CAC" w:rsidRPr="00815718" w:rsidP="2853FF8E" w14:paraId="48602F88" w14:textId="77777777">
      <w:pPr>
        <w:pStyle w:val="ParaNum0"/>
        <w:numPr>
          <w:ilvl w:val="0"/>
          <w:numId w:val="0"/>
        </w:numPr>
        <w:rPr>
          <w:sz w:val="20"/>
        </w:rPr>
      </w:pPr>
      <w:r w:rsidRPr="00121474">
        <w:rPr>
          <w:rStyle w:val="FootnoteReference"/>
          <w:sz w:val="20"/>
        </w:rPr>
        <w:footnoteRef/>
      </w:r>
      <w:r w:rsidRPr="2853FF8E" w:rsidR="2853FF8E">
        <w:rPr>
          <w:sz w:val="20"/>
        </w:rPr>
        <w:t xml:space="preserve"> </w:t>
      </w:r>
      <w:r w:rsidRPr="2853FF8E" w:rsidR="2853FF8E">
        <w:rPr>
          <w:i/>
          <w:iCs/>
          <w:sz w:val="20"/>
        </w:rPr>
        <w:t>See</w:t>
      </w:r>
      <w:r w:rsidRPr="2853FF8E" w:rsidR="2853FF8E">
        <w:rPr>
          <w:sz w:val="20"/>
        </w:rPr>
        <w:t xml:space="preserve"> </w:t>
      </w:r>
      <w:r w:rsidRPr="2853FF8E" w:rsidR="2853FF8E">
        <w:rPr>
          <w:i/>
          <w:iCs/>
          <w:sz w:val="20"/>
        </w:rPr>
        <w:t>FCC Announces Closure of FCC Headquarters Open Window and Change in Hand-Delivery Policy</w:t>
      </w:r>
      <w:r w:rsidRPr="2853FF8E" w:rsidR="2853FF8E">
        <w:rPr>
          <w:sz w:val="20"/>
        </w:rPr>
        <w:t>, Public Notice, 35 FCC Rcd 2788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7D0AF12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737750"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7BB48D7D" w:rsidR="69177503">
      <w:rPr>
        <w:rFonts w:ascii="News Gothic MT" w:hAnsi="News Gothic MT"/>
        <w:b/>
        <w:bCs/>
        <w:kern w:val="28"/>
        <w:sz w:val="96"/>
        <w:szCs w:val="96"/>
      </w:rPr>
      <w:t>PUBLIC NOTICE</w:t>
    </w:r>
  </w:p>
  <w:p w:rsidR="00C66856" w14:paraId="27D2D2B1"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11993737" w14:textId="77777777">
                    <w:pPr>
                      <w:spacing w:before="40"/>
                      <w:jc w:val="right"/>
                      <w:rPr>
                        <w:rFonts w:ascii="Arial" w:hAnsi="Arial"/>
                        <w:b/>
                        <w:sz w:val="16"/>
                      </w:rPr>
                    </w:pPr>
                    <w:r>
                      <w:rPr>
                        <w:rFonts w:ascii="Arial" w:hAnsi="Arial"/>
                        <w:b/>
                        <w:sz w:val="16"/>
                      </w:rPr>
                      <w:t>News Media Information 202 / 418-0500</w:t>
                    </w:r>
                  </w:p>
                  <w:p w:rsidR="00C66856" w14:paraId="3DE7E09E"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paraId="03A0EA9D" w14:textId="77777777">
                    <w:pPr>
                      <w:jc w:val="right"/>
                      <w:rPr>
                        <w:rFonts w:ascii="Arial" w:hAnsi="Arial"/>
                        <w:b/>
                        <w:sz w:val="16"/>
                      </w:rPr>
                    </w:pPr>
                    <w:r>
                      <w:rPr>
                        <w:rFonts w:ascii="Arial" w:hAnsi="Arial"/>
                        <w:b/>
                        <w:sz w:val="16"/>
                      </w:rPr>
                      <w:t>TTY: 1-888-835-5322</w:t>
                    </w:r>
                  </w:p>
                  <w:p w:rsidR="00C66856" w14:paraId="4F553B03"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120C4F45">
                          <w:pPr>
                            <w:rPr>
                              <w:rFonts w:ascii="Arial" w:hAnsi="Arial"/>
                              <w:b/>
                            </w:rPr>
                          </w:pPr>
                          <w:r>
                            <w:rPr>
                              <w:rFonts w:ascii="Arial" w:hAnsi="Arial"/>
                              <w:b/>
                            </w:rPr>
                            <w:t xml:space="preserve">45 </w:t>
                          </w:r>
                          <w:r w:rsidR="00C10AEA">
                            <w:rPr>
                              <w:rFonts w:ascii="Arial" w:hAnsi="Arial"/>
                              <w:b/>
                            </w:rPr>
                            <w:t>L.</w:t>
                          </w:r>
                          <w:r>
                            <w:rPr>
                              <w:rFonts w:ascii="Arial" w:hAnsi="Arial"/>
                              <w:b/>
                            </w:rPr>
                            <w:t xml:space="preserve"> St., </w:t>
                          </w:r>
                          <w:r w:rsidR="00C10AEA">
                            <w:rPr>
                              <w:rFonts w:ascii="Arial" w:hAnsi="Arial"/>
                              <w:b/>
                            </w:rPr>
                            <w:t>N</w:t>
                          </w:r>
                          <w:r>
                            <w:rPr>
                              <w:rFonts w:ascii="Arial" w:hAnsi="Arial"/>
                              <w:b/>
                            </w:rPr>
                            <w:t>.</w:t>
                          </w:r>
                          <w:r w:rsidR="00614595">
                            <w:rPr>
                              <w:rFonts w:ascii="Arial" w:hAnsi="Arial"/>
                              <w:b/>
                            </w:rPr>
                            <w:t>E</w:t>
                          </w:r>
                          <w:r>
                            <w:rPr>
                              <w:rFonts w:ascii="Arial" w:hAnsi="Arial"/>
                              <w:b/>
                            </w:rPr>
                            <w:t>.</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24AA80EB" w14:textId="77777777">
                    <w:pPr>
                      <w:jc w:val="both"/>
                      <w:rPr>
                        <w:rFonts w:ascii="Arial" w:hAnsi="Arial"/>
                        <w:b/>
                      </w:rPr>
                    </w:pPr>
                    <w:r>
                      <w:rPr>
                        <w:rFonts w:ascii="Arial" w:hAnsi="Arial"/>
                        <w:b/>
                      </w:rPr>
                      <w:t>Federal Communications Commission</w:t>
                    </w:r>
                  </w:p>
                  <w:p w:rsidR="00C66856" w14:paraId="3C207E1B" w14:textId="120C4F45">
                    <w:pPr>
                      <w:rPr>
                        <w:rFonts w:ascii="Arial" w:hAnsi="Arial"/>
                        <w:b/>
                      </w:rPr>
                    </w:pPr>
                    <w:r>
                      <w:rPr>
                        <w:rFonts w:ascii="Arial" w:hAnsi="Arial"/>
                        <w:b/>
                      </w:rPr>
                      <w:t xml:space="preserve">45 </w:t>
                    </w:r>
                    <w:r w:rsidR="00C10AEA">
                      <w:rPr>
                        <w:rFonts w:ascii="Arial" w:hAnsi="Arial"/>
                        <w:b/>
                      </w:rPr>
                      <w:t>L.</w:t>
                    </w:r>
                    <w:r>
                      <w:rPr>
                        <w:rFonts w:ascii="Arial" w:hAnsi="Arial"/>
                        <w:b/>
                      </w:rPr>
                      <w:t xml:space="preserve"> St., </w:t>
                    </w:r>
                    <w:r w:rsidR="00C10AEA">
                      <w:rPr>
                        <w:rFonts w:ascii="Arial" w:hAnsi="Arial"/>
                        <w:b/>
                      </w:rPr>
                      <w:t>N</w:t>
                    </w:r>
                    <w:r>
                      <w:rPr>
                        <w:rFonts w:ascii="Arial" w:hAnsi="Arial"/>
                        <w:b/>
                      </w:rPr>
                      <w:t>.</w:t>
                    </w:r>
                    <w:r w:rsidR="00614595">
                      <w:rPr>
                        <w:rFonts w:ascii="Arial" w:hAnsi="Arial"/>
                        <w:b/>
                      </w:rPr>
                      <w:t>E</w:t>
                    </w:r>
                    <w:r>
                      <w:rPr>
                        <w:rFonts w:ascii="Arial" w:hAnsi="Arial"/>
                        <w:b/>
                      </w:rPr>
                      <w:t>.</w:t>
                    </w:r>
                  </w:p>
                  <w:p w:rsidR="00C66856" w14:paraId="45929744"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5DE9A2A5"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53B831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591396"/>
    <w:multiLevelType w:val="hybridMultilevel"/>
    <w:tmpl w:val="50880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DEE20C3"/>
    <w:multiLevelType w:val="hybridMultilevel"/>
    <w:tmpl w:val="2C5A086E"/>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color w:val="auto"/>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8AB5E99"/>
    <w:multiLevelType w:val="hybridMultilevel"/>
    <w:tmpl w:val="C11831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A9009E5"/>
    <w:multiLevelType w:val="hybrid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0">
    <w:nsid w:val="38333CB5"/>
    <w:multiLevelType w:val="hybridMultilevel"/>
    <w:tmpl w:val="8EAE2C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hybridMulti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5341241F"/>
    <w:multiLevelType w:val="hybridMulti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541F6B38"/>
    <w:multiLevelType w:val="hybrid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7">
    <w:nsid w:val="562C2053"/>
    <w:multiLevelType w:val="hybridMultilevel"/>
    <w:tmpl w:val="AEC8DF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9BA0F8A"/>
    <w:multiLevelType w:val="hybridMultilevel"/>
    <w:tmpl w:val="C03E86D2"/>
    <w:lvl w:ilvl="0">
      <w:start w:val="1"/>
      <w:numFmt w:val="bullet"/>
      <w:pStyle w:val="Bullet"/>
      <w:lvlText w:val=""/>
      <w:lvlJc w:val="left"/>
      <w:pPr>
        <w:tabs>
          <w:tab w:val="num" w:pos="2520"/>
        </w:tabs>
        <w:ind w:left="2520" w:hanging="360"/>
      </w:pPr>
      <w:rPr>
        <w:rFonts w:ascii="Symbol" w:hAnsi="Symbol" w:hint="default"/>
        <w:color w:val="auto"/>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D2B06DD"/>
    <w:multiLevelType w:val="hybrid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2">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1182925"/>
    <w:multiLevelType w:val="hybridMultilevel"/>
    <w:tmpl w:val="A9EE9842"/>
    <w:lvl w:ilvl="0">
      <w:start w:val="1"/>
      <w:numFmt w:val="decimal"/>
      <w:pStyle w:val="ParaNum0"/>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6A80846"/>
    <w:multiLevelType w:val="hybridMultilevel"/>
    <w:tmpl w:val="5072B2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A7316CB"/>
    <w:multiLevelType w:val="hybridMultilevel"/>
    <w:tmpl w:val="3A0ADF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9AB7834"/>
    <w:multiLevelType w:val="hybridMultilevel"/>
    <w:tmpl w:val="83BEB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B802AA3"/>
    <w:multiLevelType w:val="hybridMultilevel"/>
    <w:tmpl w:val="D236F8A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color w:val="auto"/>
      </w:rPr>
    </w:lvl>
    <w:lvl w:ilvl="2">
      <w:start w:val="1"/>
      <w:numFmt w:val="bullet"/>
      <w:lvlText w:val=""/>
      <w:lvlJc w:val="left"/>
      <w:pPr>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7F0406EE"/>
    <w:multiLevelType w:val="hybridMultilevel"/>
    <w:tmpl w:val="2E969AF6"/>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9"/>
  </w:num>
  <w:num w:numId="2">
    <w:abstractNumId w:val="16"/>
  </w:num>
  <w:num w:numId="3">
    <w:abstractNumId w:val="21"/>
  </w:num>
  <w:num w:numId="4">
    <w:abstractNumId w:val="9"/>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5"/>
  </w:num>
  <w:num w:numId="12">
    <w:abstractNumId w:val="11"/>
  </w:num>
  <w:num w:numId="13">
    <w:abstractNumId w:val="22"/>
  </w:num>
  <w:num w:numId="14">
    <w:abstractNumId w:val="25"/>
  </w:num>
  <w:num w:numId="15">
    <w:abstractNumId w:val="0"/>
  </w:num>
  <w:num w:numId="16">
    <w:abstractNumId w:val="12"/>
  </w:num>
  <w:num w:numId="17">
    <w:abstractNumId w:val="13"/>
  </w:num>
  <w:num w:numId="18">
    <w:abstractNumId w:val="30"/>
  </w:num>
  <w:num w:numId="19">
    <w:abstractNumId w:val="20"/>
  </w:num>
  <w:num w:numId="20">
    <w:abstractNumId w:val="2"/>
  </w:num>
  <w:num w:numId="21">
    <w:abstractNumId w:val="14"/>
  </w:num>
  <w:num w:numId="22">
    <w:abstractNumId w:val="23"/>
  </w:num>
  <w:num w:numId="23">
    <w:abstractNumId w:val="29"/>
  </w:num>
  <w:num w:numId="24">
    <w:abstractNumId w:val="3"/>
  </w:num>
  <w:num w:numId="25">
    <w:abstractNumId w:val="6"/>
  </w:num>
  <w:num w:numId="26">
    <w:abstractNumId w:val="18"/>
  </w:num>
  <w:num w:numId="27">
    <w:abstractNumId w:val="5"/>
  </w:num>
  <w:num w:numId="28">
    <w:abstractNumId w:val="27"/>
  </w:num>
  <w:num w:numId="29">
    <w:abstractNumId w:val="4"/>
  </w:num>
  <w:num w:numId="30">
    <w:abstractNumId w:val="8"/>
  </w:num>
  <w:num w:numId="31">
    <w:abstractNumId w:val="31"/>
  </w:num>
  <w:num w:numId="32">
    <w:abstractNumId w:val="17"/>
  </w:num>
  <w:num w:numId="33">
    <w:abstractNumId w:val="7"/>
  </w:num>
  <w:num w:numId="34">
    <w:abstractNumId w:val="32"/>
  </w:num>
  <w:num w:numId="35">
    <w:abstractNumId w:val="24"/>
  </w:num>
  <w:num w:numId="36">
    <w:abstractNumId w:val="10"/>
  </w:num>
  <w:num w:numId="37">
    <w:abstractNumId w:val="1"/>
  </w:num>
  <w:num w:numId="38">
    <w:abstractNumId w:val="33"/>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02F41"/>
    <w:rsid w:val="00015CAC"/>
    <w:rsid w:val="0002027C"/>
    <w:rsid w:val="00022310"/>
    <w:rsid w:val="0002664A"/>
    <w:rsid w:val="00042368"/>
    <w:rsid w:val="00052FB4"/>
    <w:rsid w:val="00056722"/>
    <w:rsid w:val="00056B43"/>
    <w:rsid w:val="00082B1A"/>
    <w:rsid w:val="00084A19"/>
    <w:rsid w:val="00096715"/>
    <w:rsid w:val="000C7C1D"/>
    <w:rsid w:val="000D1040"/>
    <w:rsid w:val="000D15AD"/>
    <w:rsid w:val="000D6627"/>
    <w:rsid w:val="000E31A9"/>
    <w:rsid w:val="000E48E1"/>
    <w:rsid w:val="000E770A"/>
    <w:rsid w:val="000E7916"/>
    <w:rsid w:val="000F466F"/>
    <w:rsid w:val="0010144A"/>
    <w:rsid w:val="00103A00"/>
    <w:rsid w:val="00103C68"/>
    <w:rsid w:val="00106B49"/>
    <w:rsid w:val="00112030"/>
    <w:rsid w:val="00121474"/>
    <w:rsid w:val="00122545"/>
    <w:rsid w:val="00137CDC"/>
    <w:rsid w:val="001447B1"/>
    <w:rsid w:val="00144958"/>
    <w:rsid w:val="00152C7B"/>
    <w:rsid w:val="00157E7D"/>
    <w:rsid w:val="00163BDA"/>
    <w:rsid w:val="00170D9A"/>
    <w:rsid w:val="00173489"/>
    <w:rsid w:val="00176195"/>
    <w:rsid w:val="001869BD"/>
    <w:rsid w:val="00194235"/>
    <w:rsid w:val="00195135"/>
    <w:rsid w:val="001A3245"/>
    <w:rsid w:val="001A3331"/>
    <w:rsid w:val="001A4D9E"/>
    <w:rsid w:val="001A6808"/>
    <w:rsid w:val="001B7E78"/>
    <w:rsid w:val="001C5878"/>
    <w:rsid w:val="001D4650"/>
    <w:rsid w:val="001D5962"/>
    <w:rsid w:val="001F28E3"/>
    <w:rsid w:val="002016F2"/>
    <w:rsid w:val="00211434"/>
    <w:rsid w:val="0021180E"/>
    <w:rsid w:val="0021337E"/>
    <w:rsid w:val="00220F7F"/>
    <w:rsid w:val="00223BF2"/>
    <w:rsid w:val="00225727"/>
    <w:rsid w:val="002456E7"/>
    <w:rsid w:val="0025025F"/>
    <w:rsid w:val="0025170E"/>
    <w:rsid w:val="002526CE"/>
    <w:rsid w:val="00254E7B"/>
    <w:rsid w:val="002551D3"/>
    <w:rsid w:val="00276520"/>
    <w:rsid w:val="002951ED"/>
    <w:rsid w:val="00296596"/>
    <w:rsid w:val="002A1687"/>
    <w:rsid w:val="002B1F85"/>
    <w:rsid w:val="002C1304"/>
    <w:rsid w:val="002D28B4"/>
    <w:rsid w:val="002E6716"/>
    <w:rsid w:val="002E7143"/>
    <w:rsid w:val="002F1154"/>
    <w:rsid w:val="002F3435"/>
    <w:rsid w:val="003046E8"/>
    <w:rsid w:val="00313990"/>
    <w:rsid w:val="00331964"/>
    <w:rsid w:val="00333239"/>
    <w:rsid w:val="0034719A"/>
    <w:rsid w:val="00350C72"/>
    <w:rsid w:val="003621F1"/>
    <w:rsid w:val="003701A0"/>
    <w:rsid w:val="00373CF8"/>
    <w:rsid w:val="00387716"/>
    <w:rsid w:val="0039062F"/>
    <w:rsid w:val="003A11A9"/>
    <w:rsid w:val="003A5393"/>
    <w:rsid w:val="003B7105"/>
    <w:rsid w:val="003B729F"/>
    <w:rsid w:val="003B7B4D"/>
    <w:rsid w:val="003C07FA"/>
    <w:rsid w:val="003C0B15"/>
    <w:rsid w:val="003C2D56"/>
    <w:rsid w:val="003D062E"/>
    <w:rsid w:val="003D1DE2"/>
    <w:rsid w:val="003D404D"/>
    <w:rsid w:val="003E38D8"/>
    <w:rsid w:val="003F1A18"/>
    <w:rsid w:val="00411F40"/>
    <w:rsid w:val="004210DC"/>
    <w:rsid w:val="00422BF8"/>
    <w:rsid w:val="00431B51"/>
    <w:rsid w:val="00433C59"/>
    <w:rsid w:val="00435DD2"/>
    <w:rsid w:val="00450888"/>
    <w:rsid w:val="00455E86"/>
    <w:rsid w:val="00461CDD"/>
    <w:rsid w:val="004664D3"/>
    <w:rsid w:val="004810F0"/>
    <w:rsid w:val="0048484E"/>
    <w:rsid w:val="004923C3"/>
    <w:rsid w:val="004945B7"/>
    <w:rsid w:val="004966CA"/>
    <w:rsid w:val="004A3271"/>
    <w:rsid w:val="004B352E"/>
    <w:rsid w:val="004B70F9"/>
    <w:rsid w:val="004B754E"/>
    <w:rsid w:val="004C105C"/>
    <w:rsid w:val="004E2C92"/>
    <w:rsid w:val="004F3BB1"/>
    <w:rsid w:val="00500A77"/>
    <w:rsid w:val="005055E7"/>
    <w:rsid w:val="005209FA"/>
    <w:rsid w:val="0054505E"/>
    <w:rsid w:val="005479C2"/>
    <w:rsid w:val="00552F76"/>
    <w:rsid w:val="00553AFA"/>
    <w:rsid w:val="005567B7"/>
    <w:rsid w:val="0056299D"/>
    <w:rsid w:val="0056612E"/>
    <w:rsid w:val="005812CE"/>
    <w:rsid w:val="00581690"/>
    <w:rsid w:val="0058250A"/>
    <w:rsid w:val="005A281C"/>
    <w:rsid w:val="005A3FFD"/>
    <w:rsid w:val="005B1EB2"/>
    <w:rsid w:val="005D20A0"/>
    <w:rsid w:val="005D39EA"/>
    <w:rsid w:val="005D66BF"/>
    <w:rsid w:val="005E475C"/>
    <w:rsid w:val="005E5799"/>
    <w:rsid w:val="005E62D7"/>
    <w:rsid w:val="005E6469"/>
    <w:rsid w:val="005F0668"/>
    <w:rsid w:val="00604DF9"/>
    <w:rsid w:val="00610E39"/>
    <w:rsid w:val="00614595"/>
    <w:rsid w:val="00642863"/>
    <w:rsid w:val="00663E36"/>
    <w:rsid w:val="006661D9"/>
    <w:rsid w:val="00670773"/>
    <w:rsid w:val="0067552E"/>
    <w:rsid w:val="00675DE3"/>
    <w:rsid w:val="00676A8D"/>
    <w:rsid w:val="00676F6C"/>
    <w:rsid w:val="0067773E"/>
    <w:rsid w:val="0069020E"/>
    <w:rsid w:val="00697994"/>
    <w:rsid w:val="006B7CBE"/>
    <w:rsid w:val="006E46A5"/>
    <w:rsid w:val="006E6AB9"/>
    <w:rsid w:val="006F1BB8"/>
    <w:rsid w:val="00701DF4"/>
    <w:rsid w:val="00706040"/>
    <w:rsid w:val="007067F9"/>
    <w:rsid w:val="007076BF"/>
    <w:rsid w:val="007104FE"/>
    <w:rsid w:val="0071415D"/>
    <w:rsid w:val="007208F5"/>
    <w:rsid w:val="007259DA"/>
    <w:rsid w:val="007261E8"/>
    <w:rsid w:val="007269FC"/>
    <w:rsid w:val="0074513D"/>
    <w:rsid w:val="007468B1"/>
    <w:rsid w:val="00752206"/>
    <w:rsid w:val="00761840"/>
    <w:rsid w:val="00785335"/>
    <w:rsid w:val="0079293A"/>
    <w:rsid w:val="007B18EB"/>
    <w:rsid w:val="007C077F"/>
    <w:rsid w:val="007C331F"/>
    <w:rsid w:val="007E1E81"/>
    <w:rsid w:val="007E7BF3"/>
    <w:rsid w:val="007F0DB8"/>
    <w:rsid w:val="007F2DB8"/>
    <w:rsid w:val="007F3805"/>
    <w:rsid w:val="00815718"/>
    <w:rsid w:val="0084570D"/>
    <w:rsid w:val="00847417"/>
    <w:rsid w:val="008520D3"/>
    <w:rsid w:val="00855755"/>
    <w:rsid w:val="008630A7"/>
    <w:rsid w:val="0087322D"/>
    <w:rsid w:val="00873E94"/>
    <w:rsid w:val="00881248"/>
    <w:rsid w:val="008923A6"/>
    <w:rsid w:val="008A1F02"/>
    <w:rsid w:val="008A4B83"/>
    <w:rsid w:val="008A60BD"/>
    <w:rsid w:val="008B3972"/>
    <w:rsid w:val="008C2B99"/>
    <w:rsid w:val="008C3CFF"/>
    <w:rsid w:val="008D23AE"/>
    <w:rsid w:val="008E4556"/>
    <w:rsid w:val="008E5B8F"/>
    <w:rsid w:val="008F01D3"/>
    <w:rsid w:val="008F1629"/>
    <w:rsid w:val="008F1720"/>
    <w:rsid w:val="008F1957"/>
    <w:rsid w:val="008F1DA5"/>
    <w:rsid w:val="008F7526"/>
    <w:rsid w:val="009211A2"/>
    <w:rsid w:val="00927BBD"/>
    <w:rsid w:val="00932547"/>
    <w:rsid w:val="00946EB7"/>
    <w:rsid w:val="00957998"/>
    <w:rsid w:val="00960B7F"/>
    <w:rsid w:val="00981D5C"/>
    <w:rsid w:val="00982E88"/>
    <w:rsid w:val="0098702E"/>
    <w:rsid w:val="00990528"/>
    <w:rsid w:val="009932E9"/>
    <w:rsid w:val="00995DCF"/>
    <w:rsid w:val="009A18DE"/>
    <w:rsid w:val="009B0810"/>
    <w:rsid w:val="009B0AC0"/>
    <w:rsid w:val="009B5F9F"/>
    <w:rsid w:val="009C4347"/>
    <w:rsid w:val="009C46F6"/>
    <w:rsid w:val="009C6F2A"/>
    <w:rsid w:val="009D09AC"/>
    <w:rsid w:val="009E2EA2"/>
    <w:rsid w:val="009F13E4"/>
    <w:rsid w:val="009F6F62"/>
    <w:rsid w:val="00A142DC"/>
    <w:rsid w:val="00A235FF"/>
    <w:rsid w:val="00A40B83"/>
    <w:rsid w:val="00A45335"/>
    <w:rsid w:val="00A46233"/>
    <w:rsid w:val="00A5242C"/>
    <w:rsid w:val="00A70A83"/>
    <w:rsid w:val="00A74421"/>
    <w:rsid w:val="00A9312F"/>
    <w:rsid w:val="00A933A3"/>
    <w:rsid w:val="00A94949"/>
    <w:rsid w:val="00A952B7"/>
    <w:rsid w:val="00AB559D"/>
    <w:rsid w:val="00AD2959"/>
    <w:rsid w:val="00AD64F9"/>
    <w:rsid w:val="00AD7804"/>
    <w:rsid w:val="00AE2FCE"/>
    <w:rsid w:val="00AE755A"/>
    <w:rsid w:val="00AF2B73"/>
    <w:rsid w:val="00AF716B"/>
    <w:rsid w:val="00B262AF"/>
    <w:rsid w:val="00B27A26"/>
    <w:rsid w:val="00B27F93"/>
    <w:rsid w:val="00B314E4"/>
    <w:rsid w:val="00B41BE3"/>
    <w:rsid w:val="00B47817"/>
    <w:rsid w:val="00B5109C"/>
    <w:rsid w:val="00B64603"/>
    <w:rsid w:val="00B65ED1"/>
    <w:rsid w:val="00B81C94"/>
    <w:rsid w:val="00B8798E"/>
    <w:rsid w:val="00B91744"/>
    <w:rsid w:val="00BA0DD6"/>
    <w:rsid w:val="00BA1BCE"/>
    <w:rsid w:val="00BA3692"/>
    <w:rsid w:val="00BB5874"/>
    <w:rsid w:val="00BD20CB"/>
    <w:rsid w:val="00BD2D0F"/>
    <w:rsid w:val="00BE53B7"/>
    <w:rsid w:val="00BF2A01"/>
    <w:rsid w:val="00BF2F30"/>
    <w:rsid w:val="00BF54A4"/>
    <w:rsid w:val="00BF60F8"/>
    <w:rsid w:val="00C046CC"/>
    <w:rsid w:val="00C10AEA"/>
    <w:rsid w:val="00C10B0B"/>
    <w:rsid w:val="00C141E6"/>
    <w:rsid w:val="00C271C6"/>
    <w:rsid w:val="00C364BD"/>
    <w:rsid w:val="00C40AC0"/>
    <w:rsid w:val="00C46A48"/>
    <w:rsid w:val="00C56839"/>
    <w:rsid w:val="00C638C9"/>
    <w:rsid w:val="00C64BBA"/>
    <w:rsid w:val="00C66856"/>
    <w:rsid w:val="00C6784C"/>
    <w:rsid w:val="00C7084E"/>
    <w:rsid w:val="00C72073"/>
    <w:rsid w:val="00C7462E"/>
    <w:rsid w:val="00C777E0"/>
    <w:rsid w:val="00C843E3"/>
    <w:rsid w:val="00C84791"/>
    <w:rsid w:val="00C8595C"/>
    <w:rsid w:val="00CA1E1B"/>
    <w:rsid w:val="00CA4234"/>
    <w:rsid w:val="00CA5077"/>
    <w:rsid w:val="00CA5AF2"/>
    <w:rsid w:val="00CF21B6"/>
    <w:rsid w:val="00D000AD"/>
    <w:rsid w:val="00D03E8F"/>
    <w:rsid w:val="00D16431"/>
    <w:rsid w:val="00D21C35"/>
    <w:rsid w:val="00D2471D"/>
    <w:rsid w:val="00D278E6"/>
    <w:rsid w:val="00D41263"/>
    <w:rsid w:val="00D46197"/>
    <w:rsid w:val="00D469EA"/>
    <w:rsid w:val="00D90013"/>
    <w:rsid w:val="00D92ED0"/>
    <w:rsid w:val="00DA4D2B"/>
    <w:rsid w:val="00DB0F09"/>
    <w:rsid w:val="00DE1235"/>
    <w:rsid w:val="00DE20B1"/>
    <w:rsid w:val="00DE7DBB"/>
    <w:rsid w:val="00E00B71"/>
    <w:rsid w:val="00E070E2"/>
    <w:rsid w:val="00E30679"/>
    <w:rsid w:val="00E37F68"/>
    <w:rsid w:val="00E450B6"/>
    <w:rsid w:val="00E5347D"/>
    <w:rsid w:val="00E633E4"/>
    <w:rsid w:val="00E66EC7"/>
    <w:rsid w:val="00E67E81"/>
    <w:rsid w:val="00E7444B"/>
    <w:rsid w:val="00E749E4"/>
    <w:rsid w:val="00E76079"/>
    <w:rsid w:val="00E833CB"/>
    <w:rsid w:val="00E91401"/>
    <w:rsid w:val="00E94BC2"/>
    <w:rsid w:val="00E953C5"/>
    <w:rsid w:val="00EA2789"/>
    <w:rsid w:val="00EA4861"/>
    <w:rsid w:val="00EB056F"/>
    <w:rsid w:val="00EC6995"/>
    <w:rsid w:val="00EE033F"/>
    <w:rsid w:val="00EE5297"/>
    <w:rsid w:val="00EF53E0"/>
    <w:rsid w:val="00F10782"/>
    <w:rsid w:val="00F10A80"/>
    <w:rsid w:val="00F10BEA"/>
    <w:rsid w:val="00F134A9"/>
    <w:rsid w:val="00F21F7B"/>
    <w:rsid w:val="00F22194"/>
    <w:rsid w:val="00F238FE"/>
    <w:rsid w:val="00F44B3B"/>
    <w:rsid w:val="00F70E21"/>
    <w:rsid w:val="00F755C0"/>
    <w:rsid w:val="00F81425"/>
    <w:rsid w:val="00F835CA"/>
    <w:rsid w:val="00F84D8C"/>
    <w:rsid w:val="00FA600A"/>
    <w:rsid w:val="00FC46E0"/>
    <w:rsid w:val="00FC5BF8"/>
    <w:rsid w:val="00FD31E4"/>
    <w:rsid w:val="00FE1EEF"/>
    <w:rsid w:val="00FE52E4"/>
    <w:rsid w:val="00FE7E88"/>
    <w:rsid w:val="044CB69B"/>
    <w:rsid w:val="04E9C275"/>
    <w:rsid w:val="05BC6B54"/>
    <w:rsid w:val="0ACC26B7"/>
    <w:rsid w:val="0B5058D9"/>
    <w:rsid w:val="0B6D3994"/>
    <w:rsid w:val="11AC0C06"/>
    <w:rsid w:val="130F2EAC"/>
    <w:rsid w:val="1371BBCE"/>
    <w:rsid w:val="17390FD0"/>
    <w:rsid w:val="18126DA6"/>
    <w:rsid w:val="1880A7A4"/>
    <w:rsid w:val="27572120"/>
    <w:rsid w:val="275CC956"/>
    <w:rsid w:val="2853FF8E"/>
    <w:rsid w:val="2A377D28"/>
    <w:rsid w:val="320DEDAB"/>
    <w:rsid w:val="3AF879C8"/>
    <w:rsid w:val="3C73B0EA"/>
    <w:rsid w:val="3F84E110"/>
    <w:rsid w:val="3FDB6055"/>
    <w:rsid w:val="40A9EAD3"/>
    <w:rsid w:val="41EEC1C6"/>
    <w:rsid w:val="45CC44E7"/>
    <w:rsid w:val="4ADFDAA3"/>
    <w:rsid w:val="4C1ED345"/>
    <w:rsid w:val="4FD20AE2"/>
    <w:rsid w:val="50BA8C30"/>
    <w:rsid w:val="549478E4"/>
    <w:rsid w:val="55AD1F4B"/>
    <w:rsid w:val="586CC8E0"/>
    <w:rsid w:val="5F1BB73C"/>
    <w:rsid w:val="5F4C01C4"/>
    <w:rsid w:val="60951BAB"/>
    <w:rsid w:val="609C4C09"/>
    <w:rsid w:val="63087D52"/>
    <w:rsid w:val="66B210AD"/>
    <w:rsid w:val="69177503"/>
    <w:rsid w:val="6A6B816D"/>
    <w:rsid w:val="6BCF4066"/>
    <w:rsid w:val="6D7B8038"/>
    <w:rsid w:val="6E5C6B6F"/>
    <w:rsid w:val="6EA3CDBC"/>
    <w:rsid w:val="6ECF292E"/>
    <w:rsid w:val="6FE7DA21"/>
    <w:rsid w:val="75556800"/>
    <w:rsid w:val="78226086"/>
    <w:rsid w:val="7851844C"/>
    <w:rsid w:val="7B3BAACC"/>
    <w:rsid w:val="7BB48D7D"/>
    <w:rsid w:val="7C6BD206"/>
    <w:rsid w:val="7D39BE92"/>
    <w:rsid w:val="7F62C55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semiHidden/>
    <w:rPr>
      <w:rFonts w:cs="Times New Roman"/>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basedOn w:val="DefaultParagraphFont"/>
    <w:link w:val="FootnoteText"/>
    <w:semiHidden/>
    <w:rsid w:val="0054505E"/>
    <w:rPr>
      <w:sz w:val="22"/>
    </w:rPr>
  </w:style>
  <w:style w:type="character" w:customStyle="1" w:styleId="UnresolvedMention1">
    <w:name w:val="Unresolved Mention1"/>
    <w:basedOn w:val="DefaultParagraphFont"/>
    <w:rsid w:val="008F1720"/>
    <w:rPr>
      <w:color w:val="605E5C"/>
      <w:shd w:val="clear" w:color="auto" w:fill="E1DFDD"/>
    </w:rPr>
  </w:style>
  <w:style w:type="character" w:customStyle="1" w:styleId="UnresolvedMention">
    <w:name w:val="Unresolved Mention"/>
    <w:basedOn w:val="DefaultParagraphFont"/>
    <w:rsid w:val="00F81425"/>
    <w:rPr>
      <w:color w:val="605E5C"/>
      <w:shd w:val="clear" w:color="auto" w:fill="E1DFDD"/>
    </w:rPr>
  </w:style>
  <w:style w:type="paragraph" w:customStyle="1" w:styleId="ParaNum0">
    <w:name w:val="ParaNum"/>
    <w:basedOn w:val="Normal"/>
    <w:rsid w:val="000D1040"/>
    <w:pPr>
      <w:widowControl w:val="0"/>
      <w:numPr>
        <w:numId w:val="35"/>
      </w:numPr>
      <w:spacing w:after="120"/>
    </w:pPr>
    <w:rPr>
      <w:snapToGrid w:val="0"/>
      <w:kern w:val="28"/>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261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sites/default/files/hrpg_report.pdf" TargetMode="External" /><Relationship Id="rId6" Type="http://schemas.openxmlformats.org/officeDocument/2006/relationships/hyperlink" Target="http://www.fcc.gov/ecfs/" TargetMode="External" /><Relationship Id="rId7" Type="http://schemas.openxmlformats.org/officeDocument/2006/relationships/hyperlink" Target="mailto:fcc504@fcc.gov" TargetMode="External" /><Relationship Id="rId8" Type="http://schemas.openxmlformats.org/officeDocument/2006/relationships/hyperlink" Target="mailto:Aliza.Katz@fcc.gov" TargetMode="External" /><Relationship Id="rId9" Type="http://schemas.openxmlformats.org/officeDocument/2006/relationships/hyperlink" Target="mailto:Gayle.Teicher@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