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F2901" w:rsidRPr="00511023" w:rsidP="00CE24E8" w14:paraId="76004994" w14:textId="09B56FDF">
      <w:pPr>
        <w:spacing w:after="0"/>
        <w:rPr>
          <w:rFonts w:ascii="Times New Roman" w:hAnsi="Times New Roman" w:cs="Times New Roman"/>
        </w:rPr>
      </w:pPr>
    </w:p>
    <w:p w:rsidR="000E4E16" w:rsidP="00511023" w14:paraId="02752977" w14:textId="1F0902DE">
      <w:pPr>
        <w:spacing w:after="0"/>
        <w:jc w:val="right"/>
        <w:rPr>
          <w:rFonts w:ascii="Times New Roman" w:hAnsi="Times New Roman" w:cs="Times New Roman"/>
          <w:b/>
          <w:sz w:val="24"/>
          <w:szCs w:val="24"/>
        </w:rPr>
      </w:pPr>
      <w:r w:rsidRPr="00511023">
        <w:rPr>
          <w:rFonts w:ascii="Times New Roman" w:hAnsi="Times New Roman" w:cs="Times New Roman"/>
        </w:rPr>
        <w:t xml:space="preserve">                                                          </w:t>
      </w:r>
      <w:r w:rsidRPr="00511023">
        <w:rPr>
          <w:rFonts w:ascii="Times New Roman" w:hAnsi="Times New Roman" w:cs="Times New Roman"/>
        </w:rPr>
        <w:t xml:space="preserve">                                                          </w:t>
      </w:r>
      <w:r w:rsidRPr="00511023" w:rsidR="00121A4A">
        <w:rPr>
          <w:rFonts w:ascii="Times New Roman" w:hAnsi="Times New Roman" w:cs="Times New Roman"/>
        </w:rPr>
        <w:tab/>
      </w:r>
      <w:r w:rsidRPr="00511023">
        <w:rPr>
          <w:rFonts w:ascii="Times New Roman" w:hAnsi="Times New Roman" w:cs="Times New Roman"/>
        </w:rPr>
        <w:t xml:space="preserve"> </w:t>
      </w:r>
      <w:r w:rsidR="00F4281B">
        <w:rPr>
          <w:rFonts w:ascii="Times New Roman" w:hAnsi="Times New Roman" w:cs="Times New Roman"/>
        </w:rPr>
        <w:t xml:space="preserve">        </w:t>
      </w:r>
      <w:r w:rsidRPr="00511023" w:rsidR="00F4281B">
        <w:rPr>
          <w:rFonts w:ascii="Times New Roman" w:hAnsi="Times New Roman" w:cs="Times New Roman"/>
          <w:sz w:val="24"/>
          <w:szCs w:val="24"/>
        </w:rPr>
        <w:t xml:space="preserve"> </w:t>
      </w:r>
      <w:r w:rsidRPr="00B34540">
        <w:rPr>
          <w:rFonts w:ascii="Times New Roman" w:hAnsi="Times New Roman" w:cs="Times New Roman"/>
          <w:b/>
          <w:sz w:val="24"/>
          <w:szCs w:val="24"/>
        </w:rPr>
        <w:t xml:space="preserve">DA </w:t>
      </w:r>
      <w:r w:rsidRPr="00B34540" w:rsidR="00CE0822">
        <w:rPr>
          <w:rFonts w:ascii="Times New Roman" w:hAnsi="Times New Roman" w:cs="Times New Roman"/>
          <w:b/>
          <w:sz w:val="24"/>
          <w:szCs w:val="24"/>
        </w:rPr>
        <w:t>2</w:t>
      </w:r>
      <w:r w:rsidRPr="00B34540" w:rsidR="00B34540">
        <w:rPr>
          <w:rFonts w:ascii="Times New Roman" w:hAnsi="Times New Roman" w:cs="Times New Roman"/>
          <w:b/>
          <w:sz w:val="24"/>
          <w:szCs w:val="24"/>
        </w:rPr>
        <w:t>1-</w:t>
      </w:r>
      <w:r w:rsidR="005E473A">
        <w:rPr>
          <w:rFonts w:ascii="Times New Roman" w:hAnsi="Times New Roman" w:cs="Times New Roman"/>
          <w:b/>
          <w:sz w:val="24"/>
          <w:szCs w:val="24"/>
        </w:rPr>
        <w:t>3</w:t>
      </w:r>
      <w:bookmarkStart w:id="0" w:name="_GoBack"/>
      <w:bookmarkEnd w:id="0"/>
    </w:p>
    <w:p w:rsidR="006F117F" w:rsidRPr="00511023" w:rsidP="00511023" w14:paraId="700578AB" w14:textId="77777777">
      <w:pPr>
        <w:spacing w:after="0"/>
        <w:jc w:val="right"/>
        <w:rPr>
          <w:rFonts w:ascii="Times New Roman" w:hAnsi="Times New Roman" w:cs="Times New Roman"/>
          <w:sz w:val="24"/>
          <w:szCs w:val="24"/>
        </w:rPr>
      </w:pPr>
    </w:p>
    <w:p w:rsidR="000E4E16" w:rsidRPr="00CE24E8" w:rsidP="00F976BA" w14:paraId="02B71EAA" w14:textId="0DD88C6B">
      <w:pPr>
        <w:spacing w:after="0"/>
        <w:jc w:val="center"/>
        <w:rPr>
          <w:rFonts w:ascii="Times New Roman" w:hAnsi="Times New Roman" w:cs="Times New Roman"/>
          <w:b/>
          <w:sz w:val="28"/>
          <w:szCs w:val="28"/>
        </w:rPr>
      </w:pPr>
      <w:r w:rsidRPr="00CE24E8">
        <w:rPr>
          <w:rFonts w:ascii="Times New Roman" w:hAnsi="Times New Roman" w:cs="Times New Roman"/>
          <w:b/>
          <w:sz w:val="36"/>
          <w:szCs w:val="36"/>
        </w:rPr>
        <w:t>SMALL ENTITY COMPLIANCE GUIDE</w:t>
      </w:r>
    </w:p>
    <w:p w:rsidR="00CE24E8" w:rsidP="00F976BA" w14:paraId="38148A90" w14:textId="77777777">
      <w:pPr>
        <w:spacing w:after="0"/>
        <w:ind w:hanging="90"/>
        <w:jc w:val="center"/>
        <w:rPr>
          <w:rFonts w:ascii="Times New Roman" w:hAnsi="Times New Roman" w:cs="Times New Roman"/>
          <w:b/>
        </w:rPr>
      </w:pPr>
    </w:p>
    <w:p w:rsidR="00091369" w:rsidP="00F976BA" w14:paraId="6A061B20" w14:textId="77777777">
      <w:pPr>
        <w:spacing w:after="0"/>
        <w:jc w:val="center"/>
        <w:rPr>
          <w:rFonts w:ascii="Times New Roman" w:hAnsi="Times New Roman" w:cs="Times New Roman"/>
          <w:b/>
          <w:sz w:val="24"/>
          <w:szCs w:val="24"/>
        </w:rPr>
      </w:pPr>
      <w:r>
        <w:rPr>
          <w:rFonts w:ascii="Times New Roman" w:hAnsi="Times New Roman" w:cs="Times New Roman"/>
          <w:b/>
          <w:sz w:val="24"/>
          <w:szCs w:val="24"/>
        </w:rPr>
        <w:t>Video Description:  Implementation of the Twenty-First Century</w:t>
      </w:r>
    </w:p>
    <w:p w:rsidR="006F2901" w:rsidRPr="00CE24E8" w:rsidP="00F976BA" w14:paraId="567AC2E3" w14:textId="04A93294">
      <w:pPr>
        <w:spacing w:after="0"/>
        <w:jc w:val="center"/>
        <w:rPr>
          <w:rFonts w:ascii="Times New Roman" w:hAnsi="Times New Roman" w:cs="Times New Roman"/>
          <w:b/>
          <w:sz w:val="24"/>
          <w:szCs w:val="24"/>
        </w:rPr>
      </w:pPr>
      <w:r>
        <w:rPr>
          <w:rFonts w:ascii="Times New Roman" w:hAnsi="Times New Roman" w:cs="Times New Roman"/>
          <w:b/>
          <w:sz w:val="24"/>
          <w:szCs w:val="24"/>
        </w:rPr>
        <w:t>Communications and Video Accessibility Act of 2010</w:t>
      </w:r>
    </w:p>
    <w:p w:rsidR="00F976BA" w:rsidRPr="00CE24E8" w:rsidP="00F976BA" w14:paraId="1F1704B7" w14:textId="77777777">
      <w:pPr>
        <w:spacing w:after="0"/>
        <w:jc w:val="center"/>
        <w:rPr>
          <w:rFonts w:ascii="Times New Roman" w:hAnsi="Times New Roman" w:cs="Times New Roman"/>
          <w:sz w:val="24"/>
          <w:szCs w:val="24"/>
        </w:rPr>
      </w:pPr>
    </w:p>
    <w:p w:rsidR="006F2901" w:rsidRPr="00CE24E8" w:rsidP="00F976BA" w14:paraId="3E93547C" w14:textId="4C094D91">
      <w:pPr>
        <w:spacing w:after="0"/>
        <w:jc w:val="center"/>
        <w:rPr>
          <w:rFonts w:ascii="Times New Roman" w:hAnsi="Times New Roman" w:cs="Times New Roman"/>
          <w:b/>
          <w:sz w:val="24"/>
          <w:szCs w:val="24"/>
        </w:rPr>
      </w:pPr>
      <w:r w:rsidRPr="00CE24E8">
        <w:rPr>
          <w:rFonts w:ascii="Times New Roman" w:hAnsi="Times New Roman" w:cs="Times New Roman"/>
          <w:b/>
          <w:sz w:val="24"/>
          <w:szCs w:val="24"/>
        </w:rPr>
        <w:t xml:space="preserve">FCC </w:t>
      </w:r>
      <w:r w:rsidR="00EB2506">
        <w:rPr>
          <w:rFonts w:ascii="Times New Roman" w:hAnsi="Times New Roman" w:cs="Times New Roman"/>
          <w:b/>
          <w:sz w:val="24"/>
          <w:szCs w:val="24"/>
        </w:rPr>
        <w:t>20-</w:t>
      </w:r>
      <w:r w:rsidR="00091369">
        <w:rPr>
          <w:rFonts w:ascii="Times New Roman" w:hAnsi="Times New Roman" w:cs="Times New Roman"/>
          <w:b/>
          <w:sz w:val="24"/>
          <w:szCs w:val="24"/>
        </w:rPr>
        <w:t>155</w:t>
      </w:r>
    </w:p>
    <w:p w:rsidR="006F2901" w:rsidRPr="00CE24E8" w:rsidP="00F976BA" w14:paraId="351CE09B" w14:textId="52F1A2B5">
      <w:pPr>
        <w:spacing w:after="0"/>
        <w:jc w:val="center"/>
        <w:rPr>
          <w:rFonts w:ascii="Times New Roman" w:hAnsi="Times New Roman" w:cs="Times New Roman"/>
          <w:sz w:val="24"/>
          <w:szCs w:val="24"/>
        </w:rPr>
      </w:pPr>
      <w:r w:rsidRPr="00CE24E8">
        <w:rPr>
          <w:rFonts w:ascii="Times New Roman" w:hAnsi="Times New Roman" w:cs="Times New Roman"/>
          <w:b/>
          <w:sz w:val="24"/>
          <w:szCs w:val="24"/>
        </w:rPr>
        <w:t>MB</w:t>
      </w:r>
      <w:r w:rsidRPr="00CE24E8" w:rsidR="00C37AC8">
        <w:rPr>
          <w:rFonts w:ascii="Times New Roman" w:hAnsi="Times New Roman" w:cs="Times New Roman"/>
          <w:b/>
          <w:sz w:val="24"/>
          <w:szCs w:val="24"/>
        </w:rPr>
        <w:t xml:space="preserve"> Docket N</w:t>
      </w:r>
      <w:r w:rsidRPr="00CE24E8">
        <w:rPr>
          <w:rFonts w:ascii="Times New Roman" w:hAnsi="Times New Roman" w:cs="Times New Roman"/>
          <w:b/>
          <w:sz w:val="24"/>
          <w:szCs w:val="24"/>
        </w:rPr>
        <w:t>o</w:t>
      </w:r>
      <w:r w:rsidRPr="00CE24E8" w:rsidR="00C37AC8">
        <w:rPr>
          <w:rFonts w:ascii="Times New Roman" w:hAnsi="Times New Roman" w:cs="Times New Roman"/>
          <w:b/>
          <w:sz w:val="24"/>
          <w:szCs w:val="24"/>
        </w:rPr>
        <w:t xml:space="preserve">. </w:t>
      </w:r>
      <w:r w:rsidRPr="00CE24E8">
        <w:rPr>
          <w:rFonts w:ascii="Times New Roman" w:hAnsi="Times New Roman" w:cs="Times New Roman"/>
          <w:b/>
          <w:sz w:val="24"/>
          <w:szCs w:val="24"/>
        </w:rPr>
        <w:t>1</w:t>
      </w:r>
      <w:r w:rsidR="00091369">
        <w:rPr>
          <w:rFonts w:ascii="Times New Roman" w:hAnsi="Times New Roman" w:cs="Times New Roman"/>
          <w:b/>
          <w:sz w:val="24"/>
          <w:szCs w:val="24"/>
        </w:rPr>
        <w:t>1</w:t>
      </w:r>
      <w:r w:rsidRPr="00CE24E8">
        <w:rPr>
          <w:rFonts w:ascii="Times New Roman" w:hAnsi="Times New Roman" w:cs="Times New Roman"/>
          <w:b/>
          <w:sz w:val="24"/>
          <w:szCs w:val="24"/>
        </w:rPr>
        <w:t>-</w:t>
      </w:r>
      <w:r w:rsidR="00091369">
        <w:rPr>
          <w:rFonts w:ascii="Times New Roman" w:hAnsi="Times New Roman" w:cs="Times New Roman"/>
          <w:b/>
          <w:sz w:val="24"/>
          <w:szCs w:val="24"/>
        </w:rPr>
        <w:t>43</w:t>
      </w:r>
    </w:p>
    <w:p w:rsidR="00FE346F" w:rsidRPr="00CE24E8" w:rsidP="000E4E16" w14:paraId="6742A8FC" w14:textId="77777777">
      <w:pPr>
        <w:spacing w:after="0"/>
        <w:rPr>
          <w:rFonts w:ascii="Times New Roman" w:hAnsi="Times New Roman" w:cs="Times New Roman"/>
          <w:b/>
          <w:sz w:val="24"/>
          <w:szCs w:val="24"/>
        </w:rPr>
      </w:pPr>
    </w:p>
    <w:p w:rsidR="006F2901" w:rsidRPr="00CE24E8" w:rsidP="00CE24E8" w14:paraId="0359BFFD" w14:textId="39ACDDE2">
      <w:pPr>
        <w:spacing w:after="0"/>
        <w:ind w:left="360"/>
        <w:rPr>
          <w:rFonts w:ascii="Times New Roman" w:hAnsi="Times New Roman" w:cs="Times New Roman"/>
          <w:b/>
          <w:sz w:val="24"/>
          <w:szCs w:val="24"/>
        </w:rPr>
      </w:pPr>
      <w:r w:rsidRPr="00CE24E8">
        <w:rPr>
          <w:rFonts w:ascii="Times New Roman" w:hAnsi="Times New Roman" w:cs="Times New Roman"/>
          <w:b/>
          <w:sz w:val="24"/>
          <w:szCs w:val="24"/>
        </w:rPr>
        <w:t>Th</w:t>
      </w:r>
      <w:r w:rsidRPr="00CE24E8">
        <w:rPr>
          <w:rFonts w:ascii="Times New Roman" w:hAnsi="Times New Roman" w:cs="Times New Roman"/>
          <w:b/>
          <w:sz w:val="24"/>
          <w:szCs w:val="24"/>
        </w:rPr>
        <w:t xml:space="preserve">is Guide is prepared in accordance with the requirements of </w:t>
      </w:r>
      <w:r w:rsidR="00A5424A">
        <w:rPr>
          <w:rFonts w:ascii="Times New Roman" w:hAnsi="Times New Roman" w:cs="Times New Roman"/>
          <w:b/>
          <w:sz w:val="24"/>
          <w:szCs w:val="24"/>
        </w:rPr>
        <w:t>s</w:t>
      </w:r>
      <w:r w:rsidRPr="00CE24E8" w:rsidR="00A5424A">
        <w:rPr>
          <w:rFonts w:ascii="Times New Roman" w:hAnsi="Times New Roman" w:cs="Times New Roman"/>
          <w:b/>
          <w:sz w:val="24"/>
          <w:szCs w:val="24"/>
        </w:rPr>
        <w:t xml:space="preserve">ection </w:t>
      </w:r>
      <w:r w:rsidRPr="00CE24E8">
        <w:rPr>
          <w:rFonts w:ascii="Times New Roman" w:hAnsi="Times New Roman" w:cs="Times New Roman"/>
          <w:b/>
          <w:sz w:val="24"/>
          <w:szCs w:val="24"/>
        </w:rPr>
        <w:t xml:space="preserve">212 of the Small Business Regulatory Enforcement Fairness Act of 1996.  It is intended to help small entities—small businesses, small organizations (non-profits), and small governmental jurisdictions—comply with the </w:t>
      </w:r>
      <w:r w:rsidRPr="00CE24E8" w:rsidR="00C47CEF">
        <w:rPr>
          <w:rFonts w:ascii="Times New Roman" w:hAnsi="Times New Roman" w:cs="Times New Roman"/>
          <w:b/>
          <w:sz w:val="24"/>
          <w:szCs w:val="24"/>
        </w:rPr>
        <w:t xml:space="preserve">revised </w:t>
      </w:r>
      <w:r w:rsidRPr="00CE24E8">
        <w:rPr>
          <w:rFonts w:ascii="Times New Roman" w:hAnsi="Times New Roman" w:cs="Times New Roman"/>
          <w:b/>
          <w:sz w:val="24"/>
          <w:szCs w:val="24"/>
        </w:rPr>
        <w:t xml:space="preserve">rules adopted in the above-referenced </w:t>
      </w:r>
      <w:r w:rsidRPr="00CE24E8" w:rsidR="00C47CEF">
        <w:rPr>
          <w:rFonts w:ascii="Times New Roman" w:hAnsi="Times New Roman" w:cs="Times New Roman"/>
          <w:b/>
          <w:sz w:val="24"/>
          <w:szCs w:val="24"/>
        </w:rPr>
        <w:t>Federal Communications Commission (</w:t>
      </w:r>
      <w:r w:rsidRPr="00CE24E8">
        <w:rPr>
          <w:rFonts w:ascii="Times New Roman" w:hAnsi="Times New Roman" w:cs="Times New Roman"/>
          <w:b/>
          <w:sz w:val="24"/>
          <w:szCs w:val="24"/>
        </w:rPr>
        <w:t>FCC</w:t>
      </w:r>
      <w:r w:rsidRPr="00CE24E8" w:rsidR="00C47CEF">
        <w:rPr>
          <w:rFonts w:ascii="Times New Roman" w:hAnsi="Times New Roman" w:cs="Times New Roman"/>
          <w:b/>
          <w:sz w:val="24"/>
          <w:szCs w:val="24"/>
        </w:rPr>
        <w:t xml:space="preserve"> or Commission)</w:t>
      </w:r>
      <w:r w:rsidRPr="00CE24E8">
        <w:rPr>
          <w:rFonts w:ascii="Times New Roman" w:hAnsi="Times New Roman" w:cs="Times New Roman"/>
          <w:b/>
          <w:sz w:val="24"/>
          <w:szCs w:val="24"/>
        </w:rPr>
        <w:t xml:space="preserve"> rulemaking dockets.  This Guide is not intended to replace </w:t>
      </w:r>
      <w:r w:rsidRPr="00CE24E8" w:rsidR="00C47CEF">
        <w:rPr>
          <w:rFonts w:ascii="Times New Roman" w:hAnsi="Times New Roman" w:cs="Times New Roman"/>
          <w:b/>
          <w:sz w:val="24"/>
          <w:szCs w:val="24"/>
        </w:rPr>
        <w:t xml:space="preserve">or supersede </w:t>
      </w:r>
      <w:r w:rsidRPr="00CE24E8">
        <w:rPr>
          <w:rFonts w:ascii="Times New Roman" w:hAnsi="Times New Roman" w:cs="Times New Roman"/>
          <w:b/>
          <w:sz w:val="24"/>
          <w:szCs w:val="24"/>
        </w:rPr>
        <w:t>the</w:t>
      </w:r>
      <w:r w:rsidRPr="00CE24E8" w:rsidR="00C47CEF">
        <w:rPr>
          <w:rFonts w:ascii="Times New Roman" w:hAnsi="Times New Roman" w:cs="Times New Roman"/>
          <w:b/>
          <w:sz w:val="24"/>
          <w:szCs w:val="24"/>
        </w:rPr>
        <w:t>se</w:t>
      </w:r>
      <w:r w:rsidRPr="00CE24E8">
        <w:rPr>
          <w:rFonts w:ascii="Times New Roman" w:hAnsi="Times New Roman" w:cs="Times New Roman"/>
          <w:b/>
          <w:sz w:val="24"/>
          <w:szCs w:val="24"/>
        </w:rPr>
        <w:t xml:space="preserve"> rules</w:t>
      </w:r>
      <w:r w:rsidRPr="00CE24E8" w:rsidR="00C47CEF">
        <w:rPr>
          <w:rFonts w:ascii="Times New Roman" w:hAnsi="Times New Roman" w:cs="Times New Roman"/>
          <w:b/>
          <w:sz w:val="24"/>
          <w:szCs w:val="24"/>
        </w:rPr>
        <w:t xml:space="preserve">, but to facilitate compliance with the rules. </w:t>
      </w:r>
      <w:r w:rsidRPr="00CE24E8">
        <w:rPr>
          <w:rFonts w:ascii="Times New Roman" w:hAnsi="Times New Roman" w:cs="Times New Roman"/>
          <w:b/>
          <w:sz w:val="24"/>
          <w:szCs w:val="24"/>
        </w:rPr>
        <w:t xml:space="preserve"> Although we have attempted to cover all parts of the rules that might be especially important to small entities, the coverage may not be exhaustive.  This Guide </w:t>
      </w:r>
      <w:r w:rsidRPr="00CE24E8" w:rsidR="00B629FE">
        <w:rPr>
          <w:rFonts w:ascii="Times New Roman" w:hAnsi="Times New Roman" w:cs="Times New Roman"/>
          <w:b/>
          <w:sz w:val="24"/>
          <w:szCs w:val="24"/>
        </w:rPr>
        <w:t xml:space="preserve">cannot anticipate all situations in which the rules apply.   Furthermore, the Commission </w:t>
      </w:r>
      <w:r w:rsidRPr="00CE24E8">
        <w:rPr>
          <w:rFonts w:ascii="Times New Roman" w:hAnsi="Times New Roman" w:cs="Times New Roman"/>
          <w:b/>
          <w:sz w:val="24"/>
          <w:szCs w:val="24"/>
        </w:rPr>
        <w:t xml:space="preserve">retains the discretion to adopt </w:t>
      </w:r>
      <w:r w:rsidRPr="00CE24E8" w:rsidR="00B629FE">
        <w:rPr>
          <w:rFonts w:ascii="Times New Roman" w:hAnsi="Times New Roman" w:cs="Times New Roman"/>
          <w:b/>
          <w:sz w:val="24"/>
          <w:szCs w:val="24"/>
        </w:rPr>
        <w:t xml:space="preserve">case-by-case </w:t>
      </w:r>
      <w:r w:rsidRPr="00CE24E8">
        <w:rPr>
          <w:rFonts w:ascii="Times New Roman" w:hAnsi="Times New Roman" w:cs="Times New Roman"/>
          <w:b/>
          <w:sz w:val="24"/>
          <w:szCs w:val="24"/>
        </w:rPr>
        <w:t>approaches</w:t>
      </w:r>
      <w:r w:rsidRPr="00CE24E8" w:rsidR="00B629FE">
        <w:rPr>
          <w:rFonts w:ascii="Times New Roman" w:hAnsi="Times New Roman" w:cs="Times New Roman"/>
          <w:b/>
          <w:sz w:val="24"/>
          <w:szCs w:val="24"/>
        </w:rPr>
        <w:t>, where appropriate,</w:t>
      </w:r>
      <w:r w:rsidRPr="00CE24E8">
        <w:rPr>
          <w:rFonts w:ascii="Times New Roman" w:hAnsi="Times New Roman" w:cs="Times New Roman"/>
          <w:b/>
          <w:sz w:val="24"/>
          <w:szCs w:val="24"/>
        </w:rPr>
        <w:t xml:space="preserve"> that may differ from this Guide.  Any decision regarding a particular small entity will be based on the statute and</w:t>
      </w:r>
      <w:r w:rsidRPr="00CE24E8" w:rsidR="008E2841">
        <w:rPr>
          <w:rFonts w:ascii="Times New Roman" w:hAnsi="Times New Roman" w:cs="Times New Roman"/>
          <w:b/>
          <w:sz w:val="24"/>
          <w:szCs w:val="24"/>
        </w:rPr>
        <w:t xml:space="preserve"> any relevant rules</w:t>
      </w:r>
      <w:r w:rsidRPr="00CE24E8">
        <w:rPr>
          <w:rFonts w:ascii="Times New Roman" w:hAnsi="Times New Roman" w:cs="Times New Roman"/>
          <w:b/>
          <w:sz w:val="24"/>
          <w:szCs w:val="24"/>
        </w:rPr>
        <w:t xml:space="preserve">. </w:t>
      </w:r>
    </w:p>
    <w:p w:rsidR="006F2901" w:rsidRPr="00CE24E8" w:rsidP="00CE24E8" w14:paraId="25270ABA" w14:textId="77777777">
      <w:pPr>
        <w:pStyle w:val="ListParagraph"/>
        <w:ind w:left="360" w:hanging="1080"/>
        <w:rPr>
          <w:rFonts w:ascii="Times New Roman" w:hAnsi="Times New Roman" w:cs="Times New Roman"/>
          <w:b/>
          <w:sz w:val="24"/>
          <w:szCs w:val="24"/>
        </w:rPr>
      </w:pPr>
    </w:p>
    <w:p w:rsidR="006F2901" w:rsidRPr="00CE24E8" w:rsidP="00CE24E8" w14:paraId="65D355CA" w14:textId="13621D8C">
      <w:pPr>
        <w:pStyle w:val="ListParagraph"/>
        <w:ind w:left="360"/>
        <w:rPr>
          <w:rFonts w:ascii="Times New Roman" w:hAnsi="Times New Roman" w:cs="Times New Roman"/>
          <w:b/>
          <w:sz w:val="24"/>
          <w:szCs w:val="24"/>
        </w:rPr>
      </w:pPr>
      <w:r w:rsidRPr="00CE24E8">
        <w:rPr>
          <w:rFonts w:ascii="Times New Roman" w:hAnsi="Times New Roman" w:cs="Times New Roman"/>
          <w:b/>
          <w:sz w:val="24"/>
          <w:szCs w:val="24"/>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w:t>
      </w:r>
      <w:r w:rsidRPr="00CE24E8" w:rsidR="00B47D0B">
        <w:rPr>
          <w:rFonts w:ascii="Times New Roman" w:hAnsi="Times New Roman" w:cs="Times New Roman"/>
          <w:b/>
          <w:sz w:val="24"/>
          <w:szCs w:val="24"/>
        </w:rPr>
        <w:t>. T</w:t>
      </w:r>
      <w:r w:rsidRPr="00CE24E8">
        <w:rPr>
          <w:rFonts w:ascii="Times New Roman" w:hAnsi="Times New Roman" w:cs="Times New Roman"/>
          <w:b/>
          <w:sz w:val="24"/>
          <w:szCs w:val="24"/>
        </w:rPr>
        <w:t xml:space="preserve">he FCC will </w:t>
      </w:r>
      <w:r w:rsidRPr="00CE24E8" w:rsidR="00FE30EB">
        <w:rPr>
          <w:rFonts w:ascii="Times New Roman" w:hAnsi="Times New Roman" w:cs="Times New Roman"/>
          <w:b/>
          <w:sz w:val="24"/>
          <w:szCs w:val="24"/>
        </w:rPr>
        <w:t xml:space="preserve">then </w:t>
      </w:r>
      <w:r w:rsidRPr="00CE24E8">
        <w:rPr>
          <w:rFonts w:ascii="Times New Roman" w:hAnsi="Times New Roman" w:cs="Times New Roman"/>
          <w:b/>
          <w:sz w:val="24"/>
          <w:szCs w:val="24"/>
        </w:rPr>
        <w:t xml:space="preserve">consider whether the recommendations or interpretations in the Guide are appropriate in that situation.  The FCC may decide to revise this Guide without public notice to reflect changes in the FCC’s approach to implementing a rule, or </w:t>
      </w:r>
      <w:r w:rsidRPr="00CE24E8" w:rsidR="00B47D0B">
        <w:rPr>
          <w:rFonts w:ascii="Times New Roman" w:hAnsi="Times New Roman" w:cs="Times New Roman"/>
          <w:b/>
          <w:sz w:val="24"/>
          <w:szCs w:val="24"/>
        </w:rPr>
        <w:t>i</w:t>
      </w:r>
      <w:r w:rsidRPr="00CE24E8">
        <w:rPr>
          <w:rFonts w:ascii="Times New Roman" w:hAnsi="Times New Roman" w:cs="Times New Roman"/>
          <w:b/>
          <w:sz w:val="24"/>
          <w:szCs w:val="24"/>
        </w:rPr>
        <w:t>t</w:t>
      </w:r>
      <w:r w:rsidRPr="00CE24E8" w:rsidR="00B47D0B">
        <w:rPr>
          <w:rFonts w:ascii="Times New Roman" w:hAnsi="Times New Roman" w:cs="Times New Roman"/>
          <w:b/>
          <w:sz w:val="24"/>
          <w:szCs w:val="24"/>
        </w:rPr>
        <w:t xml:space="preserve"> may</w:t>
      </w:r>
      <w:r w:rsidRPr="00CE24E8">
        <w:rPr>
          <w:rFonts w:ascii="Times New Roman" w:hAnsi="Times New Roman" w:cs="Times New Roman"/>
          <w:b/>
          <w:sz w:val="24"/>
          <w:szCs w:val="24"/>
        </w:rPr>
        <w:t xml:space="preserve"> clarify or update the text of the Guide.  Direct your comments and recommendations, or calls for further assistance, to the FCC’s Consumer Center:</w:t>
      </w:r>
    </w:p>
    <w:p w:rsidR="000E4E16" w:rsidRPr="00CE24E8" w:rsidP="00CE24E8" w14:paraId="44F9D184" w14:textId="77777777">
      <w:pPr>
        <w:pStyle w:val="ListParagraph"/>
        <w:ind w:left="360"/>
        <w:rPr>
          <w:rFonts w:ascii="Times New Roman" w:hAnsi="Times New Roman" w:cs="Times New Roman"/>
          <w:b/>
          <w:sz w:val="24"/>
          <w:szCs w:val="24"/>
        </w:rPr>
      </w:pPr>
    </w:p>
    <w:p w:rsidR="006F2901" w:rsidRPr="00CE24E8" w:rsidP="00CE24E8" w14:paraId="3EE78D98" w14:textId="05A6654E">
      <w:pPr>
        <w:pStyle w:val="ListParagraph"/>
        <w:ind w:left="360"/>
        <w:jc w:val="center"/>
        <w:rPr>
          <w:rFonts w:ascii="Times New Roman" w:hAnsi="Times New Roman" w:cs="Times New Roman"/>
          <w:b/>
          <w:sz w:val="24"/>
          <w:szCs w:val="24"/>
        </w:rPr>
      </w:pPr>
      <w:r w:rsidRPr="00CE24E8">
        <w:rPr>
          <w:rFonts w:ascii="Times New Roman" w:hAnsi="Times New Roman" w:cs="Times New Roman"/>
          <w:b/>
          <w:sz w:val="24"/>
          <w:szCs w:val="24"/>
        </w:rPr>
        <w:t>1-888-CALL-FCC (1-888-225-5322)</w:t>
      </w:r>
    </w:p>
    <w:p w:rsidR="00B47D0B" w:rsidRPr="00CE24E8" w:rsidP="00CE24E8" w14:paraId="7189DA74" w14:textId="5B89279E">
      <w:pPr>
        <w:pStyle w:val="ListParagraph"/>
        <w:ind w:left="360"/>
        <w:jc w:val="center"/>
        <w:rPr>
          <w:rFonts w:ascii="Times New Roman" w:hAnsi="Times New Roman" w:cs="Times New Roman"/>
          <w:b/>
          <w:sz w:val="24"/>
          <w:szCs w:val="24"/>
        </w:rPr>
      </w:pPr>
      <w:r w:rsidRPr="00CE24E8">
        <w:rPr>
          <w:rFonts w:ascii="Times New Roman" w:hAnsi="Times New Roman" w:cs="Times New Roman"/>
          <w:b/>
          <w:sz w:val="24"/>
          <w:szCs w:val="24"/>
        </w:rPr>
        <w:t>TTY: 1-888-TELL-FCC (1-888-835-5322)</w:t>
      </w:r>
    </w:p>
    <w:p w:rsidR="006F2901" w:rsidRPr="00CE24E8" w:rsidP="00CE24E8" w14:paraId="542FD57C" w14:textId="71A82108">
      <w:pPr>
        <w:pStyle w:val="ListParagraph"/>
        <w:ind w:left="360"/>
        <w:jc w:val="center"/>
        <w:rPr>
          <w:rFonts w:ascii="Times New Roman" w:hAnsi="Times New Roman" w:cs="Times New Roman"/>
          <w:b/>
          <w:sz w:val="24"/>
          <w:szCs w:val="24"/>
        </w:rPr>
      </w:pPr>
      <w:r w:rsidRPr="00CE24E8">
        <w:rPr>
          <w:rFonts w:ascii="Times New Roman" w:hAnsi="Times New Roman" w:cs="Times New Roman"/>
          <w:b/>
          <w:sz w:val="24"/>
          <w:szCs w:val="24"/>
        </w:rPr>
        <w:t>Videophone: 1-844-4-FCC-ASL (1-844-432-2275)</w:t>
      </w:r>
    </w:p>
    <w:p w:rsidR="0095132F" w:rsidRPr="00CE24E8" w:rsidP="00CE24E8" w14:paraId="4A1DEB02" w14:textId="37C1C0C6">
      <w:pPr>
        <w:pStyle w:val="ListParagraph"/>
        <w:ind w:left="360"/>
        <w:jc w:val="center"/>
        <w:rPr>
          <w:rFonts w:ascii="Times New Roman" w:hAnsi="Times New Roman" w:cs="Times New Roman"/>
          <w:b/>
          <w:sz w:val="24"/>
          <w:szCs w:val="24"/>
        </w:rPr>
        <w:sectPr w:rsidSect="00152909">
          <w:headerReference w:type="default" r:id="rId5"/>
          <w:footerReference w:type="default" r:id="rId6"/>
          <w:pgSz w:w="12240" w:h="15840"/>
          <w:pgMar w:top="1440" w:right="1440" w:bottom="1008" w:left="1440" w:header="720" w:footer="187" w:gutter="0"/>
          <w:cols w:space="720"/>
          <w:docGrid w:linePitch="360"/>
        </w:sectPr>
      </w:pPr>
      <w:r w:rsidRPr="00CE24E8">
        <w:rPr>
          <w:rFonts w:ascii="Times New Roman" w:hAnsi="Times New Roman" w:cs="Times New Roman"/>
          <w:b/>
          <w:sz w:val="24"/>
          <w:szCs w:val="24"/>
        </w:rPr>
        <w:t>Fax: 1-866-418-0232</w:t>
      </w:r>
    </w:p>
    <w:p w:rsidR="00CD624E" w:rsidP="00CD624E" w14:paraId="25301E88" w14:textId="77777777">
      <w:pPr>
        <w:jc w:val="center"/>
        <w:rPr>
          <w:rFonts w:ascii="Times New Roman" w:hAnsi="Times New Roman" w:cs="Times New Roman"/>
          <w:b/>
          <w:u w:val="single"/>
        </w:rPr>
      </w:pPr>
      <w:r w:rsidRPr="00C419A9">
        <w:rPr>
          <w:rFonts w:ascii="Times New Roman" w:hAnsi="Times New Roman" w:cs="Times New Roman"/>
          <w:b/>
          <w:u w:val="single"/>
        </w:rPr>
        <w:t>TABLE OF CONTENTS</w:t>
      </w:r>
    </w:p>
    <w:p w:rsidR="00CD624E" w:rsidRPr="00C419A9" w:rsidP="00CD624E" w14:paraId="0B3562B8" w14:textId="77777777">
      <w:pPr>
        <w:rPr>
          <w:rFonts w:ascii="Times New Roman" w:hAnsi="Times New Roman" w:cs="Times New Roman"/>
        </w:rPr>
      </w:pPr>
    </w:p>
    <w:p w:rsidR="00CD624E" w:rsidRPr="00C419A9" w:rsidP="00CD624E" w14:paraId="1A18EB69" w14:textId="2439FE9E">
      <w:pPr>
        <w:tabs>
          <w:tab w:val="right" w:leader="dot" w:pos="8640"/>
        </w:tabs>
        <w:rPr>
          <w:rFonts w:ascii="Times New Roman" w:hAnsi="Times New Roman" w:cs="Times New Roman"/>
          <w:b/>
        </w:rPr>
      </w:pPr>
      <w:r w:rsidRPr="00C419A9">
        <w:rPr>
          <w:rFonts w:ascii="Times New Roman" w:hAnsi="Times New Roman" w:cs="Times New Roman"/>
          <w:b/>
        </w:rPr>
        <w:t xml:space="preserve">I.         </w:t>
      </w:r>
      <w:r>
        <w:rPr>
          <w:rFonts w:ascii="Times New Roman" w:hAnsi="Times New Roman" w:cs="Times New Roman"/>
          <w:b/>
        </w:rPr>
        <w:t xml:space="preserve"> OBJECTIVES OF THE PROCEEDING </w:t>
      </w:r>
      <w:r>
        <w:rPr>
          <w:rFonts w:ascii="Times New Roman" w:hAnsi="Times New Roman" w:cs="Times New Roman"/>
          <w:b/>
        </w:rPr>
        <w:tab/>
      </w:r>
      <w:r w:rsidR="005A7330">
        <w:rPr>
          <w:rFonts w:ascii="Times New Roman" w:hAnsi="Times New Roman" w:cs="Times New Roman"/>
          <w:b/>
        </w:rPr>
        <w:t>3</w:t>
      </w:r>
    </w:p>
    <w:p w:rsidR="00CD624E" w:rsidRPr="00C419A9" w:rsidP="00CD624E" w14:paraId="490BE852" w14:textId="5755158A">
      <w:pPr>
        <w:tabs>
          <w:tab w:val="right" w:leader="dot" w:pos="8640"/>
        </w:tabs>
        <w:rPr>
          <w:rFonts w:ascii="Times New Roman" w:hAnsi="Times New Roman" w:cs="Times New Roman"/>
          <w:b/>
        </w:rPr>
      </w:pPr>
      <w:r w:rsidRPr="00C419A9">
        <w:rPr>
          <w:rFonts w:ascii="Times New Roman" w:hAnsi="Times New Roman" w:cs="Times New Roman"/>
          <w:b/>
        </w:rPr>
        <w:t xml:space="preserve">II.         </w:t>
      </w:r>
      <w:r>
        <w:rPr>
          <w:rFonts w:ascii="Times New Roman" w:hAnsi="Times New Roman" w:cs="Times New Roman"/>
          <w:b/>
        </w:rPr>
        <w:t xml:space="preserve">COMPLIANCE REQUIREMENTS </w:t>
      </w:r>
      <w:r>
        <w:rPr>
          <w:rFonts w:ascii="Times New Roman" w:hAnsi="Times New Roman" w:cs="Times New Roman"/>
          <w:b/>
        </w:rPr>
        <w:tab/>
      </w:r>
      <w:r w:rsidR="00DE0E77">
        <w:rPr>
          <w:rFonts w:ascii="Times New Roman" w:hAnsi="Times New Roman" w:cs="Times New Roman"/>
          <w:b/>
        </w:rPr>
        <w:t>3</w:t>
      </w:r>
    </w:p>
    <w:p w:rsidR="00CD624E" w:rsidRPr="00C419A9" w:rsidP="00CD624E" w14:paraId="68DC6F13" w14:textId="43743B34">
      <w:pPr>
        <w:tabs>
          <w:tab w:val="right" w:leader="dot" w:pos="8640"/>
        </w:tabs>
        <w:rPr>
          <w:rFonts w:ascii="Times New Roman" w:hAnsi="Times New Roman" w:cs="Times New Roman"/>
          <w:b/>
        </w:rPr>
      </w:pPr>
      <w:r w:rsidRPr="00C419A9">
        <w:rPr>
          <w:rFonts w:ascii="Times New Roman" w:hAnsi="Times New Roman" w:cs="Times New Roman"/>
          <w:b/>
        </w:rPr>
        <w:t>III.</w:t>
      </w:r>
      <w:r>
        <w:rPr>
          <w:rFonts w:ascii="Times New Roman" w:hAnsi="Times New Roman" w:cs="Times New Roman"/>
          <w:b/>
        </w:rPr>
        <w:t xml:space="preserve">        </w:t>
      </w:r>
      <w:r w:rsidRPr="00C419A9">
        <w:rPr>
          <w:rFonts w:ascii="Times New Roman" w:hAnsi="Times New Roman" w:cs="Times New Roman"/>
          <w:b/>
        </w:rPr>
        <w:t>RECORDKEEPI</w:t>
      </w:r>
      <w:r>
        <w:rPr>
          <w:rFonts w:ascii="Times New Roman" w:hAnsi="Times New Roman" w:cs="Times New Roman"/>
          <w:b/>
        </w:rPr>
        <w:t xml:space="preserve">NG AND REPORTING REQUIREMENTS </w:t>
      </w:r>
      <w:r>
        <w:rPr>
          <w:rFonts w:ascii="Times New Roman" w:hAnsi="Times New Roman" w:cs="Times New Roman"/>
          <w:b/>
        </w:rPr>
        <w:tab/>
      </w:r>
      <w:r w:rsidR="00423AE5">
        <w:rPr>
          <w:rFonts w:ascii="Times New Roman" w:hAnsi="Times New Roman" w:cs="Times New Roman"/>
          <w:b/>
        </w:rPr>
        <w:t>4</w:t>
      </w:r>
    </w:p>
    <w:p w:rsidR="00CD624E" w:rsidRPr="00C419A9" w:rsidP="00CD624E" w14:paraId="6B9E0B35" w14:textId="4D5318C9">
      <w:pPr>
        <w:tabs>
          <w:tab w:val="right" w:leader="dot" w:pos="8640"/>
        </w:tabs>
        <w:rPr>
          <w:rFonts w:ascii="Times New Roman" w:hAnsi="Times New Roman" w:cs="Times New Roman"/>
          <w:b/>
        </w:rPr>
      </w:pPr>
      <w:r w:rsidRPr="00C419A9">
        <w:rPr>
          <w:rFonts w:ascii="Times New Roman" w:hAnsi="Times New Roman" w:cs="Times New Roman"/>
          <w:b/>
        </w:rPr>
        <w:t>IV.</w:t>
      </w:r>
      <w:r>
        <w:rPr>
          <w:rFonts w:ascii="Times New Roman" w:hAnsi="Times New Roman" w:cs="Times New Roman"/>
          <w:b/>
        </w:rPr>
        <w:t xml:space="preserve">        IMPLEMENTATION DATE </w:t>
      </w:r>
      <w:r>
        <w:rPr>
          <w:rFonts w:ascii="Times New Roman" w:hAnsi="Times New Roman" w:cs="Times New Roman"/>
          <w:b/>
        </w:rPr>
        <w:tab/>
      </w:r>
      <w:r w:rsidR="00423AE5">
        <w:rPr>
          <w:rFonts w:ascii="Times New Roman" w:hAnsi="Times New Roman" w:cs="Times New Roman"/>
          <w:b/>
        </w:rPr>
        <w:t>4</w:t>
      </w:r>
    </w:p>
    <w:p w:rsidR="00CD624E" w:rsidRPr="00C419A9" w:rsidP="00CD624E" w14:paraId="2920F242" w14:textId="5272CF60">
      <w:pPr>
        <w:tabs>
          <w:tab w:val="right" w:leader="dot" w:pos="8640"/>
        </w:tabs>
        <w:rPr>
          <w:rFonts w:ascii="Times New Roman" w:hAnsi="Times New Roman" w:cs="Times New Roman"/>
          <w:b/>
        </w:rPr>
      </w:pPr>
      <w:r>
        <w:rPr>
          <w:rFonts w:ascii="Times New Roman" w:hAnsi="Times New Roman" w:cs="Times New Roman"/>
          <w:b/>
        </w:rPr>
        <w:t xml:space="preserve">V.         INTERNET LINKS </w:t>
      </w:r>
      <w:r>
        <w:rPr>
          <w:rFonts w:ascii="Times New Roman" w:hAnsi="Times New Roman" w:cs="Times New Roman"/>
          <w:b/>
        </w:rPr>
        <w:tab/>
      </w:r>
      <w:r w:rsidR="00423AE5">
        <w:rPr>
          <w:rFonts w:ascii="Times New Roman" w:hAnsi="Times New Roman" w:cs="Times New Roman"/>
          <w:b/>
        </w:rPr>
        <w:t>4</w:t>
      </w:r>
    </w:p>
    <w:p w:rsidR="001743EF" w:rsidP="00E97A21" w14:paraId="0E64538F" w14:textId="77777777">
      <w:pPr>
        <w:rPr>
          <w:rFonts w:ascii="Times New Roman" w:hAnsi="Times New Roman" w:cs="Times New Roman"/>
          <w:b/>
        </w:rPr>
        <w:sectPr w:rsidSect="005A7330">
          <w:headerReference w:type="default" r:id="rId7"/>
          <w:pgSz w:w="12240" w:h="15840"/>
          <w:pgMar w:top="1440" w:right="1440" w:bottom="1008" w:left="1440" w:header="720" w:footer="187" w:gutter="0"/>
          <w:cols w:space="720"/>
          <w:docGrid w:linePitch="360"/>
        </w:sectPr>
      </w:pPr>
    </w:p>
    <w:p w:rsidR="00E97A21" w:rsidRPr="00EC3871" w:rsidP="00EC3871" w14:paraId="003F6D71" w14:textId="212ACBCB">
      <w:pPr>
        <w:pStyle w:val="ListParagraph"/>
        <w:numPr>
          <w:ilvl w:val="0"/>
          <w:numId w:val="20"/>
        </w:numPr>
        <w:ind w:left="0" w:hanging="360"/>
        <w:jc w:val="center"/>
        <w:rPr>
          <w:rFonts w:ascii="Times New Roman" w:hAnsi="Times New Roman" w:cs="Times New Roman"/>
          <w:b/>
          <w:sz w:val="24"/>
          <w:szCs w:val="24"/>
        </w:rPr>
      </w:pPr>
      <w:r w:rsidRPr="00EC3871">
        <w:rPr>
          <w:rFonts w:ascii="Times New Roman" w:hAnsi="Times New Roman" w:cs="Times New Roman"/>
          <w:b/>
          <w:sz w:val="24"/>
          <w:szCs w:val="24"/>
          <w:u w:val="single"/>
        </w:rPr>
        <w:t>OBJECTIVES OF THE PROCEEDING</w:t>
      </w:r>
    </w:p>
    <w:p w:rsidR="00A5424A" w:rsidRPr="00A5424A" w:rsidP="00DE0E77" w14:paraId="248E58D1" w14:textId="77777777">
      <w:pPr>
        <w:pStyle w:val="ParaNum"/>
        <w:numPr>
          <w:ilvl w:val="0"/>
          <w:numId w:val="0"/>
        </w:numPr>
        <w:rPr>
          <w:color w:val="000000"/>
          <w:sz w:val="24"/>
          <w:szCs w:val="24"/>
        </w:rPr>
      </w:pPr>
      <w:r w:rsidRPr="00A5424A">
        <w:rPr>
          <w:color w:val="000000"/>
          <w:sz w:val="24"/>
          <w:szCs w:val="24"/>
        </w:rPr>
        <w:t>Audio description makes video programming more accessible to individuals who are blind or visually impaired through “[t]he insertion of audio narrated descriptions of a television program’s key visual elements into natural pauses between the program’s dialogue.”</w:t>
      </w:r>
      <w:r>
        <w:rPr>
          <w:rStyle w:val="FootnoteReference"/>
          <w:color w:val="000000"/>
          <w:sz w:val="24"/>
          <w:szCs w:val="24"/>
        </w:rPr>
        <w:footnoteReference w:id="2"/>
      </w:r>
      <w:r w:rsidRPr="00A5424A">
        <w:rPr>
          <w:color w:val="000000"/>
          <w:sz w:val="24"/>
          <w:szCs w:val="24"/>
        </w:rPr>
        <w:t xml:space="preserve"> To access audio description, consumers generally switch from the main program audio to the secondary audio stream on which audio description is typically provided. </w:t>
      </w:r>
    </w:p>
    <w:p w:rsidR="00DE0E77" w:rsidP="00DE0E77" w14:paraId="1701199C" w14:textId="269A3363">
      <w:pPr>
        <w:pStyle w:val="ParaNum"/>
        <w:numPr>
          <w:ilvl w:val="0"/>
          <w:numId w:val="0"/>
        </w:numPr>
        <w:rPr>
          <w:sz w:val="24"/>
          <w:szCs w:val="24"/>
        </w:rPr>
      </w:pPr>
      <w:r w:rsidRPr="00091369">
        <w:rPr>
          <w:sz w:val="24"/>
          <w:szCs w:val="24"/>
        </w:rPr>
        <w:t>In th</w:t>
      </w:r>
      <w:r>
        <w:rPr>
          <w:sz w:val="24"/>
          <w:szCs w:val="24"/>
        </w:rPr>
        <w:t>e</w:t>
      </w:r>
      <w:r w:rsidRPr="00091369">
        <w:rPr>
          <w:sz w:val="24"/>
          <w:szCs w:val="24"/>
        </w:rPr>
        <w:t xml:space="preserve"> Report and Order</w:t>
      </w:r>
      <w:r>
        <w:rPr>
          <w:sz w:val="24"/>
          <w:szCs w:val="24"/>
        </w:rPr>
        <w:t xml:space="preserve"> in MB Docket No. 11-43</w:t>
      </w:r>
      <w:r w:rsidRPr="00091369">
        <w:rPr>
          <w:sz w:val="24"/>
          <w:szCs w:val="24"/>
        </w:rPr>
        <w:t xml:space="preserve">, </w:t>
      </w:r>
      <w:r>
        <w:rPr>
          <w:sz w:val="24"/>
          <w:szCs w:val="24"/>
        </w:rPr>
        <w:t>the Commission took</w:t>
      </w:r>
      <w:r w:rsidRPr="00091369">
        <w:rPr>
          <w:sz w:val="24"/>
          <w:szCs w:val="24"/>
        </w:rPr>
        <w:t xml:space="preserve"> the unopposed action of expanding </w:t>
      </w:r>
      <w:r>
        <w:rPr>
          <w:sz w:val="24"/>
          <w:szCs w:val="24"/>
        </w:rPr>
        <w:t>its</w:t>
      </w:r>
      <w:r w:rsidRPr="00091369">
        <w:rPr>
          <w:sz w:val="24"/>
          <w:szCs w:val="24"/>
        </w:rPr>
        <w:t xml:space="preserve"> </w:t>
      </w:r>
      <w:r w:rsidR="00A5424A">
        <w:rPr>
          <w:sz w:val="24"/>
          <w:szCs w:val="24"/>
        </w:rPr>
        <w:t>audio</w:t>
      </w:r>
      <w:r w:rsidRPr="00091369" w:rsidR="00A5424A">
        <w:rPr>
          <w:sz w:val="24"/>
          <w:szCs w:val="24"/>
        </w:rPr>
        <w:t xml:space="preserve"> </w:t>
      </w:r>
      <w:r w:rsidRPr="00091369">
        <w:rPr>
          <w:sz w:val="24"/>
          <w:szCs w:val="24"/>
        </w:rPr>
        <w:t xml:space="preserve">description requirements by phasing them in for an additional 10 designated market areas (DMAs) each year for the next four years.  Consistent with the Twenty-First Century Communications and Video Accessibility Act of 2010 (CVAA), </w:t>
      </w:r>
      <w:r>
        <w:rPr>
          <w:sz w:val="24"/>
          <w:szCs w:val="24"/>
        </w:rPr>
        <w:t>the Commission</w:t>
      </w:r>
      <w:r w:rsidRPr="00091369">
        <w:rPr>
          <w:sz w:val="24"/>
          <w:szCs w:val="24"/>
        </w:rPr>
        <w:t xml:space="preserve"> f</w:t>
      </w:r>
      <w:r>
        <w:rPr>
          <w:sz w:val="24"/>
          <w:szCs w:val="24"/>
        </w:rPr>
        <w:t>ound</w:t>
      </w:r>
      <w:r w:rsidRPr="00091369">
        <w:rPr>
          <w:sz w:val="24"/>
          <w:szCs w:val="24"/>
        </w:rPr>
        <w:t xml:space="preserve"> that the costs of expanding the </w:t>
      </w:r>
      <w:r w:rsidR="00A5424A">
        <w:rPr>
          <w:sz w:val="24"/>
          <w:szCs w:val="24"/>
        </w:rPr>
        <w:t>audio</w:t>
      </w:r>
      <w:r w:rsidRPr="00091369" w:rsidR="00A5424A">
        <w:rPr>
          <w:sz w:val="24"/>
          <w:szCs w:val="24"/>
        </w:rPr>
        <w:t xml:space="preserve"> </w:t>
      </w:r>
      <w:r w:rsidRPr="00091369">
        <w:rPr>
          <w:sz w:val="24"/>
          <w:szCs w:val="24"/>
        </w:rPr>
        <w:t>description regulations to DMAs 61 through 100 are reasonable for program owners, providers, and distributors.</w:t>
      </w:r>
      <w:r>
        <w:rPr>
          <w:rStyle w:val="FootnoteReference"/>
          <w:sz w:val="24"/>
          <w:szCs w:val="24"/>
        </w:rPr>
        <w:footnoteReference w:id="3"/>
      </w:r>
      <w:r w:rsidRPr="00091369">
        <w:rPr>
          <w:sz w:val="24"/>
          <w:szCs w:val="24"/>
        </w:rPr>
        <w:t xml:space="preserve">  </w:t>
      </w:r>
      <w:r>
        <w:rPr>
          <w:sz w:val="24"/>
          <w:szCs w:val="24"/>
        </w:rPr>
        <w:t>The Commission’s</w:t>
      </w:r>
      <w:r w:rsidRPr="00091369">
        <w:rPr>
          <w:sz w:val="24"/>
          <w:szCs w:val="24"/>
        </w:rPr>
        <w:t xml:space="preserve"> action will help ensure that a greater number of individuals who are blind or visually impaired can be connected, informed, and entertained by television programming.  In addition, </w:t>
      </w:r>
      <w:r>
        <w:rPr>
          <w:sz w:val="24"/>
          <w:szCs w:val="24"/>
        </w:rPr>
        <w:t>the Commission</w:t>
      </w:r>
      <w:r w:rsidRPr="00091369">
        <w:rPr>
          <w:sz w:val="24"/>
          <w:szCs w:val="24"/>
        </w:rPr>
        <w:t xml:space="preserve"> modernize</w:t>
      </w:r>
      <w:r>
        <w:rPr>
          <w:sz w:val="24"/>
          <w:szCs w:val="24"/>
        </w:rPr>
        <w:t>d</w:t>
      </w:r>
      <w:r w:rsidRPr="00091369">
        <w:rPr>
          <w:sz w:val="24"/>
          <w:szCs w:val="24"/>
        </w:rPr>
        <w:t xml:space="preserve"> the terminology in part 79 of </w:t>
      </w:r>
      <w:r>
        <w:rPr>
          <w:sz w:val="24"/>
          <w:szCs w:val="24"/>
        </w:rPr>
        <w:t>its</w:t>
      </w:r>
      <w:r w:rsidRPr="00091369">
        <w:rPr>
          <w:sz w:val="24"/>
          <w:szCs w:val="24"/>
        </w:rPr>
        <w:t xml:space="preserve"> rules to use the more common and widely understood term “audio description” rather than “video description.”  Finally, </w:t>
      </w:r>
      <w:r>
        <w:rPr>
          <w:sz w:val="24"/>
          <w:szCs w:val="24"/>
        </w:rPr>
        <w:t>the Commission</w:t>
      </w:r>
      <w:r w:rsidRPr="00091369">
        <w:rPr>
          <w:sz w:val="24"/>
          <w:szCs w:val="24"/>
        </w:rPr>
        <w:t xml:space="preserve"> adopt</w:t>
      </w:r>
      <w:r>
        <w:rPr>
          <w:sz w:val="24"/>
          <w:szCs w:val="24"/>
        </w:rPr>
        <w:t>ed its</w:t>
      </w:r>
      <w:r w:rsidRPr="00091369">
        <w:rPr>
          <w:sz w:val="24"/>
          <w:szCs w:val="24"/>
        </w:rPr>
        <w:t xml:space="preserve"> proposal to delete from the rules outdated references to compliance deadlines that have passed</w:t>
      </w:r>
      <w:r>
        <w:rPr>
          <w:sz w:val="24"/>
          <w:szCs w:val="24"/>
        </w:rPr>
        <w:t>.</w:t>
      </w:r>
    </w:p>
    <w:p w:rsidR="008B4C8B" w:rsidP="00DE0E77" w14:paraId="738CE50B" w14:textId="77777777">
      <w:pPr>
        <w:pStyle w:val="ParaNum"/>
        <w:numPr>
          <w:ilvl w:val="0"/>
          <w:numId w:val="0"/>
        </w:numPr>
        <w:rPr>
          <w:b/>
          <w:sz w:val="24"/>
          <w:szCs w:val="24"/>
        </w:rPr>
      </w:pPr>
    </w:p>
    <w:p w:rsidR="00EF4B82" w:rsidRPr="00DE0E77" w:rsidP="00DE0E77" w14:paraId="2676F6DC" w14:textId="2C60C20C">
      <w:pPr>
        <w:pStyle w:val="ParaNum"/>
        <w:numPr>
          <w:ilvl w:val="0"/>
          <w:numId w:val="0"/>
        </w:numPr>
        <w:jc w:val="center"/>
        <w:rPr>
          <w:sz w:val="24"/>
          <w:szCs w:val="24"/>
        </w:rPr>
      </w:pPr>
      <w:r w:rsidRPr="00EC3871">
        <w:rPr>
          <w:b/>
          <w:sz w:val="24"/>
          <w:szCs w:val="24"/>
        </w:rPr>
        <w:t xml:space="preserve">II. </w:t>
      </w:r>
      <w:r w:rsidRPr="00EC3871" w:rsidR="00286EA8">
        <w:rPr>
          <w:b/>
          <w:sz w:val="24"/>
          <w:szCs w:val="24"/>
        </w:rPr>
        <w:tab/>
      </w:r>
      <w:r w:rsidRPr="00EC3871">
        <w:rPr>
          <w:b/>
          <w:sz w:val="24"/>
          <w:szCs w:val="24"/>
          <w:u w:val="single"/>
        </w:rPr>
        <w:t>COMPLIANCE REQUIREMENTS</w:t>
      </w:r>
    </w:p>
    <w:p w:rsidR="005A7330" w14:paraId="29191695" w14:textId="177E738A">
      <w:pPr>
        <w:rPr>
          <w:rFonts w:ascii="Times New Roman" w:hAnsi="Times New Roman" w:cs="Times New Roman"/>
          <w:bCs/>
          <w:sz w:val="24"/>
          <w:szCs w:val="24"/>
        </w:rPr>
      </w:pPr>
      <w:r>
        <w:rPr>
          <w:rFonts w:ascii="Times New Roman" w:hAnsi="Times New Roman" w:cs="Times New Roman"/>
          <w:b/>
          <w:sz w:val="24"/>
          <w:szCs w:val="24"/>
        </w:rPr>
        <w:t xml:space="preserve">Phase in for additional DMAs.  </w:t>
      </w:r>
      <w:r>
        <w:rPr>
          <w:rFonts w:ascii="Times New Roman" w:hAnsi="Times New Roman" w:cs="Times New Roman"/>
          <w:bCs/>
          <w:sz w:val="24"/>
          <w:szCs w:val="24"/>
        </w:rPr>
        <w:t xml:space="preserve">The Commission adopted its proposal to phase in the audio description requirements for an additional 10 DMAs each year for four years, beginning on the later of January 1, 2021, or the effective date of the Order.  In other words, the audio description requirements will extend to DMAs 61 through 70 on </w:t>
      </w:r>
      <w:r w:rsidR="002772CC">
        <w:rPr>
          <w:rFonts w:ascii="Times New Roman" w:hAnsi="Times New Roman" w:cs="Times New Roman"/>
          <w:bCs/>
          <w:sz w:val="24"/>
          <w:szCs w:val="24"/>
        </w:rPr>
        <w:t>January 1, 2021</w:t>
      </w:r>
      <w:r>
        <w:rPr>
          <w:rFonts w:ascii="Times New Roman" w:hAnsi="Times New Roman" w:cs="Times New Roman"/>
          <w:bCs/>
          <w:sz w:val="24"/>
          <w:szCs w:val="24"/>
        </w:rPr>
        <w:t>, to DMAs 71 through 80 on January 1, 2022, to DMAs 81 through 90 on January 1, 2023, and to DMAs 91 through 100 on January 1, 2024</w:t>
      </w:r>
      <w:r w:rsidR="00DB0BA0">
        <w:rPr>
          <w:rFonts w:ascii="Times New Roman" w:hAnsi="Times New Roman" w:cs="Times New Roman"/>
          <w:bCs/>
          <w:sz w:val="24"/>
          <w:szCs w:val="24"/>
        </w:rPr>
        <w:t>.</w:t>
      </w:r>
    </w:p>
    <w:p w:rsidR="00DB0BA0" w14:paraId="178AABF0" w14:textId="45F5A234">
      <w:pPr>
        <w:rPr>
          <w:rFonts w:ascii="Times New Roman" w:hAnsi="Times New Roman" w:cs="Times New Roman"/>
          <w:bCs/>
          <w:sz w:val="24"/>
          <w:szCs w:val="24"/>
        </w:rPr>
      </w:pPr>
      <w:r>
        <w:rPr>
          <w:rFonts w:ascii="Times New Roman" w:hAnsi="Times New Roman" w:cs="Times New Roman"/>
          <w:b/>
          <w:sz w:val="24"/>
          <w:szCs w:val="24"/>
        </w:rPr>
        <w:t>Updated Nielsen determination of market rankings.</w:t>
      </w:r>
      <w:r>
        <w:rPr>
          <w:rFonts w:ascii="Times New Roman" w:hAnsi="Times New Roman" w:cs="Times New Roman"/>
          <w:bCs/>
          <w:sz w:val="24"/>
          <w:szCs w:val="24"/>
        </w:rPr>
        <w:t xml:space="preserve">  The Commission adopted its proposal to base the extension to additional DMAs on an updated Nielsen determination of market rankings.  The Commission found that using updated Nielsen data will facilitate the efficient roll out of audio description obligations to more television households.  The revised rules will apply to the relevant DMAs “as determined by The Nielsen Company as of January 1, 2020.”</w:t>
      </w:r>
      <w:r>
        <w:rPr>
          <w:rStyle w:val="FootnoteReference"/>
          <w:rFonts w:ascii="Times New Roman" w:hAnsi="Times New Roman" w:cs="Times New Roman"/>
          <w:bCs/>
          <w:sz w:val="24"/>
          <w:szCs w:val="24"/>
        </w:rPr>
        <w:footnoteReference w:id="4"/>
      </w:r>
      <w:r>
        <w:rPr>
          <w:rFonts w:ascii="Times New Roman" w:hAnsi="Times New Roman" w:cs="Times New Roman"/>
          <w:bCs/>
          <w:sz w:val="24"/>
          <w:szCs w:val="24"/>
        </w:rPr>
        <w:t xml:space="preserve">  Any station that was not in the top 60 markets as of January 1, 2015, but is in the top 60 markets as of January 1, 2020, is expected to come into compliance with the audio description rules by the compliance deadline for DMAs 61 through 70.</w:t>
      </w:r>
    </w:p>
    <w:p w:rsidR="00DB0BA0" w14:paraId="43EA25A4" w14:textId="00D3B61F">
      <w:pPr>
        <w:rPr>
          <w:rFonts w:ascii="Times New Roman" w:hAnsi="Times New Roman" w:cs="Times New Roman"/>
          <w:bCs/>
          <w:sz w:val="24"/>
          <w:szCs w:val="24"/>
        </w:rPr>
      </w:pPr>
      <w:r>
        <w:rPr>
          <w:rFonts w:ascii="Times New Roman" w:hAnsi="Times New Roman" w:cs="Times New Roman"/>
          <w:b/>
          <w:sz w:val="24"/>
          <w:szCs w:val="24"/>
        </w:rPr>
        <w:t>Exemptions and waivers</w:t>
      </w:r>
      <w:r w:rsidR="007E3774">
        <w:rPr>
          <w:rFonts w:ascii="Times New Roman" w:hAnsi="Times New Roman" w:cs="Times New Roman"/>
          <w:b/>
          <w:sz w:val="24"/>
          <w:szCs w:val="24"/>
        </w:rPr>
        <w:t xml:space="preserve"> of the audio description rules</w:t>
      </w:r>
      <w:r>
        <w:rPr>
          <w:rFonts w:ascii="Times New Roman" w:hAnsi="Times New Roman" w:cs="Times New Roman"/>
          <w:b/>
          <w:sz w:val="24"/>
          <w:szCs w:val="24"/>
        </w:rPr>
        <w:t>.</w:t>
      </w:r>
      <w:r>
        <w:rPr>
          <w:rFonts w:ascii="Times New Roman" w:hAnsi="Times New Roman" w:cs="Times New Roman"/>
          <w:bCs/>
          <w:sz w:val="24"/>
          <w:szCs w:val="24"/>
        </w:rPr>
        <w:t xml:space="preserve">  Section 79.3 of the Commission’s rules will continue to govern any petitions for exemption due to economic burden, and section 1.3 will continue to govern waivers of the Commission’s rules generally.</w:t>
      </w:r>
    </w:p>
    <w:p w:rsidR="00DB0BA0" w14:paraId="2006563E" w14:textId="75E84C2F">
      <w:pPr>
        <w:rPr>
          <w:rFonts w:ascii="Times New Roman" w:hAnsi="Times New Roman" w:cs="Times New Roman"/>
          <w:bCs/>
          <w:sz w:val="24"/>
          <w:szCs w:val="24"/>
        </w:rPr>
      </w:pPr>
      <w:r>
        <w:rPr>
          <w:rFonts w:ascii="Times New Roman" w:hAnsi="Times New Roman" w:cs="Times New Roman"/>
          <w:b/>
          <w:sz w:val="24"/>
          <w:szCs w:val="24"/>
        </w:rPr>
        <w:t>Expansion beyond the top 100 DMAs.</w:t>
      </w:r>
      <w:r>
        <w:rPr>
          <w:rFonts w:ascii="Times New Roman" w:hAnsi="Times New Roman" w:cs="Times New Roman"/>
          <w:bCs/>
          <w:sz w:val="24"/>
          <w:szCs w:val="24"/>
        </w:rPr>
        <w:t xml:space="preserve">  In 2023, the Commission will determine whether to continue expanding its audio description requirements to an additional 10 DMAs per year.  Any further expansion will be undertaken only following a future determination of the reasonableness of the associated costs.</w:t>
      </w:r>
    </w:p>
    <w:p w:rsidR="00DB0BA0" w14:paraId="6BBF900C" w14:textId="556141E5">
      <w:pPr>
        <w:rPr>
          <w:rFonts w:ascii="Times New Roman" w:hAnsi="Times New Roman" w:cs="Times New Roman"/>
          <w:bCs/>
          <w:sz w:val="24"/>
          <w:szCs w:val="24"/>
        </w:rPr>
      </w:pPr>
      <w:r>
        <w:rPr>
          <w:rFonts w:ascii="Times New Roman" w:hAnsi="Times New Roman" w:cs="Times New Roman"/>
          <w:b/>
          <w:sz w:val="24"/>
          <w:szCs w:val="24"/>
        </w:rPr>
        <w:t>Modernizing terminology.</w:t>
      </w:r>
      <w:r>
        <w:rPr>
          <w:rFonts w:ascii="Times New Roman" w:hAnsi="Times New Roman" w:cs="Times New Roman"/>
          <w:bCs/>
          <w:sz w:val="24"/>
          <w:szCs w:val="24"/>
        </w:rPr>
        <w:t xml:space="preserve">  The Commission adopted its proposal to make a non-substantive amendment to the rules to substitute the term “audio description” for the term “video description” for purposes of part 79.  This approach is consistent with a recommendation by the Commission’s Disability Advisory Committee and with the terminology used by other federal agencies.</w:t>
      </w:r>
    </w:p>
    <w:p w:rsidR="00DB0BA0" w:rsidRPr="00DB0BA0" w14:paraId="0F29CA0F" w14:textId="038BDB35">
      <w:pPr>
        <w:rPr>
          <w:rFonts w:ascii="Times New Roman" w:hAnsi="Times New Roman" w:cs="Times New Roman"/>
          <w:bCs/>
          <w:sz w:val="24"/>
          <w:szCs w:val="24"/>
        </w:rPr>
      </w:pPr>
      <w:r>
        <w:rPr>
          <w:rFonts w:ascii="Times New Roman" w:hAnsi="Times New Roman" w:cs="Times New Roman"/>
          <w:b/>
          <w:sz w:val="24"/>
          <w:szCs w:val="24"/>
        </w:rPr>
        <w:t>Technical update to the rules.</w:t>
      </w:r>
      <w:r>
        <w:rPr>
          <w:rFonts w:ascii="Times New Roman" w:hAnsi="Times New Roman" w:cs="Times New Roman"/>
          <w:bCs/>
          <w:sz w:val="24"/>
          <w:szCs w:val="24"/>
        </w:rPr>
        <w:t xml:space="preserve">  The Commission adopted its proposal to delete from the audio description rules the outdated references in section 79.3(b)(1) and (4) to the compliance deadlines of July 1, 2015, and July 1, 2018, which have passed.</w:t>
      </w:r>
    </w:p>
    <w:p w:rsidR="008B4C8B" w:rsidRPr="008B4C8B" w14:paraId="7A45363C" w14:textId="77777777">
      <w:pPr>
        <w:rPr>
          <w:rFonts w:ascii="Times New Roman" w:hAnsi="Times New Roman" w:cs="Times New Roman"/>
          <w:bCs/>
          <w:sz w:val="24"/>
          <w:szCs w:val="24"/>
        </w:rPr>
      </w:pPr>
    </w:p>
    <w:p w:rsidR="004749A4" w:rsidRPr="00EC3871" w:rsidP="00EC3871" w14:paraId="21D3C485" w14:textId="5ACDED65">
      <w:pPr>
        <w:ind w:hanging="450"/>
        <w:jc w:val="center"/>
        <w:rPr>
          <w:rFonts w:ascii="Times New Roman" w:hAnsi="Times New Roman" w:cs="Times New Roman"/>
          <w:b/>
          <w:sz w:val="24"/>
          <w:szCs w:val="24"/>
        </w:rPr>
      </w:pPr>
      <w:r w:rsidRPr="00EC3871">
        <w:rPr>
          <w:rFonts w:ascii="Times New Roman" w:hAnsi="Times New Roman" w:cs="Times New Roman"/>
          <w:b/>
          <w:sz w:val="24"/>
          <w:szCs w:val="24"/>
        </w:rPr>
        <w:t>I</w:t>
      </w:r>
      <w:r w:rsidRPr="00EC3871" w:rsidR="00BA1697">
        <w:rPr>
          <w:rFonts w:ascii="Times New Roman" w:hAnsi="Times New Roman" w:cs="Times New Roman"/>
          <w:b/>
          <w:sz w:val="24"/>
          <w:szCs w:val="24"/>
        </w:rPr>
        <w:t>II.</w:t>
      </w:r>
      <w:r w:rsidRPr="00EC3871" w:rsidR="00286EA8">
        <w:rPr>
          <w:rFonts w:ascii="Times New Roman" w:hAnsi="Times New Roman" w:cs="Times New Roman"/>
          <w:b/>
          <w:sz w:val="24"/>
          <w:szCs w:val="24"/>
        </w:rPr>
        <w:tab/>
      </w:r>
      <w:r w:rsidRPr="00EC3871" w:rsidR="00DE567B">
        <w:rPr>
          <w:rFonts w:ascii="Times New Roman" w:hAnsi="Times New Roman" w:cs="Times New Roman"/>
          <w:b/>
          <w:sz w:val="24"/>
          <w:szCs w:val="24"/>
          <w:u w:val="single"/>
        </w:rPr>
        <w:t xml:space="preserve">RECORDKEEPING </w:t>
      </w:r>
      <w:r w:rsidRPr="00EC3871" w:rsidR="00292357">
        <w:rPr>
          <w:rFonts w:ascii="Times New Roman" w:hAnsi="Times New Roman" w:cs="Times New Roman"/>
          <w:b/>
          <w:sz w:val="24"/>
          <w:szCs w:val="24"/>
          <w:u w:val="single"/>
        </w:rPr>
        <w:t xml:space="preserve">AND REPORTING </w:t>
      </w:r>
      <w:r w:rsidRPr="00EC3871" w:rsidR="00DE567B">
        <w:rPr>
          <w:rFonts w:ascii="Times New Roman" w:hAnsi="Times New Roman" w:cs="Times New Roman"/>
          <w:b/>
          <w:sz w:val="24"/>
          <w:szCs w:val="24"/>
          <w:u w:val="single"/>
        </w:rPr>
        <w:t>REQUIREMENTS</w:t>
      </w:r>
    </w:p>
    <w:p w:rsidR="001961AA" w:rsidP="00511023" w14:paraId="1ED3D0C5" w14:textId="22EF8BA0">
      <w:pPr>
        <w:spacing w:after="0"/>
        <w:rPr>
          <w:rFonts w:ascii="Times New Roman" w:hAnsi="Times New Roman" w:cs="Times New Roman"/>
          <w:color w:val="010101"/>
          <w:sz w:val="24"/>
          <w:szCs w:val="24"/>
        </w:rPr>
      </w:pPr>
      <w:r w:rsidRPr="00EC3871">
        <w:rPr>
          <w:rFonts w:ascii="Times New Roman" w:hAnsi="Times New Roman" w:cs="Times New Roman"/>
          <w:color w:val="010101"/>
          <w:sz w:val="24"/>
          <w:szCs w:val="24"/>
        </w:rPr>
        <w:t xml:space="preserve">The Commission’s actions in the </w:t>
      </w:r>
      <w:r w:rsidR="00BD099F">
        <w:rPr>
          <w:rFonts w:ascii="Times New Roman" w:hAnsi="Times New Roman" w:cs="Times New Roman"/>
          <w:color w:val="010101"/>
          <w:sz w:val="24"/>
          <w:szCs w:val="24"/>
        </w:rPr>
        <w:t xml:space="preserve">2020 </w:t>
      </w:r>
      <w:r w:rsidR="00DB0BA0">
        <w:rPr>
          <w:rFonts w:ascii="Times New Roman" w:hAnsi="Times New Roman" w:cs="Times New Roman"/>
          <w:color w:val="010101"/>
          <w:sz w:val="24"/>
          <w:szCs w:val="24"/>
        </w:rPr>
        <w:t>audio description order</w:t>
      </w:r>
      <w:r w:rsidR="00C33F86">
        <w:rPr>
          <w:rFonts w:ascii="Times New Roman" w:hAnsi="Times New Roman" w:cs="Times New Roman"/>
          <w:bCs/>
          <w:sz w:val="24"/>
          <w:szCs w:val="24"/>
        </w:rPr>
        <w:t xml:space="preserve"> </w:t>
      </w:r>
      <w:r w:rsidRPr="00EC3871" w:rsidR="000D790A">
        <w:rPr>
          <w:rFonts w:ascii="Times New Roman" w:hAnsi="Times New Roman" w:cs="Times New Roman"/>
          <w:color w:val="010101"/>
          <w:sz w:val="24"/>
          <w:szCs w:val="24"/>
        </w:rPr>
        <w:t>did</w:t>
      </w:r>
      <w:r w:rsidRPr="00EC3871">
        <w:rPr>
          <w:rFonts w:ascii="Times New Roman" w:hAnsi="Times New Roman" w:cs="Times New Roman"/>
          <w:color w:val="010101"/>
          <w:sz w:val="24"/>
          <w:szCs w:val="24"/>
        </w:rPr>
        <w:t xml:space="preserve"> not create any </w:t>
      </w:r>
      <w:r w:rsidR="000B287C">
        <w:rPr>
          <w:rFonts w:ascii="Times New Roman" w:hAnsi="Times New Roman" w:cs="Times New Roman"/>
          <w:color w:val="010101"/>
          <w:sz w:val="24"/>
          <w:szCs w:val="24"/>
        </w:rPr>
        <w:t>additional</w:t>
      </w:r>
      <w:r w:rsidRPr="00EC3871">
        <w:rPr>
          <w:rFonts w:ascii="Times New Roman" w:hAnsi="Times New Roman" w:cs="Times New Roman"/>
          <w:color w:val="010101"/>
          <w:sz w:val="24"/>
          <w:szCs w:val="24"/>
        </w:rPr>
        <w:t xml:space="preserve"> recordkeeping </w:t>
      </w:r>
      <w:r w:rsidRPr="00EC3871" w:rsidR="00013982">
        <w:rPr>
          <w:rFonts w:ascii="Times New Roman" w:hAnsi="Times New Roman" w:cs="Times New Roman"/>
          <w:color w:val="010101"/>
          <w:sz w:val="24"/>
          <w:szCs w:val="24"/>
        </w:rPr>
        <w:t xml:space="preserve">or reporting </w:t>
      </w:r>
      <w:r w:rsidRPr="00EC3871">
        <w:rPr>
          <w:rFonts w:ascii="Times New Roman" w:hAnsi="Times New Roman" w:cs="Times New Roman"/>
          <w:color w:val="010101"/>
          <w:sz w:val="24"/>
          <w:szCs w:val="24"/>
        </w:rPr>
        <w:t>requirements.</w:t>
      </w:r>
    </w:p>
    <w:p w:rsidR="00DB0BA0" w:rsidRPr="00EC3871" w:rsidP="00511023" w14:paraId="731380DC" w14:textId="77777777">
      <w:pPr>
        <w:spacing w:after="0"/>
        <w:rPr>
          <w:rFonts w:ascii="Times New Roman" w:hAnsi="Times New Roman" w:cs="Times New Roman"/>
          <w:color w:val="010101"/>
          <w:sz w:val="24"/>
          <w:szCs w:val="24"/>
        </w:rPr>
      </w:pPr>
    </w:p>
    <w:p w:rsidR="005A7330" w:rsidRPr="00EC3871" w:rsidP="007F0A80" w14:paraId="5FBDA71F" w14:textId="77777777">
      <w:pPr>
        <w:spacing w:after="0"/>
        <w:rPr>
          <w:rFonts w:ascii="Times New Roman" w:hAnsi="Times New Roman" w:cs="Times New Roman"/>
          <w:b/>
          <w:sz w:val="24"/>
          <w:szCs w:val="24"/>
        </w:rPr>
      </w:pPr>
    </w:p>
    <w:p w:rsidR="00066CB4" w:rsidRPr="00EC3871" w:rsidP="00EC3871" w14:paraId="2F69183C" w14:textId="7612FBF9">
      <w:pPr>
        <w:spacing w:after="0"/>
        <w:ind w:hanging="450"/>
        <w:jc w:val="center"/>
        <w:rPr>
          <w:rFonts w:ascii="Times New Roman" w:hAnsi="Times New Roman" w:cs="Times New Roman"/>
          <w:b/>
          <w:sz w:val="24"/>
          <w:szCs w:val="24"/>
        </w:rPr>
      </w:pPr>
      <w:r w:rsidRPr="00EC3871">
        <w:rPr>
          <w:rFonts w:ascii="Times New Roman" w:hAnsi="Times New Roman" w:cs="Times New Roman"/>
          <w:b/>
          <w:sz w:val="24"/>
          <w:szCs w:val="24"/>
        </w:rPr>
        <w:t>I</w:t>
      </w:r>
      <w:r w:rsidRPr="00EC3871">
        <w:rPr>
          <w:rFonts w:ascii="Times New Roman" w:hAnsi="Times New Roman" w:cs="Times New Roman"/>
          <w:b/>
          <w:sz w:val="24"/>
          <w:szCs w:val="24"/>
        </w:rPr>
        <w:t xml:space="preserve">V. </w:t>
      </w:r>
      <w:r w:rsidRPr="00EC3871" w:rsidR="00286EA8">
        <w:rPr>
          <w:rFonts w:ascii="Times New Roman" w:hAnsi="Times New Roman" w:cs="Times New Roman"/>
          <w:b/>
          <w:sz w:val="24"/>
          <w:szCs w:val="24"/>
        </w:rPr>
        <w:tab/>
      </w:r>
      <w:r w:rsidRPr="00EC3871">
        <w:rPr>
          <w:rFonts w:ascii="Times New Roman" w:hAnsi="Times New Roman" w:cs="Times New Roman"/>
          <w:b/>
          <w:sz w:val="24"/>
          <w:szCs w:val="24"/>
          <w:u w:val="single"/>
        </w:rPr>
        <w:t>IMPLEMENTATION</w:t>
      </w:r>
      <w:r w:rsidRPr="00EC3871" w:rsidR="00716724">
        <w:rPr>
          <w:rFonts w:ascii="Times New Roman" w:hAnsi="Times New Roman" w:cs="Times New Roman"/>
          <w:b/>
          <w:sz w:val="24"/>
          <w:szCs w:val="24"/>
          <w:u w:val="single"/>
        </w:rPr>
        <w:t xml:space="preserve"> DATE</w:t>
      </w:r>
    </w:p>
    <w:p w:rsidR="00066CB4" w:rsidRPr="00EC3871" w:rsidP="007F0A80" w14:paraId="6DD3727C" w14:textId="77777777">
      <w:pPr>
        <w:spacing w:after="0"/>
        <w:rPr>
          <w:rFonts w:ascii="Times New Roman" w:hAnsi="Times New Roman" w:cs="Times New Roman"/>
          <w:b/>
          <w:sz w:val="24"/>
          <w:szCs w:val="24"/>
        </w:rPr>
      </w:pPr>
    </w:p>
    <w:p w:rsidR="00AB1D1E" w:rsidP="00A41A97" w14:paraId="33EBBABA" w14:textId="13BD63C6">
      <w:pPr>
        <w:pStyle w:val="ParaNum"/>
        <w:numPr>
          <w:ilvl w:val="0"/>
          <w:numId w:val="0"/>
        </w:numPr>
        <w:rPr>
          <w:sz w:val="24"/>
          <w:szCs w:val="24"/>
        </w:rPr>
      </w:pPr>
      <w:r w:rsidRPr="00EC3871">
        <w:rPr>
          <w:sz w:val="24"/>
          <w:szCs w:val="24"/>
        </w:rPr>
        <w:t>T</w:t>
      </w:r>
      <w:r w:rsidRPr="00EC3871" w:rsidR="00491F77">
        <w:rPr>
          <w:sz w:val="24"/>
          <w:szCs w:val="24"/>
        </w:rPr>
        <w:t xml:space="preserve">he </w:t>
      </w:r>
      <w:r w:rsidR="00A41A97">
        <w:rPr>
          <w:sz w:val="24"/>
          <w:szCs w:val="24"/>
        </w:rPr>
        <w:t xml:space="preserve">amended </w:t>
      </w:r>
      <w:r w:rsidRPr="00EC3871" w:rsidR="00491F77">
        <w:rPr>
          <w:sz w:val="24"/>
          <w:szCs w:val="24"/>
        </w:rPr>
        <w:t>rules</w:t>
      </w:r>
      <w:r w:rsidR="00132323">
        <w:rPr>
          <w:sz w:val="24"/>
          <w:szCs w:val="24"/>
        </w:rPr>
        <w:t xml:space="preserve"> shall become</w:t>
      </w:r>
      <w:r w:rsidRPr="00EC3871" w:rsidR="00491F77">
        <w:rPr>
          <w:sz w:val="24"/>
          <w:szCs w:val="24"/>
        </w:rPr>
        <w:t xml:space="preserve"> effective </w:t>
      </w:r>
      <w:r w:rsidR="00A41A97">
        <w:rPr>
          <w:sz w:val="24"/>
          <w:szCs w:val="24"/>
        </w:rPr>
        <w:t>30</w:t>
      </w:r>
      <w:r w:rsidRPr="00EC3871" w:rsidR="001338B0">
        <w:rPr>
          <w:sz w:val="24"/>
          <w:szCs w:val="24"/>
        </w:rPr>
        <w:t xml:space="preserve"> </w:t>
      </w:r>
      <w:r w:rsidRPr="00EC3871" w:rsidR="00491F77">
        <w:rPr>
          <w:sz w:val="24"/>
          <w:szCs w:val="24"/>
        </w:rPr>
        <w:t xml:space="preserve">days after </w:t>
      </w:r>
      <w:r w:rsidR="00BD099F">
        <w:rPr>
          <w:sz w:val="24"/>
          <w:szCs w:val="24"/>
        </w:rPr>
        <w:t xml:space="preserve">the date of </w:t>
      </w:r>
      <w:r w:rsidRPr="00EC3871" w:rsidR="00491F77">
        <w:rPr>
          <w:sz w:val="24"/>
          <w:szCs w:val="24"/>
        </w:rPr>
        <w:t xml:space="preserve">publication </w:t>
      </w:r>
      <w:r w:rsidRPr="00EC3871" w:rsidR="001338B0">
        <w:rPr>
          <w:sz w:val="24"/>
          <w:szCs w:val="24"/>
        </w:rPr>
        <w:t xml:space="preserve">in the Federal </w:t>
      </w:r>
      <w:r w:rsidRPr="008A65E4" w:rsidR="001338B0">
        <w:rPr>
          <w:sz w:val="24"/>
          <w:szCs w:val="24"/>
        </w:rPr>
        <w:t>Register</w:t>
      </w:r>
      <w:r w:rsidRPr="008A65E4" w:rsidR="00132323">
        <w:rPr>
          <w:sz w:val="24"/>
          <w:szCs w:val="24"/>
        </w:rPr>
        <w:t xml:space="preserve">, which </w:t>
      </w:r>
      <w:r w:rsidRPr="008A65E4" w:rsidR="008A65E4">
        <w:rPr>
          <w:sz w:val="24"/>
          <w:szCs w:val="24"/>
        </w:rPr>
        <w:t>is on</w:t>
      </w:r>
      <w:r w:rsidR="008A65E4">
        <w:rPr>
          <w:sz w:val="24"/>
          <w:szCs w:val="24"/>
        </w:rPr>
        <w:t xml:space="preserve"> </w:t>
      </w:r>
      <w:r w:rsidR="002772CC">
        <w:rPr>
          <w:sz w:val="24"/>
          <w:szCs w:val="24"/>
        </w:rPr>
        <w:t>December 30, 2020</w:t>
      </w:r>
      <w:r w:rsidR="008A65E4">
        <w:rPr>
          <w:sz w:val="24"/>
          <w:szCs w:val="24"/>
        </w:rPr>
        <w:t>.</w:t>
      </w:r>
    </w:p>
    <w:p w:rsidR="005A7330" w:rsidRPr="00A41A97" w:rsidP="00A41A97" w14:paraId="574461E5" w14:textId="77777777">
      <w:pPr>
        <w:pStyle w:val="ParaNum"/>
        <w:numPr>
          <w:ilvl w:val="0"/>
          <w:numId w:val="0"/>
        </w:numPr>
        <w:rPr>
          <w:sz w:val="24"/>
          <w:szCs w:val="24"/>
        </w:rPr>
      </w:pPr>
    </w:p>
    <w:p w:rsidR="00C5062A" w:rsidRPr="00EC3871" w:rsidP="00EC3871" w14:paraId="79679D59" w14:textId="5FC232EB">
      <w:pPr>
        <w:spacing w:after="0"/>
        <w:ind w:hanging="360"/>
        <w:jc w:val="center"/>
        <w:rPr>
          <w:rFonts w:ascii="Times New Roman" w:hAnsi="Times New Roman" w:cs="Times New Roman"/>
          <w:b/>
          <w:sz w:val="24"/>
          <w:szCs w:val="24"/>
        </w:rPr>
      </w:pPr>
      <w:r w:rsidRPr="00EC3871">
        <w:rPr>
          <w:rFonts w:ascii="Times New Roman" w:hAnsi="Times New Roman" w:cs="Times New Roman"/>
          <w:b/>
          <w:sz w:val="24"/>
          <w:szCs w:val="24"/>
        </w:rPr>
        <w:t>V.</w:t>
      </w:r>
      <w:r w:rsidRPr="00EC3871">
        <w:rPr>
          <w:rFonts w:ascii="Times New Roman" w:hAnsi="Times New Roman" w:cs="Times New Roman"/>
          <w:b/>
          <w:sz w:val="24"/>
          <w:szCs w:val="24"/>
        </w:rPr>
        <w:tab/>
      </w:r>
      <w:r w:rsidRPr="00EC3871">
        <w:rPr>
          <w:rFonts w:ascii="Times New Roman" w:hAnsi="Times New Roman" w:cs="Times New Roman"/>
          <w:b/>
          <w:sz w:val="24"/>
          <w:szCs w:val="24"/>
          <w:u w:val="single"/>
        </w:rPr>
        <w:t>INTERNET LINKS</w:t>
      </w:r>
    </w:p>
    <w:p w:rsidR="00485B77" w:rsidRPr="00EC3871" w:rsidP="00C5062A" w14:paraId="636038EB" w14:textId="77777777">
      <w:pPr>
        <w:spacing w:after="0"/>
        <w:rPr>
          <w:rFonts w:ascii="Times New Roman" w:hAnsi="Times New Roman" w:cs="Times New Roman"/>
          <w:b/>
          <w:sz w:val="24"/>
          <w:szCs w:val="24"/>
        </w:rPr>
      </w:pPr>
    </w:p>
    <w:p w:rsidR="00423AE5" w:rsidP="00C5062A" w14:paraId="6871311F" w14:textId="34918592">
      <w:pPr>
        <w:spacing w:after="0"/>
        <w:rPr>
          <w:rFonts w:ascii="Times New Roman" w:hAnsi="Times New Roman" w:cs="Times New Roman"/>
          <w:bCs/>
          <w:sz w:val="24"/>
          <w:szCs w:val="24"/>
        </w:rPr>
      </w:pPr>
      <w:r w:rsidRPr="00132323">
        <w:rPr>
          <w:rFonts w:ascii="Times New Roman" w:hAnsi="Times New Roman" w:cs="Times New Roman"/>
          <w:bCs/>
          <w:sz w:val="24"/>
          <w:szCs w:val="24"/>
        </w:rPr>
        <w:t>A copy of the</w:t>
      </w:r>
      <w:r w:rsidRPr="00132323" w:rsidR="00132323">
        <w:rPr>
          <w:rFonts w:ascii="Times New Roman" w:hAnsi="Times New Roman" w:cs="Times New Roman"/>
          <w:bCs/>
          <w:iCs/>
          <w:sz w:val="24"/>
          <w:szCs w:val="24"/>
        </w:rPr>
        <w:t xml:space="preserve"> Report and Order, FCC 20-</w:t>
      </w:r>
      <w:r>
        <w:rPr>
          <w:rFonts w:ascii="Times New Roman" w:hAnsi="Times New Roman" w:cs="Times New Roman"/>
          <w:bCs/>
          <w:iCs/>
          <w:sz w:val="24"/>
          <w:szCs w:val="24"/>
        </w:rPr>
        <w:t>15</w:t>
      </w:r>
      <w:r w:rsidRPr="00132323" w:rsidR="00132323">
        <w:rPr>
          <w:rFonts w:ascii="Times New Roman" w:hAnsi="Times New Roman" w:cs="Times New Roman"/>
          <w:bCs/>
          <w:iCs/>
          <w:sz w:val="24"/>
          <w:szCs w:val="24"/>
        </w:rPr>
        <w:t>5,</w:t>
      </w:r>
      <w:r w:rsidRPr="00132323" w:rsidR="00E6683B">
        <w:rPr>
          <w:rFonts w:ascii="Times New Roman" w:hAnsi="Times New Roman" w:cs="Times New Roman"/>
          <w:bCs/>
          <w:iCs/>
          <w:sz w:val="24"/>
          <w:szCs w:val="24"/>
        </w:rPr>
        <w:t xml:space="preserve"> MB Docket No. </w:t>
      </w:r>
      <w:r>
        <w:rPr>
          <w:rFonts w:ascii="Times New Roman" w:hAnsi="Times New Roman" w:cs="Times New Roman"/>
          <w:bCs/>
          <w:iCs/>
          <w:sz w:val="24"/>
          <w:szCs w:val="24"/>
        </w:rPr>
        <w:t>11-43,</w:t>
      </w:r>
      <w:r w:rsidRPr="00132323" w:rsidR="00E6683B">
        <w:rPr>
          <w:rFonts w:ascii="Times New Roman" w:hAnsi="Times New Roman" w:cs="Times New Roman"/>
          <w:bCs/>
          <w:i/>
          <w:sz w:val="24"/>
          <w:szCs w:val="24"/>
        </w:rPr>
        <w:t xml:space="preserve"> </w:t>
      </w:r>
      <w:r w:rsidRPr="00132323">
        <w:rPr>
          <w:rFonts w:ascii="Times New Roman" w:hAnsi="Times New Roman" w:cs="Times New Roman"/>
          <w:bCs/>
          <w:sz w:val="24"/>
          <w:szCs w:val="24"/>
        </w:rPr>
        <w:t xml:space="preserve">is available at: </w:t>
      </w:r>
    </w:p>
    <w:p w:rsidR="00E6683B" w:rsidRPr="00423AE5" w:rsidP="00C5062A" w14:paraId="174CB730" w14:textId="2F953962">
      <w:pPr>
        <w:spacing w:after="0"/>
        <w:rPr>
          <w:bCs/>
        </w:rPr>
      </w:pPr>
      <w:hyperlink r:id="rId8" w:history="1">
        <w:r w:rsidRPr="005E3EC7" w:rsidR="002772CC">
          <w:rPr>
            <w:rStyle w:val="Hyperlink"/>
            <w:rFonts w:ascii="Times New Roman" w:hAnsi="Times New Roman" w:cs="Times New Roman"/>
            <w:bCs/>
            <w:sz w:val="24"/>
            <w:szCs w:val="24"/>
          </w:rPr>
          <w:t>https://docs.fcc.gov/public/attachments/FCC-20-155A1.pdf</w:t>
        </w:r>
      </w:hyperlink>
      <w:r w:rsidR="00423AE5">
        <w:rPr>
          <w:rFonts w:ascii="Times New Roman" w:hAnsi="Times New Roman" w:cs="Times New Roman"/>
          <w:bCs/>
          <w:sz w:val="24"/>
          <w:szCs w:val="24"/>
        </w:rPr>
        <w:t>.</w:t>
      </w:r>
    </w:p>
    <w:p w:rsidR="002973BD" w:rsidRPr="00132323" w:rsidP="00C5062A" w14:paraId="5819B98F" w14:textId="77777777">
      <w:pPr>
        <w:spacing w:after="0"/>
        <w:rPr>
          <w:rFonts w:ascii="Times New Roman" w:hAnsi="Times New Roman" w:cs="Times New Roman"/>
          <w:bCs/>
          <w:sz w:val="24"/>
          <w:szCs w:val="24"/>
        </w:rPr>
      </w:pPr>
    </w:p>
    <w:p w:rsidR="00423AE5" w:rsidP="00972776" w14:paraId="45FE9861" w14:textId="77777777">
      <w:pPr>
        <w:spacing w:after="0"/>
        <w:rPr>
          <w:rFonts w:ascii="Times New Roman" w:hAnsi="Times New Roman" w:cs="Times New Roman"/>
          <w:bCs/>
          <w:sz w:val="24"/>
          <w:szCs w:val="24"/>
        </w:rPr>
      </w:pPr>
      <w:r w:rsidRPr="00132323">
        <w:rPr>
          <w:rFonts w:ascii="Times New Roman" w:hAnsi="Times New Roman" w:cs="Times New Roman"/>
          <w:bCs/>
          <w:sz w:val="24"/>
          <w:szCs w:val="24"/>
        </w:rPr>
        <w:t xml:space="preserve">A copy of the Federal Register Summary </w:t>
      </w:r>
      <w:r w:rsidRPr="008A65E4">
        <w:rPr>
          <w:rFonts w:ascii="Times New Roman" w:hAnsi="Times New Roman" w:cs="Times New Roman"/>
          <w:bCs/>
          <w:sz w:val="24"/>
          <w:szCs w:val="24"/>
        </w:rPr>
        <w:t xml:space="preserve">of the </w:t>
      </w:r>
      <w:r w:rsidRPr="008A65E4" w:rsidR="00E6683B">
        <w:rPr>
          <w:rFonts w:ascii="Times New Roman" w:hAnsi="Times New Roman" w:cs="Times New Roman"/>
          <w:bCs/>
          <w:iCs/>
          <w:sz w:val="24"/>
          <w:szCs w:val="24"/>
        </w:rPr>
        <w:t>Report and Order</w:t>
      </w:r>
      <w:r w:rsidRPr="008A65E4" w:rsidR="00E6683B">
        <w:rPr>
          <w:rFonts w:ascii="Times New Roman" w:hAnsi="Times New Roman" w:cs="Times New Roman"/>
          <w:bCs/>
          <w:i/>
          <w:sz w:val="24"/>
          <w:szCs w:val="24"/>
        </w:rPr>
        <w:t xml:space="preserve"> </w:t>
      </w:r>
      <w:r w:rsidRPr="008A65E4">
        <w:rPr>
          <w:rFonts w:ascii="Times New Roman" w:hAnsi="Times New Roman" w:cs="Times New Roman"/>
          <w:bCs/>
          <w:sz w:val="24"/>
          <w:szCs w:val="24"/>
        </w:rPr>
        <w:t>is available at:</w:t>
      </w:r>
      <w:r w:rsidRPr="008A65E4" w:rsidR="008A65E4">
        <w:rPr>
          <w:rFonts w:ascii="Times New Roman" w:hAnsi="Times New Roman" w:cs="Times New Roman"/>
          <w:bCs/>
          <w:sz w:val="24"/>
          <w:szCs w:val="24"/>
        </w:rPr>
        <w:t xml:space="preserve"> </w:t>
      </w:r>
    </w:p>
    <w:p w:rsidR="004008B8" w:rsidRPr="00423AE5" w:rsidP="00972776" w14:paraId="76D7AB80" w14:textId="3661ACAB">
      <w:pPr>
        <w:spacing w:after="0"/>
        <w:rPr>
          <w:rFonts w:ascii="Times New Roman" w:hAnsi="Times New Roman" w:cs="Times New Roman"/>
          <w:bCs/>
          <w:sz w:val="24"/>
          <w:szCs w:val="24"/>
        </w:rPr>
      </w:pPr>
      <w:hyperlink r:id="rId9" w:history="1">
        <w:r w:rsidRPr="005E3EC7" w:rsidR="00622912">
          <w:rPr>
            <w:rStyle w:val="Hyperlink"/>
            <w:rFonts w:ascii="Times New Roman" w:hAnsi="Times New Roman" w:cs="Times New Roman"/>
            <w:bCs/>
            <w:sz w:val="24"/>
            <w:szCs w:val="24"/>
          </w:rPr>
          <w:t>https://www.govinfo.gov/content/pkg/FR-2020-11-30/pdf/2020-24897.pdf</w:t>
        </w:r>
      </w:hyperlink>
      <w:r w:rsidR="00423AE5">
        <w:rPr>
          <w:rFonts w:ascii="Times New Roman" w:hAnsi="Times New Roman" w:cs="Times New Roman"/>
          <w:bCs/>
          <w:sz w:val="24"/>
          <w:szCs w:val="24"/>
        </w:rPr>
        <w:t>.</w:t>
      </w:r>
    </w:p>
    <w:sectPr w:rsidSect="005A7330">
      <w:headerReference w:type="default" r:id="rId10"/>
      <w:footerReference w:type="default" r:id="rId11"/>
      <w:pgSz w:w="12240" w:h="15840"/>
      <w:pgMar w:top="1440" w:right="1440" w:bottom="1008" w:left="1440" w:header="720" w:footer="18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14:paraId="0C218C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14:paraId="350274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156BC" w:rsidP="00034878" w14:paraId="239BF7F9" w14:textId="77777777">
      <w:pPr>
        <w:spacing w:after="0" w:line="240" w:lineRule="auto"/>
      </w:pPr>
      <w:r>
        <w:separator/>
      </w:r>
    </w:p>
  </w:footnote>
  <w:footnote w:type="continuationSeparator" w:id="1">
    <w:p w:rsidR="00B156BC" w:rsidP="00034878" w14:paraId="4D0523D7" w14:textId="77777777">
      <w:pPr>
        <w:spacing w:after="0" w:line="240" w:lineRule="auto"/>
      </w:pPr>
      <w:r>
        <w:continuationSeparator/>
      </w:r>
    </w:p>
  </w:footnote>
  <w:footnote w:id="2">
    <w:p w:rsidR="00A5424A" w:rsidRPr="009B749A" w:rsidP="009B749A" w14:paraId="2D352107" w14:textId="25CF4E01">
      <w:pPr>
        <w:pStyle w:val="FootnoteText"/>
        <w:spacing w:after="120"/>
        <w:rPr>
          <w:rFonts w:ascii="Times New Roman" w:hAnsi="Times New Roman" w:cs="Times New Roman"/>
        </w:rPr>
      </w:pPr>
      <w:r w:rsidRPr="009B749A">
        <w:rPr>
          <w:rStyle w:val="FootnoteReference"/>
          <w:rFonts w:ascii="Times New Roman" w:hAnsi="Times New Roman" w:cs="Times New Roman"/>
        </w:rPr>
        <w:footnoteRef/>
      </w:r>
      <w:r w:rsidRPr="009B749A">
        <w:rPr>
          <w:rFonts w:ascii="Times New Roman" w:hAnsi="Times New Roman" w:cs="Times New Roman"/>
        </w:rPr>
        <w:t xml:space="preserve"> </w:t>
      </w:r>
      <w:r w:rsidRPr="009B749A">
        <w:rPr>
          <w:rFonts w:ascii="Times New Roman" w:hAnsi="Times New Roman" w:cs="Times New Roman"/>
          <w:color w:val="000000"/>
        </w:rPr>
        <w:t>47 CFR § 79.3(a)(4)</w:t>
      </w:r>
    </w:p>
  </w:footnote>
  <w:footnote w:id="3">
    <w:p w:rsidR="002237DA" w:rsidRPr="00A5424A" w:rsidP="00A5424A" w14:paraId="3D4AC476" w14:textId="705647B4">
      <w:pPr>
        <w:pStyle w:val="FootnoteText"/>
        <w:spacing w:after="120"/>
        <w:rPr>
          <w:rFonts w:ascii="Times New Roman" w:hAnsi="Times New Roman" w:cs="Times New Roman"/>
        </w:rPr>
      </w:pPr>
      <w:r w:rsidRPr="00A5424A">
        <w:rPr>
          <w:rStyle w:val="FootnoteReference"/>
          <w:rFonts w:ascii="Times New Roman" w:hAnsi="Times New Roman" w:cs="Times New Roman"/>
        </w:rPr>
        <w:footnoteRef/>
      </w:r>
      <w:r w:rsidRPr="00A5424A">
        <w:rPr>
          <w:rFonts w:ascii="Times New Roman" w:hAnsi="Times New Roman" w:cs="Times New Roman"/>
        </w:rPr>
        <w:t xml:space="preserve"> The Report and Order explained the basis for a finding that the costs </w:t>
      </w:r>
      <w:r w:rsidRPr="00A5424A" w:rsidR="00C93B2B">
        <w:rPr>
          <w:rFonts w:ascii="Times New Roman" w:hAnsi="Times New Roman" w:cs="Times New Roman"/>
        </w:rPr>
        <w:t xml:space="preserve">of the expansion </w:t>
      </w:r>
      <w:r w:rsidRPr="00A5424A">
        <w:rPr>
          <w:rFonts w:ascii="Times New Roman" w:hAnsi="Times New Roman" w:cs="Times New Roman"/>
        </w:rPr>
        <w:t>are reasonable, including that they have held steady since 2017, covered broadcasters already are required to have the equipment and infrastructure necessary to deliver a secondary audio stream for purposes of the emergency information requirements, and network affiliates in all DMAs are already required to pass through the audio description they receive via a network feed.</w:t>
      </w:r>
    </w:p>
  </w:footnote>
  <w:footnote w:id="4">
    <w:p w:rsidR="00C93B2B" w:rsidRPr="00A5424A" w14:paraId="7B5C7E5A" w14:textId="47F14631">
      <w:pPr>
        <w:pStyle w:val="FootnoteText"/>
        <w:spacing w:after="120"/>
        <w:rPr>
          <w:rFonts w:ascii="Times New Roman" w:hAnsi="Times New Roman" w:cs="Times New Roman"/>
        </w:rPr>
      </w:pPr>
      <w:r w:rsidRPr="00A5424A">
        <w:rPr>
          <w:rStyle w:val="FootnoteReference"/>
          <w:rFonts w:ascii="Times New Roman" w:hAnsi="Times New Roman" w:cs="Times New Roman"/>
        </w:rPr>
        <w:footnoteRef/>
      </w:r>
      <w:r w:rsidRPr="00A5424A">
        <w:rPr>
          <w:rFonts w:ascii="Times New Roman" w:hAnsi="Times New Roman" w:cs="Times New Roman"/>
        </w:rPr>
        <w:t xml:space="preserve"> See MediaTracks Communications, Nielsen DMA Rankings 2020, available at </w:t>
      </w:r>
      <w:hyperlink r:id="rId1" w:history="1">
        <w:r w:rsidRPr="00A5424A">
          <w:rPr>
            <w:rStyle w:val="Hyperlink"/>
            <w:rFonts w:ascii="Times New Roman" w:hAnsi="Times New Roman" w:cs="Times New Roman"/>
          </w:rPr>
          <w:t>https://mediatracks.com/resources/nielsen-dma-rankings-2020/</w:t>
        </w:r>
      </w:hyperlink>
      <w:r w:rsidRPr="00A5424A">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RPr="00CE24E8" w:rsidP="00CE24E8" w14:paraId="0B5C5E41" w14:textId="7761A93B">
    <w:pPr>
      <w:pStyle w:val="Header"/>
      <w:tabs>
        <w:tab w:val="center" w:pos="4320"/>
        <w:tab w:val="clear" w:pos="4680"/>
      </w:tabs>
      <w:spacing w:before="360" w:line="228" w:lineRule="auto"/>
      <w:jc w:val="center"/>
      <w:rPr>
        <w:rFonts w:ascii="CG Times (W1)" w:hAnsi="CG Times (W1)"/>
        <w:sz w:val="28"/>
      </w:rP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5pt;height:64.85pt;margin-top:6.85pt;margin-left:-15.75pt;mso-position-horizontal-relative:margin;position:absolute;visibility:visible;z-index:-251658240" o:oleicon="f" o:allowincell="f" wrapcoords="-251 0 -251 21349 21600 21349 21600 0 -251 0" fillcolor="#3cc">
          <v:imagedata r:id="rId1" o:title=""/>
          <w10:wrap anchorx="margin"/>
        </v:shape>
        <o:OLEObject Type="Embed" ProgID="Word.Picture.8" ShapeID="_x0000_s2049" DrawAspect="Content" ObjectID="_1671264231" r:id="rId2"/>
      </w:pict>
    </w:r>
    <w:r>
      <w:rPr>
        <w:rFonts w:ascii="CG Times (W1)" w:hAnsi="CG Times (W1)"/>
        <w:sz w:val="28"/>
      </w:rPr>
      <w:t>Federal Communications Commission</w:t>
    </w:r>
  </w:p>
  <w:p w:rsidR="00121A4A" w:rsidP="000273B2" w14:paraId="71989AC2" w14:textId="77777777">
    <w:pPr>
      <w:tabs>
        <w:tab w:val="center" w:pos="4320"/>
      </w:tabs>
      <w:jc w:val="center"/>
      <w:rPr>
        <w:rFonts w:ascii="CG Times (W1)" w:hAnsi="CG Times (W1)"/>
        <w:sz w:val="28"/>
      </w:rPr>
    </w:pPr>
    <w:r>
      <w:rPr>
        <w:rFonts w:ascii="CG Times (W1)" w:hAnsi="CG Times (W1)"/>
        <w:sz w:val="28"/>
      </w:rPr>
      <w:t>Washington, D.C. 20554</w:t>
    </w:r>
  </w:p>
  <w:p w:rsidR="00121A4A" w:rsidRPr="003172B5" w:rsidP="000273B2" w14:paraId="0675F8B2" w14:textId="7C18344C">
    <w:pPr>
      <w:tabs>
        <w:tab w:val="center" w:pos="4320"/>
      </w:tabs>
      <w:jc w:val="center"/>
      <w:rPr>
        <w:sz w:val="24"/>
        <w:szCs w:val="24"/>
      </w:rPr>
    </w:pPr>
    <w:r>
      <w:rPr>
        <w:rFonts w:ascii="CG Times (W1)" w:hAnsi="CG Times (W1)"/>
        <w:sz w:val="24"/>
        <w:szCs w:val="24"/>
      </w:rPr>
      <w:t>January 4,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32F" w:rsidP="00511023" w14:paraId="03960335" w14:textId="77777777">
    <w:pPr>
      <w:pStyle w:val="Header"/>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rsidP="00511023" w14:paraId="65D1CA50"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877FF"/>
    <w:multiLevelType w:val="hybridMultilevel"/>
    <w:tmpl w:val="27F89D5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BF416A0"/>
    <w:multiLevelType w:val="hybridMultilevel"/>
    <w:tmpl w:val="6E8ECB9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37F72E66"/>
    <w:multiLevelType w:val="hybridMultilevel"/>
    <w:tmpl w:val="611865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B110E86"/>
    <w:multiLevelType w:val="hybridMultilevel"/>
    <w:tmpl w:val="DC2641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3CB697E"/>
    <w:multiLevelType w:val="hybridMultilevel"/>
    <w:tmpl w:val="E638951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49458C1"/>
    <w:multiLevelType w:val="hybridMultilevel"/>
    <w:tmpl w:val="E85CD6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A9164CF"/>
    <w:multiLevelType w:val="hybridMultilevel"/>
    <w:tmpl w:val="3D58E74A"/>
    <w:lvl w:ilvl="0">
      <w:start w:val="1"/>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8"/>
  </w:num>
  <w:num w:numId="2">
    <w:abstractNumId w:val="5"/>
  </w:num>
  <w:num w:numId="3">
    <w:abstractNumId w:val="12"/>
  </w:num>
  <w:num w:numId="4">
    <w:abstractNumId w:val="4"/>
  </w:num>
  <w:num w:numId="5">
    <w:abstractNumId w:val="16"/>
  </w:num>
  <w:num w:numId="6">
    <w:abstractNumId w:val="7"/>
  </w:num>
  <w:num w:numId="7">
    <w:abstractNumId w:val="2"/>
  </w:num>
  <w:num w:numId="8">
    <w:abstractNumId w:val="14"/>
  </w:num>
  <w:num w:numId="9">
    <w:abstractNumId w:val="10"/>
  </w:num>
  <w:num w:numId="10">
    <w:abstractNumId w:val="3"/>
  </w:num>
  <w:num w:numId="11">
    <w:abstractNumId w:val="8"/>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3"/>
    </w:lvlOverride>
  </w:num>
  <w:num w:numId="14">
    <w:abstractNumId w:val="17"/>
  </w:num>
  <w:num w:numId="15">
    <w:abstractNumId w:val="9"/>
  </w:num>
  <w:num w:numId="16">
    <w:abstractNumId w:val="6"/>
  </w:num>
  <w:num w:numId="17">
    <w:abstractNumId w:val="15"/>
  </w:num>
  <w:num w:numId="18">
    <w:abstractNumId w:val="1"/>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705E"/>
    <w:rsid w:val="00011DA9"/>
    <w:rsid w:val="00013982"/>
    <w:rsid w:val="0001453A"/>
    <w:rsid w:val="00025AB0"/>
    <w:rsid w:val="000273B2"/>
    <w:rsid w:val="0003033B"/>
    <w:rsid w:val="000320CC"/>
    <w:rsid w:val="00034878"/>
    <w:rsid w:val="000517A1"/>
    <w:rsid w:val="000601FD"/>
    <w:rsid w:val="00066CB4"/>
    <w:rsid w:val="00074CA4"/>
    <w:rsid w:val="00082B4E"/>
    <w:rsid w:val="00087BBD"/>
    <w:rsid w:val="000905FF"/>
    <w:rsid w:val="00091369"/>
    <w:rsid w:val="0009430B"/>
    <w:rsid w:val="000B287C"/>
    <w:rsid w:val="000B79AD"/>
    <w:rsid w:val="000B7E9D"/>
    <w:rsid w:val="000C0DD4"/>
    <w:rsid w:val="000C1FA6"/>
    <w:rsid w:val="000D28AA"/>
    <w:rsid w:val="000D2F0F"/>
    <w:rsid w:val="000D790A"/>
    <w:rsid w:val="000D7DA0"/>
    <w:rsid w:val="000E4E16"/>
    <w:rsid w:val="000F616D"/>
    <w:rsid w:val="000F7BE7"/>
    <w:rsid w:val="00115515"/>
    <w:rsid w:val="00116EB8"/>
    <w:rsid w:val="00121A4A"/>
    <w:rsid w:val="00131CCC"/>
    <w:rsid w:val="00132323"/>
    <w:rsid w:val="001338B0"/>
    <w:rsid w:val="00133D08"/>
    <w:rsid w:val="001364A1"/>
    <w:rsid w:val="00152909"/>
    <w:rsid w:val="001544BD"/>
    <w:rsid w:val="0015771C"/>
    <w:rsid w:val="00173AB8"/>
    <w:rsid w:val="001743EF"/>
    <w:rsid w:val="001961AA"/>
    <w:rsid w:val="001970B0"/>
    <w:rsid w:val="001A1EAC"/>
    <w:rsid w:val="001A2779"/>
    <w:rsid w:val="001D6690"/>
    <w:rsid w:val="001D6725"/>
    <w:rsid w:val="001E61CA"/>
    <w:rsid w:val="001E70C1"/>
    <w:rsid w:val="001F6DAA"/>
    <w:rsid w:val="002156B6"/>
    <w:rsid w:val="002237DA"/>
    <w:rsid w:val="00230205"/>
    <w:rsid w:val="00230CCB"/>
    <w:rsid w:val="00233B90"/>
    <w:rsid w:val="00243CE9"/>
    <w:rsid w:val="00247E1B"/>
    <w:rsid w:val="0027032C"/>
    <w:rsid w:val="002766E1"/>
    <w:rsid w:val="002772CC"/>
    <w:rsid w:val="00280147"/>
    <w:rsid w:val="00282849"/>
    <w:rsid w:val="00286EA8"/>
    <w:rsid w:val="00292357"/>
    <w:rsid w:val="002973BD"/>
    <w:rsid w:val="002A1167"/>
    <w:rsid w:val="002A2311"/>
    <w:rsid w:val="002A57BD"/>
    <w:rsid w:val="002A73FE"/>
    <w:rsid w:val="002B11B3"/>
    <w:rsid w:val="002B6FD0"/>
    <w:rsid w:val="002C1EA9"/>
    <w:rsid w:val="002D04F1"/>
    <w:rsid w:val="002D0DED"/>
    <w:rsid w:val="002F051D"/>
    <w:rsid w:val="002F683E"/>
    <w:rsid w:val="002F7376"/>
    <w:rsid w:val="003017A1"/>
    <w:rsid w:val="003149AB"/>
    <w:rsid w:val="003172B5"/>
    <w:rsid w:val="00320D58"/>
    <w:rsid w:val="00321E7D"/>
    <w:rsid w:val="00330480"/>
    <w:rsid w:val="003322AF"/>
    <w:rsid w:val="00334EB4"/>
    <w:rsid w:val="00335A6A"/>
    <w:rsid w:val="003423E5"/>
    <w:rsid w:val="0034659A"/>
    <w:rsid w:val="00353650"/>
    <w:rsid w:val="00356327"/>
    <w:rsid w:val="00364D35"/>
    <w:rsid w:val="00367858"/>
    <w:rsid w:val="003733F4"/>
    <w:rsid w:val="00375CF9"/>
    <w:rsid w:val="003837F4"/>
    <w:rsid w:val="003D1B5B"/>
    <w:rsid w:val="003D226E"/>
    <w:rsid w:val="003E344A"/>
    <w:rsid w:val="003F1DFC"/>
    <w:rsid w:val="003F5CB7"/>
    <w:rsid w:val="00400050"/>
    <w:rsid w:val="004008B8"/>
    <w:rsid w:val="00400FF1"/>
    <w:rsid w:val="0040311E"/>
    <w:rsid w:val="00411EF3"/>
    <w:rsid w:val="004126D5"/>
    <w:rsid w:val="0041380C"/>
    <w:rsid w:val="00417062"/>
    <w:rsid w:val="00423AE5"/>
    <w:rsid w:val="00463A2A"/>
    <w:rsid w:val="004740BF"/>
    <w:rsid w:val="004749A4"/>
    <w:rsid w:val="00476F70"/>
    <w:rsid w:val="00485452"/>
    <w:rsid w:val="00485B77"/>
    <w:rsid w:val="00491D54"/>
    <w:rsid w:val="00491F77"/>
    <w:rsid w:val="004A2AFD"/>
    <w:rsid w:val="004B6491"/>
    <w:rsid w:val="004B7242"/>
    <w:rsid w:val="004E57A3"/>
    <w:rsid w:val="004F3108"/>
    <w:rsid w:val="004F373A"/>
    <w:rsid w:val="004F68F6"/>
    <w:rsid w:val="005008FB"/>
    <w:rsid w:val="005024CC"/>
    <w:rsid w:val="0050544C"/>
    <w:rsid w:val="00505B6C"/>
    <w:rsid w:val="00505CCD"/>
    <w:rsid w:val="00511023"/>
    <w:rsid w:val="00514667"/>
    <w:rsid w:val="00520B61"/>
    <w:rsid w:val="005275C1"/>
    <w:rsid w:val="00527F85"/>
    <w:rsid w:val="005449FD"/>
    <w:rsid w:val="00564B97"/>
    <w:rsid w:val="005717FB"/>
    <w:rsid w:val="005869BB"/>
    <w:rsid w:val="005A7330"/>
    <w:rsid w:val="005B3852"/>
    <w:rsid w:val="005B6FAD"/>
    <w:rsid w:val="005C1817"/>
    <w:rsid w:val="005E3606"/>
    <w:rsid w:val="005E3EC7"/>
    <w:rsid w:val="005E473A"/>
    <w:rsid w:val="005E70B7"/>
    <w:rsid w:val="005F78F7"/>
    <w:rsid w:val="00610B56"/>
    <w:rsid w:val="006175DB"/>
    <w:rsid w:val="00622912"/>
    <w:rsid w:val="00632E73"/>
    <w:rsid w:val="00633473"/>
    <w:rsid w:val="00637613"/>
    <w:rsid w:val="00650FD9"/>
    <w:rsid w:val="00657EA8"/>
    <w:rsid w:val="0067119C"/>
    <w:rsid w:val="0067392B"/>
    <w:rsid w:val="00677244"/>
    <w:rsid w:val="00677F81"/>
    <w:rsid w:val="00683C2E"/>
    <w:rsid w:val="00685DDE"/>
    <w:rsid w:val="00694F3A"/>
    <w:rsid w:val="00694F82"/>
    <w:rsid w:val="006A0193"/>
    <w:rsid w:val="006B3C3D"/>
    <w:rsid w:val="006B4F31"/>
    <w:rsid w:val="006B60FD"/>
    <w:rsid w:val="006C2E70"/>
    <w:rsid w:val="006E50A3"/>
    <w:rsid w:val="006E542F"/>
    <w:rsid w:val="006E7B42"/>
    <w:rsid w:val="006F117F"/>
    <w:rsid w:val="006F2901"/>
    <w:rsid w:val="006F411B"/>
    <w:rsid w:val="00701319"/>
    <w:rsid w:val="0071360D"/>
    <w:rsid w:val="00716724"/>
    <w:rsid w:val="007342F4"/>
    <w:rsid w:val="00734B5A"/>
    <w:rsid w:val="00735330"/>
    <w:rsid w:val="00740ED6"/>
    <w:rsid w:val="007624E3"/>
    <w:rsid w:val="00765ABD"/>
    <w:rsid w:val="007738A7"/>
    <w:rsid w:val="00775673"/>
    <w:rsid w:val="00780699"/>
    <w:rsid w:val="00791348"/>
    <w:rsid w:val="007A138B"/>
    <w:rsid w:val="007C0CC3"/>
    <w:rsid w:val="007C5016"/>
    <w:rsid w:val="007D75AA"/>
    <w:rsid w:val="007E1CC7"/>
    <w:rsid w:val="007E3774"/>
    <w:rsid w:val="007E64DB"/>
    <w:rsid w:val="007F0A80"/>
    <w:rsid w:val="008104E2"/>
    <w:rsid w:val="008178D8"/>
    <w:rsid w:val="00821520"/>
    <w:rsid w:val="00831688"/>
    <w:rsid w:val="008361BE"/>
    <w:rsid w:val="0084286B"/>
    <w:rsid w:val="008526CF"/>
    <w:rsid w:val="00864203"/>
    <w:rsid w:val="00883728"/>
    <w:rsid w:val="00897CAF"/>
    <w:rsid w:val="008A65E4"/>
    <w:rsid w:val="008B4C8B"/>
    <w:rsid w:val="008C3B06"/>
    <w:rsid w:val="008D4AA5"/>
    <w:rsid w:val="008E2841"/>
    <w:rsid w:val="008F02BA"/>
    <w:rsid w:val="008F4C1C"/>
    <w:rsid w:val="009464B8"/>
    <w:rsid w:val="0095028B"/>
    <w:rsid w:val="0095132F"/>
    <w:rsid w:val="00951C24"/>
    <w:rsid w:val="00972776"/>
    <w:rsid w:val="00972B46"/>
    <w:rsid w:val="0097413E"/>
    <w:rsid w:val="009827ED"/>
    <w:rsid w:val="00986928"/>
    <w:rsid w:val="00996590"/>
    <w:rsid w:val="009A3E24"/>
    <w:rsid w:val="009A61EC"/>
    <w:rsid w:val="009B3815"/>
    <w:rsid w:val="009B41FC"/>
    <w:rsid w:val="009B749A"/>
    <w:rsid w:val="009C0BDE"/>
    <w:rsid w:val="009C40A8"/>
    <w:rsid w:val="009C5AF7"/>
    <w:rsid w:val="009C7F6E"/>
    <w:rsid w:val="009E4BA3"/>
    <w:rsid w:val="00A215D3"/>
    <w:rsid w:val="00A22487"/>
    <w:rsid w:val="00A41A97"/>
    <w:rsid w:val="00A422B6"/>
    <w:rsid w:val="00A5424A"/>
    <w:rsid w:val="00A675C2"/>
    <w:rsid w:val="00A96765"/>
    <w:rsid w:val="00AA34B7"/>
    <w:rsid w:val="00AA7D23"/>
    <w:rsid w:val="00AB10ED"/>
    <w:rsid w:val="00AB1D1E"/>
    <w:rsid w:val="00AB1E95"/>
    <w:rsid w:val="00AC1A95"/>
    <w:rsid w:val="00AC5039"/>
    <w:rsid w:val="00AC6478"/>
    <w:rsid w:val="00AD0BD0"/>
    <w:rsid w:val="00AD7A25"/>
    <w:rsid w:val="00AE0CC9"/>
    <w:rsid w:val="00B0585E"/>
    <w:rsid w:val="00B06D94"/>
    <w:rsid w:val="00B12C82"/>
    <w:rsid w:val="00B156BC"/>
    <w:rsid w:val="00B15ED8"/>
    <w:rsid w:val="00B32C7D"/>
    <w:rsid w:val="00B34540"/>
    <w:rsid w:val="00B453A9"/>
    <w:rsid w:val="00B47D0B"/>
    <w:rsid w:val="00B629FE"/>
    <w:rsid w:val="00B7401E"/>
    <w:rsid w:val="00B8024D"/>
    <w:rsid w:val="00B81F96"/>
    <w:rsid w:val="00B849ED"/>
    <w:rsid w:val="00B9146C"/>
    <w:rsid w:val="00B93D89"/>
    <w:rsid w:val="00BA1697"/>
    <w:rsid w:val="00BA219C"/>
    <w:rsid w:val="00BA4F7D"/>
    <w:rsid w:val="00BB1633"/>
    <w:rsid w:val="00BD099F"/>
    <w:rsid w:val="00BF51F0"/>
    <w:rsid w:val="00C0420D"/>
    <w:rsid w:val="00C235FA"/>
    <w:rsid w:val="00C23B71"/>
    <w:rsid w:val="00C33F86"/>
    <w:rsid w:val="00C37AC8"/>
    <w:rsid w:val="00C37EF3"/>
    <w:rsid w:val="00C419A9"/>
    <w:rsid w:val="00C47CEF"/>
    <w:rsid w:val="00C5062A"/>
    <w:rsid w:val="00C67CA7"/>
    <w:rsid w:val="00C93B2B"/>
    <w:rsid w:val="00CB1B5A"/>
    <w:rsid w:val="00CC1EC9"/>
    <w:rsid w:val="00CC7874"/>
    <w:rsid w:val="00CD59E5"/>
    <w:rsid w:val="00CD624E"/>
    <w:rsid w:val="00CE0822"/>
    <w:rsid w:val="00CE24E8"/>
    <w:rsid w:val="00D02A8A"/>
    <w:rsid w:val="00D03495"/>
    <w:rsid w:val="00D3573A"/>
    <w:rsid w:val="00D37518"/>
    <w:rsid w:val="00D42EA4"/>
    <w:rsid w:val="00D4618C"/>
    <w:rsid w:val="00D47DB5"/>
    <w:rsid w:val="00D5380F"/>
    <w:rsid w:val="00D61721"/>
    <w:rsid w:val="00D661E5"/>
    <w:rsid w:val="00DA51FF"/>
    <w:rsid w:val="00DA673B"/>
    <w:rsid w:val="00DA6B99"/>
    <w:rsid w:val="00DB0BA0"/>
    <w:rsid w:val="00DB4D1A"/>
    <w:rsid w:val="00DB784D"/>
    <w:rsid w:val="00DC5B9C"/>
    <w:rsid w:val="00DD2774"/>
    <w:rsid w:val="00DE0E77"/>
    <w:rsid w:val="00DE567B"/>
    <w:rsid w:val="00DE653F"/>
    <w:rsid w:val="00E154FC"/>
    <w:rsid w:val="00E2092F"/>
    <w:rsid w:val="00E25752"/>
    <w:rsid w:val="00E432AB"/>
    <w:rsid w:val="00E446F0"/>
    <w:rsid w:val="00E47D90"/>
    <w:rsid w:val="00E56A46"/>
    <w:rsid w:val="00E6683B"/>
    <w:rsid w:val="00E97A21"/>
    <w:rsid w:val="00EA4DD4"/>
    <w:rsid w:val="00EB2506"/>
    <w:rsid w:val="00EB64E6"/>
    <w:rsid w:val="00EC30F1"/>
    <w:rsid w:val="00EC3871"/>
    <w:rsid w:val="00EC680B"/>
    <w:rsid w:val="00EC6C76"/>
    <w:rsid w:val="00EC723E"/>
    <w:rsid w:val="00ED5EC2"/>
    <w:rsid w:val="00ED606F"/>
    <w:rsid w:val="00ED7745"/>
    <w:rsid w:val="00EF4B82"/>
    <w:rsid w:val="00F0469C"/>
    <w:rsid w:val="00F10035"/>
    <w:rsid w:val="00F1379B"/>
    <w:rsid w:val="00F25963"/>
    <w:rsid w:val="00F306FA"/>
    <w:rsid w:val="00F41273"/>
    <w:rsid w:val="00F426F6"/>
    <w:rsid w:val="00F4281B"/>
    <w:rsid w:val="00F445A1"/>
    <w:rsid w:val="00F4551F"/>
    <w:rsid w:val="00F67BC0"/>
    <w:rsid w:val="00F75BD2"/>
    <w:rsid w:val="00F84924"/>
    <w:rsid w:val="00F976BA"/>
    <w:rsid w:val="00FA448F"/>
    <w:rsid w:val="00FC2A30"/>
    <w:rsid w:val="00FE30EB"/>
    <w:rsid w:val="00FE34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DE64FBA-A8E6-49B6-A837-9CDF69D4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Num"/>
    <w:link w:val="Heading1Char"/>
    <w:qFormat/>
    <w:rsid w:val="003D226E"/>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3D226E"/>
    <w:pPr>
      <w:keepNext/>
      <w:widowControl w:val="0"/>
      <w:numPr>
        <w:ilvl w:val="1"/>
        <w:numId w:val="7"/>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rsid w:val="00034878"/>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D226E"/>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semiHidden/>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semiHidden/>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character" w:customStyle="1" w:styleId="UnresolvedMention">
    <w:name w:val="Unresolved Mention"/>
    <w:basedOn w:val="DefaultParagraphFont"/>
    <w:uiPriority w:val="99"/>
    <w:semiHidden/>
    <w:unhideWhenUsed/>
    <w:rsid w:val="00E6683B"/>
    <w:rPr>
      <w:color w:val="605E5C"/>
      <w:shd w:val="clear" w:color="auto" w:fill="E1DFDD"/>
    </w:rPr>
  </w:style>
  <w:style w:type="character" w:styleId="PlaceholderText">
    <w:name w:val="Placeholder Text"/>
    <w:basedOn w:val="DefaultParagraphFont"/>
    <w:uiPriority w:val="99"/>
    <w:semiHidden/>
    <w:rsid w:val="001E61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yperlink" Target="https://docs.fcc.gov/public/attachments/FCC-20-155A1.pdf" TargetMode="External" /><Relationship Id="rId9" Type="http://schemas.openxmlformats.org/officeDocument/2006/relationships/hyperlink" Target="https://www.govinfo.gov/content/pkg/FR-2020-11-30/pdf/2020-24897.pdf"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mediatracks.com/resources/nielsen-dma-rankings-2020/"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