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4E7D8C87" w14:textId="64125BBB">
      <w:pPr>
        <w:jc w:val="right"/>
        <w:rPr>
          <w:b/>
          <w:sz w:val="24"/>
        </w:rPr>
      </w:pPr>
      <w:r>
        <w:rPr>
          <w:b/>
          <w:sz w:val="24"/>
        </w:rPr>
        <w:t>DA 2</w:t>
      </w:r>
      <w:r w:rsidR="00206B17">
        <w:rPr>
          <w:b/>
          <w:sz w:val="24"/>
        </w:rPr>
        <w:t>1</w:t>
      </w:r>
      <w:r>
        <w:rPr>
          <w:b/>
          <w:sz w:val="24"/>
        </w:rPr>
        <w:t>-</w:t>
      </w:r>
      <w:r w:rsidR="00B657F3">
        <w:rPr>
          <w:b/>
          <w:sz w:val="24"/>
        </w:rPr>
        <w:t>404</w:t>
      </w:r>
    </w:p>
    <w:p w:rsidR="00013A8B" w:rsidRPr="00B20363" w:rsidP="00013A8B" w14:paraId="4184EB30" w14:textId="4B8F295D">
      <w:pPr>
        <w:spacing w:before="60"/>
        <w:jc w:val="right"/>
        <w:rPr>
          <w:b/>
          <w:sz w:val="24"/>
        </w:rPr>
      </w:pPr>
      <w:r>
        <w:rPr>
          <w:b/>
          <w:sz w:val="24"/>
        </w:rPr>
        <w:t xml:space="preserve">Released:  </w:t>
      </w:r>
      <w:r w:rsidRPr="0063529B" w:rsidR="00802742">
        <w:rPr>
          <w:b/>
          <w:sz w:val="24"/>
        </w:rPr>
        <w:t>April</w:t>
      </w:r>
      <w:r w:rsidRPr="0063529B" w:rsidR="00206B17">
        <w:rPr>
          <w:b/>
          <w:sz w:val="24"/>
        </w:rPr>
        <w:t xml:space="preserve"> </w:t>
      </w:r>
      <w:r w:rsidR="00B657F3">
        <w:rPr>
          <w:b/>
          <w:sz w:val="24"/>
        </w:rPr>
        <w:t>8</w:t>
      </w:r>
      <w:r w:rsidR="00A726A1">
        <w:rPr>
          <w:b/>
          <w:sz w:val="24"/>
        </w:rPr>
        <w:t>, 202</w:t>
      </w:r>
      <w:r w:rsidR="00206B17">
        <w:rPr>
          <w:b/>
          <w:sz w:val="24"/>
        </w:rPr>
        <w:t>1</w:t>
      </w:r>
    </w:p>
    <w:p w:rsidR="00013A8B" w:rsidP="00013A8B" w14:paraId="233F699B" w14:textId="77777777">
      <w:pPr>
        <w:jc w:val="right"/>
        <w:rPr>
          <w:sz w:val="24"/>
        </w:rPr>
      </w:pPr>
    </w:p>
    <w:p w:rsidR="00A726A1" w:rsidP="00A726A1" w14:paraId="1EFBD903" w14:textId="335C6363">
      <w:pPr>
        <w:jc w:val="center"/>
        <w:rPr>
          <w:rFonts w:ascii="Times New Roman Bold" w:hAnsi="Times New Roman Bold"/>
          <w:b/>
          <w:caps/>
          <w:sz w:val="24"/>
        </w:rPr>
      </w:pPr>
      <w:r w:rsidRPr="00A726A1">
        <w:rPr>
          <w:rFonts w:ascii="Times New Roman Bold" w:hAnsi="Times New Roman Bold"/>
          <w:b/>
          <w:caps/>
          <w:sz w:val="24"/>
        </w:rPr>
        <w:t>INVOICE FILING DEADLINES FOR TV BROADCASTER RELOCATION FUND</w:t>
      </w:r>
      <w:r w:rsidR="00206B17">
        <w:rPr>
          <w:rFonts w:ascii="Times New Roman Bold" w:hAnsi="Times New Roman Bold"/>
          <w:b/>
          <w:caps/>
          <w:sz w:val="24"/>
        </w:rPr>
        <w:t xml:space="preserve"> </w:t>
      </w:r>
      <w:r w:rsidR="005307BE">
        <w:rPr>
          <w:rFonts w:ascii="Times New Roman Bold" w:hAnsi="Times New Roman Bold"/>
          <w:b/>
          <w:caps/>
          <w:sz w:val="24"/>
        </w:rPr>
        <w:t xml:space="preserve">reimbursements </w:t>
      </w:r>
      <w:r w:rsidR="00876127">
        <w:rPr>
          <w:rFonts w:ascii="Times New Roman Bold" w:hAnsi="Times New Roman Bold"/>
          <w:b/>
          <w:caps/>
          <w:sz w:val="24"/>
        </w:rPr>
        <w:t>BEGIN</w:t>
      </w:r>
      <w:r w:rsidR="00206B17">
        <w:rPr>
          <w:rFonts w:ascii="Times New Roman Bold" w:hAnsi="Times New Roman Bold"/>
          <w:b/>
          <w:caps/>
          <w:sz w:val="24"/>
        </w:rPr>
        <w:t xml:space="preserve"> </w:t>
      </w:r>
      <w:r w:rsidR="00802742">
        <w:rPr>
          <w:rFonts w:ascii="Times New Roman Bold" w:hAnsi="Times New Roman Bold"/>
          <w:b/>
          <w:caps/>
          <w:sz w:val="24"/>
        </w:rPr>
        <w:t>on OCtober 8, 2021</w:t>
      </w:r>
    </w:p>
    <w:p w:rsidR="00A726A1" w:rsidP="00A726A1" w14:paraId="0E208899" w14:textId="77777777">
      <w:pPr>
        <w:jc w:val="center"/>
        <w:rPr>
          <w:rFonts w:ascii="Times New Roman Bold" w:hAnsi="Times New Roman Bold"/>
          <w:b/>
          <w:caps/>
          <w:sz w:val="24"/>
        </w:rPr>
      </w:pPr>
    </w:p>
    <w:p w:rsidR="00A726A1" w:rsidRPr="00A726A1" w:rsidP="00A726A1" w14:paraId="765E440C" w14:textId="3EC1066E">
      <w:pPr>
        <w:jc w:val="center"/>
        <w:rPr>
          <w:b/>
          <w:sz w:val="24"/>
        </w:rPr>
      </w:pPr>
      <w:r w:rsidRPr="00A726A1">
        <w:rPr>
          <w:b/>
          <w:sz w:val="24"/>
        </w:rPr>
        <w:t>MB Docket No. 16-306</w:t>
      </w:r>
    </w:p>
    <w:p w:rsidR="00013A8B" w:rsidP="00A726A1" w14:paraId="6047F529" w14:textId="1965697D">
      <w:pPr>
        <w:jc w:val="center"/>
        <w:rPr>
          <w:b/>
          <w:sz w:val="24"/>
        </w:rPr>
      </w:pPr>
      <w:r w:rsidRPr="00A726A1">
        <w:rPr>
          <w:b/>
          <w:sz w:val="24"/>
        </w:rPr>
        <w:t>GN Docket No. 12-268</w:t>
      </w:r>
    </w:p>
    <w:p w:rsidR="00F96F63" w:rsidRPr="00930ECF" w:rsidP="00F96F63" w14:paraId="43951158" w14:textId="77777777">
      <w:pPr>
        <w:rPr>
          <w:sz w:val="24"/>
        </w:rPr>
      </w:pPr>
      <w:bookmarkStart w:id="0" w:name="TOChere"/>
    </w:p>
    <w:bookmarkEnd w:id="0"/>
    <w:p w:rsidR="005307BE" w:rsidRPr="00E95E6B" w:rsidP="00B0283D" w14:paraId="1ED8B709" w14:textId="741D324B">
      <w:pPr>
        <w:numPr>
          <w:ilvl w:val="0"/>
          <w:numId w:val="7"/>
        </w:numPr>
        <w:spacing w:before="120" w:after="120"/>
        <w:ind w:left="0" w:firstLine="810"/>
      </w:pPr>
      <w:r w:rsidRPr="00316481">
        <w:rPr>
          <w:snapToGrid/>
          <w:kern w:val="0"/>
          <w:szCs w:val="22"/>
        </w:rPr>
        <w:t xml:space="preserve">The Incentive Auction Task Force and Media Bureau (Bureau) </w:t>
      </w:r>
      <w:r w:rsidRPr="00316481" w:rsidR="00206B17">
        <w:rPr>
          <w:snapToGrid/>
          <w:kern w:val="0"/>
          <w:szCs w:val="22"/>
        </w:rPr>
        <w:t xml:space="preserve">remind eligible entities that </w:t>
      </w:r>
      <w:r w:rsidRPr="00316481">
        <w:rPr>
          <w:snapToGrid/>
          <w:kern w:val="0"/>
          <w:szCs w:val="22"/>
        </w:rPr>
        <w:t>filing deadlines to submit all remaining invoices for reimbursement from the TV Broadcaster Relocation Fund (Reimbursement Fund or Fund)</w:t>
      </w:r>
      <w:r w:rsidRPr="00316481" w:rsidR="00206B17">
        <w:rPr>
          <w:snapToGrid/>
          <w:kern w:val="0"/>
          <w:szCs w:val="22"/>
        </w:rPr>
        <w:t xml:space="preserve"> </w:t>
      </w:r>
      <w:r w:rsidR="00EC6BDD">
        <w:rPr>
          <w:snapToGrid/>
          <w:kern w:val="0"/>
          <w:szCs w:val="22"/>
        </w:rPr>
        <w:t xml:space="preserve">will </w:t>
      </w:r>
      <w:r w:rsidRPr="00316481" w:rsidR="00206B17">
        <w:rPr>
          <w:snapToGrid/>
          <w:kern w:val="0"/>
          <w:szCs w:val="22"/>
        </w:rPr>
        <w:t>begin in six months.</w:t>
      </w:r>
      <w:r>
        <w:rPr>
          <w:rStyle w:val="FootnoteReference"/>
          <w:snapToGrid/>
          <w:kern w:val="0"/>
          <w:szCs w:val="22"/>
        </w:rPr>
        <w:footnoteReference w:id="3"/>
      </w:r>
      <w:r w:rsidRPr="00316481" w:rsidR="00206B17">
        <w:rPr>
          <w:snapToGrid/>
          <w:kern w:val="0"/>
          <w:szCs w:val="22"/>
        </w:rPr>
        <w:t xml:space="preserve">  </w:t>
      </w:r>
      <w:r w:rsidR="00802742">
        <w:t>E</w:t>
      </w:r>
      <w:r w:rsidR="00206B17">
        <w:t xml:space="preserve">ntities are </w:t>
      </w:r>
      <w:r w:rsidR="00802742">
        <w:t xml:space="preserve">strongly </w:t>
      </w:r>
      <w:r w:rsidR="00206B17">
        <w:t xml:space="preserve">encouraged to </w:t>
      </w:r>
      <w:r w:rsidR="00253687">
        <w:t xml:space="preserve">submit all remaining invoices and </w:t>
      </w:r>
      <w:r w:rsidR="00206B17">
        <w:t>initiate close</w:t>
      </w:r>
      <w:r w:rsidR="00EC6BDD">
        <w:t>-</w:t>
      </w:r>
      <w:r w:rsidR="00206B17">
        <w:t>out procedures as early as possible</w:t>
      </w:r>
      <w:r w:rsidR="00253687">
        <w:t xml:space="preserve"> and are not required to</w:t>
      </w:r>
      <w:r w:rsidR="00206B17">
        <w:t xml:space="preserve"> wait for </w:t>
      </w:r>
      <w:r w:rsidRPr="00161C63" w:rsidR="00206B17">
        <w:t>their assigned final invoice filing deadline</w:t>
      </w:r>
      <w:r w:rsidRPr="00D85BDF" w:rsidR="00206B17">
        <w:t xml:space="preserve"> </w:t>
      </w:r>
      <w:r w:rsidR="00206B17">
        <w:t xml:space="preserve">to </w:t>
      </w:r>
      <w:r w:rsidR="00807835">
        <w:t>initiate close</w:t>
      </w:r>
      <w:r w:rsidR="00EC6BDD">
        <w:t>-</w:t>
      </w:r>
      <w:r w:rsidR="00807835">
        <w:t>out procedures</w:t>
      </w:r>
      <w:r w:rsidR="00316481">
        <w:t>.</w:t>
      </w:r>
      <w:r w:rsidRPr="00316481" w:rsidR="00A8047D">
        <w:rPr>
          <w:snapToGrid/>
          <w:kern w:val="0"/>
          <w:szCs w:val="22"/>
        </w:rPr>
        <w:t xml:space="preserve">  The deadlines help ensure that all eligible invoices are processed </w:t>
      </w:r>
      <w:r w:rsidR="00C16B99">
        <w:rPr>
          <w:snapToGrid/>
          <w:kern w:val="0"/>
          <w:szCs w:val="22"/>
        </w:rPr>
        <w:t xml:space="preserve">and paid, </w:t>
      </w:r>
      <w:r w:rsidRPr="00316481" w:rsidR="00A8047D">
        <w:rPr>
          <w:snapToGrid/>
          <w:kern w:val="0"/>
          <w:szCs w:val="22"/>
        </w:rPr>
        <w:t xml:space="preserve">and that entities </w:t>
      </w:r>
      <w:r w:rsidR="00805B9E">
        <w:rPr>
          <w:snapToGrid/>
          <w:kern w:val="0"/>
          <w:szCs w:val="22"/>
        </w:rPr>
        <w:t>have sufficient time to</w:t>
      </w:r>
      <w:r w:rsidR="00B22DC3">
        <w:rPr>
          <w:snapToGrid/>
          <w:kern w:val="0"/>
          <w:szCs w:val="22"/>
        </w:rPr>
        <w:t xml:space="preserve"> </w:t>
      </w:r>
      <w:r w:rsidRPr="00316481" w:rsidR="00A8047D">
        <w:rPr>
          <w:snapToGrid/>
          <w:kern w:val="0"/>
          <w:szCs w:val="22"/>
        </w:rPr>
        <w:t>complete the Fund close-out procedures</w:t>
      </w:r>
      <w:r>
        <w:rPr>
          <w:rStyle w:val="FootnoteReference"/>
          <w:snapToGrid/>
          <w:kern w:val="0"/>
          <w:szCs w:val="22"/>
        </w:rPr>
        <w:footnoteReference w:id="4"/>
      </w:r>
      <w:r w:rsidR="00C16B99">
        <w:rPr>
          <w:snapToGrid/>
          <w:kern w:val="0"/>
          <w:szCs w:val="22"/>
        </w:rPr>
        <w:t xml:space="preserve"> </w:t>
      </w:r>
      <w:r w:rsidRPr="00316481" w:rsidR="00A8047D">
        <w:rPr>
          <w:snapToGrid/>
          <w:kern w:val="0"/>
          <w:szCs w:val="22"/>
        </w:rPr>
        <w:t xml:space="preserve">prior to July 3, 2023, when </w:t>
      </w:r>
      <w:r w:rsidR="00A8047D">
        <w:t xml:space="preserve">any unobligated amounts in the Fund will be rescinded and deposited into the </w:t>
      </w:r>
      <w:r w:rsidRPr="00316481" w:rsidR="00A8047D">
        <w:rPr>
          <w:snapToGrid/>
          <w:kern w:val="0"/>
          <w:szCs w:val="22"/>
        </w:rPr>
        <w:t>U.S. Treasury.</w:t>
      </w:r>
      <w:r>
        <w:rPr>
          <w:rStyle w:val="FootnoteReference"/>
          <w:snapToGrid/>
          <w:kern w:val="0"/>
          <w:szCs w:val="22"/>
        </w:rPr>
        <w:footnoteReference w:id="5"/>
      </w:r>
      <w:r w:rsidR="00316481">
        <w:t xml:space="preserve">  </w:t>
      </w:r>
      <w:r w:rsidR="00B0283D">
        <w:rPr>
          <w:snapToGrid/>
          <w:kern w:val="0"/>
          <w:szCs w:val="22"/>
        </w:rPr>
        <w:t>T</w:t>
      </w:r>
      <w:r w:rsidRPr="00316481" w:rsidR="00B0283D">
        <w:rPr>
          <w:snapToGrid/>
          <w:kern w:val="0"/>
          <w:szCs w:val="22"/>
        </w:rPr>
        <w:t>he final invoice filing deadlines are</w:t>
      </w:r>
      <w:r w:rsidR="00B0283D">
        <w:rPr>
          <w:snapToGrid/>
          <w:kern w:val="0"/>
          <w:szCs w:val="22"/>
        </w:rPr>
        <w:t xml:space="preserve"> </w:t>
      </w:r>
      <w:r w:rsidR="00C16B99">
        <w:rPr>
          <w:snapToGrid/>
          <w:kern w:val="0"/>
          <w:szCs w:val="22"/>
        </w:rPr>
        <w:t>as follows:</w:t>
      </w:r>
    </w:p>
    <w:p w:rsidR="00E95E6B" w:rsidP="00E95E6B" w14:paraId="3ABBA2CD" w14:textId="5BF4CD7B">
      <w:pPr>
        <w:numPr>
          <w:ilvl w:val="0"/>
          <w:numId w:val="9"/>
        </w:numPr>
        <w:spacing w:before="120" w:after="120"/>
        <w:rPr>
          <w:snapToGrid/>
          <w:kern w:val="0"/>
          <w:szCs w:val="22"/>
        </w:rPr>
      </w:pPr>
      <w:r w:rsidRPr="00316481">
        <w:rPr>
          <w:b/>
          <w:bCs/>
          <w:snapToGrid/>
          <w:kern w:val="0"/>
          <w:szCs w:val="22"/>
        </w:rPr>
        <w:t>October 8, 2021</w:t>
      </w:r>
      <w:r w:rsidRPr="00316481">
        <w:rPr>
          <w:snapToGrid/>
          <w:kern w:val="0"/>
          <w:szCs w:val="22"/>
        </w:rPr>
        <w:t xml:space="preserve"> </w:t>
      </w:r>
      <w:r>
        <w:rPr>
          <w:snapToGrid/>
          <w:kern w:val="0"/>
          <w:szCs w:val="22"/>
        </w:rPr>
        <w:t xml:space="preserve">for </w:t>
      </w:r>
      <w:r w:rsidRPr="00E95E6B" w:rsidR="005307BE">
        <w:rPr>
          <w:snapToGrid/>
          <w:kern w:val="0"/>
          <w:szCs w:val="22"/>
        </w:rPr>
        <w:t>Full power and Class A TV</w:t>
      </w:r>
      <w:r w:rsidR="005307BE">
        <w:rPr>
          <w:snapToGrid/>
          <w:kern w:val="0"/>
          <w:szCs w:val="22"/>
        </w:rPr>
        <w:t xml:space="preserve"> </w:t>
      </w:r>
      <w:r w:rsidRPr="00E95E6B" w:rsidR="005307BE">
        <w:rPr>
          <w:snapToGrid/>
          <w:kern w:val="0"/>
          <w:szCs w:val="22"/>
        </w:rPr>
        <w:t>stations</w:t>
      </w:r>
      <w:r w:rsidR="005307BE">
        <w:rPr>
          <w:b/>
          <w:bCs/>
          <w:snapToGrid/>
          <w:kern w:val="0"/>
          <w:szCs w:val="22"/>
        </w:rPr>
        <w:t xml:space="preserve"> </w:t>
      </w:r>
      <w:r w:rsidRPr="00E95E6B" w:rsidR="005307BE">
        <w:rPr>
          <w:snapToGrid/>
          <w:kern w:val="0"/>
          <w:szCs w:val="22"/>
        </w:rPr>
        <w:t>assigned transition completion dates in phases 1-5</w:t>
      </w:r>
      <w:r>
        <w:rPr>
          <w:snapToGrid/>
          <w:kern w:val="0"/>
          <w:szCs w:val="22"/>
        </w:rPr>
        <w:t>,</w:t>
      </w:r>
      <w:r>
        <w:rPr>
          <w:rStyle w:val="FootnoteReference"/>
          <w:snapToGrid/>
          <w:kern w:val="0"/>
          <w:szCs w:val="22"/>
        </w:rPr>
        <w:footnoteReference w:id="6"/>
      </w:r>
    </w:p>
    <w:p w:rsidR="00E95E6B" w:rsidP="00E95E6B" w14:paraId="134A710B" w14:textId="2550E4A3">
      <w:pPr>
        <w:numPr>
          <w:ilvl w:val="0"/>
          <w:numId w:val="9"/>
        </w:numPr>
        <w:spacing w:before="120" w:after="120"/>
        <w:rPr>
          <w:snapToGrid/>
          <w:kern w:val="0"/>
          <w:szCs w:val="22"/>
        </w:rPr>
      </w:pPr>
      <w:r w:rsidRPr="00316481">
        <w:rPr>
          <w:b/>
          <w:bCs/>
          <w:snapToGrid/>
          <w:kern w:val="0"/>
          <w:szCs w:val="22"/>
        </w:rPr>
        <w:t>March 22</w:t>
      </w:r>
      <w:r w:rsidRPr="00316481">
        <w:rPr>
          <w:b/>
          <w:kern w:val="0"/>
        </w:rPr>
        <w:t>, 2022</w:t>
      </w:r>
      <w:r w:rsidRPr="00E95E6B">
        <w:rPr>
          <w:bCs/>
          <w:kern w:val="0"/>
        </w:rPr>
        <w:t xml:space="preserve"> for </w:t>
      </w:r>
      <w:r w:rsidRPr="0018168E" w:rsidR="005307BE">
        <w:rPr>
          <w:snapToGrid/>
          <w:kern w:val="0"/>
          <w:szCs w:val="22"/>
        </w:rPr>
        <w:t>Full power and Class A TV</w:t>
      </w:r>
      <w:r w:rsidR="005307BE">
        <w:rPr>
          <w:snapToGrid/>
          <w:kern w:val="0"/>
          <w:szCs w:val="22"/>
        </w:rPr>
        <w:t xml:space="preserve"> </w:t>
      </w:r>
      <w:r w:rsidRPr="0018168E" w:rsidR="005307BE">
        <w:rPr>
          <w:snapToGrid/>
          <w:kern w:val="0"/>
          <w:szCs w:val="22"/>
        </w:rPr>
        <w:t>stations</w:t>
      </w:r>
      <w:r w:rsidR="005307BE">
        <w:rPr>
          <w:b/>
          <w:bCs/>
          <w:snapToGrid/>
          <w:kern w:val="0"/>
          <w:szCs w:val="22"/>
        </w:rPr>
        <w:t xml:space="preserve"> </w:t>
      </w:r>
      <w:r w:rsidRPr="0018168E" w:rsidR="005307BE">
        <w:rPr>
          <w:snapToGrid/>
          <w:kern w:val="0"/>
          <w:szCs w:val="22"/>
        </w:rPr>
        <w:t>assigned transition completion dates in phases</w:t>
      </w:r>
      <w:r w:rsidR="005307BE">
        <w:rPr>
          <w:snapToGrid/>
          <w:kern w:val="0"/>
          <w:szCs w:val="22"/>
        </w:rPr>
        <w:t xml:space="preserve"> 6-10</w:t>
      </w:r>
      <w:r>
        <w:rPr>
          <w:snapToGrid/>
          <w:kern w:val="0"/>
          <w:szCs w:val="22"/>
        </w:rPr>
        <w:t>,</w:t>
      </w:r>
    </w:p>
    <w:p w:rsidR="00A726A1" w:rsidRPr="00141EE4" w:rsidP="00E95E6B" w14:paraId="09B9C7D0" w14:textId="2B897210">
      <w:pPr>
        <w:numPr>
          <w:ilvl w:val="0"/>
          <w:numId w:val="9"/>
        </w:numPr>
        <w:spacing w:before="120" w:after="120"/>
      </w:pPr>
      <w:r w:rsidRPr="00316481">
        <w:rPr>
          <w:b/>
          <w:bCs/>
          <w:snapToGrid/>
          <w:kern w:val="0"/>
          <w:szCs w:val="22"/>
        </w:rPr>
        <w:t>September 5, 2022</w:t>
      </w:r>
      <w:r w:rsidRPr="00E95E6B">
        <w:rPr>
          <w:snapToGrid/>
          <w:kern w:val="0"/>
          <w:szCs w:val="22"/>
        </w:rPr>
        <w:t xml:space="preserve"> for </w:t>
      </w:r>
      <w:r w:rsidRPr="005307BE" w:rsidR="005307BE">
        <w:rPr>
          <w:snapToGrid/>
          <w:kern w:val="0"/>
          <w:szCs w:val="22"/>
        </w:rPr>
        <w:t>Low Power TV and TV translator (LPTV/translator) stations, FM stations, and multichannel video programming distributors (MVPDs)</w:t>
      </w:r>
      <w:r w:rsidRPr="00316481" w:rsidR="0081656D">
        <w:rPr>
          <w:snapToGrid/>
          <w:kern w:val="0"/>
          <w:szCs w:val="22"/>
        </w:rPr>
        <w:t>.</w:t>
      </w:r>
    </w:p>
    <w:p w:rsidR="009C32F0" w:rsidP="001E6EFE" w14:paraId="7D075AE3" w14:textId="5ED8692B">
      <w:pPr>
        <w:numPr>
          <w:ilvl w:val="0"/>
          <w:numId w:val="7"/>
        </w:numPr>
        <w:spacing w:before="120" w:after="120"/>
        <w:ind w:left="0" w:firstLine="810"/>
      </w:pPr>
      <w:r w:rsidRPr="000927A5">
        <w:t xml:space="preserve">Congress </w:t>
      </w:r>
      <w:r>
        <w:t>provided</w:t>
      </w:r>
      <w:r w:rsidRPr="000927A5">
        <w:t xml:space="preserve"> $</w:t>
      </w:r>
      <w:r>
        <w:t>2</w:t>
      </w:r>
      <w:r w:rsidRPr="000927A5">
        <w:t>.75 billion for the</w:t>
      </w:r>
      <w:r>
        <w:t xml:space="preserve"> </w:t>
      </w:r>
      <w:r w:rsidRPr="000927A5">
        <w:t>Fund</w:t>
      </w:r>
      <w:r>
        <w:t xml:space="preserve"> to reimburse certain costs associated with the post-incentive auction transition.</w:t>
      </w:r>
      <w:r>
        <w:rPr>
          <w:rStyle w:val="FootnoteReference"/>
        </w:rPr>
        <w:footnoteReference w:id="7"/>
      </w:r>
      <w:r w:rsidRPr="000927A5">
        <w:t xml:space="preserve"> </w:t>
      </w:r>
      <w:r>
        <w:t xml:space="preserve"> </w:t>
      </w:r>
      <w:r w:rsidR="00C16B99">
        <w:t xml:space="preserve">As of this </w:t>
      </w:r>
      <w:r w:rsidRPr="005318B3">
        <w:t xml:space="preserve">date, participants in the </w:t>
      </w:r>
      <w:r>
        <w:t>R</w:t>
      </w:r>
      <w:r w:rsidRPr="005318B3">
        <w:t xml:space="preserve">eimbursement </w:t>
      </w:r>
      <w:r>
        <w:t xml:space="preserve">Fund </w:t>
      </w:r>
      <w:r w:rsidRPr="00186847">
        <w:t>include 957</w:t>
      </w:r>
      <w:r>
        <w:t xml:space="preserve"> repacked full power and Class A </w:t>
      </w:r>
      <w:r w:rsidR="00864B4F">
        <w:t xml:space="preserve">TV </w:t>
      </w:r>
      <w:r>
        <w:t xml:space="preserve">stations, </w:t>
      </w:r>
      <w:r w:rsidRPr="0063529B">
        <w:t>873</w:t>
      </w:r>
      <w:r w:rsidRPr="00EF23A8">
        <w:t xml:space="preserve"> LPTV/translator stations, </w:t>
      </w:r>
      <w:r w:rsidRPr="0063529B" w:rsidR="00A8047D">
        <w:t>90</w:t>
      </w:r>
      <w:r w:rsidRPr="00EF23A8">
        <w:t xml:space="preserve"> FM stations, and </w:t>
      </w:r>
      <w:r w:rsidRPr="0063529B">
        <w:t>181</w:t>
      </w:r>
      <w:r w:rsidRPr="00EF23A8">
        <w:t xml:space="preserve"> MVPDs.  </w:t>
      </w:r>
      <w:r w:rsidRPr="00EF23A8" w:rsidR="00807835">
        <w:t xml:space="preserve">As of </w:t>
      </w:r>
      <w:r w:rsidRPr="0063529B" w:rsidR="00807835">
        <w:t xml:space="preserve">April </w:t>
      </w:r>
      <w:r w:rsidRPr="00EF23A8" w:rsidR="00220FB7">
        <w:t>6</w:t>
      </w:r>
      <w:r w:rsidRPr="00EF23A8" w:rsidR="00807835">
        <w:t xml:space="preserve">, 2021, </w:t>
      </w:r>
      <w:r w:rsidRPr="0063529B" w:rsidR="0045638B">
        <w:t>95</w:t>
      </w:r>
      <w:r w:rsidR="00EF23A8">
        <w:t>3</w:t>
      </w:r>
      <w:r w:rsidRPr="00EF23A8" w:rsidR="00C16B99">
        <w:t xml:space="preserve"> (</w:t>
      </w:r>
      <w:r w:rsidRPr="00EF23A8" w:rsidR="00807835">
        <w:t xml:space="preserve">over </w:t>
      </w:r>
      <w:r w:rsidRPr="0063529B" w:rsidR="00807835">
        <w:t>96</w:t>
      </w:r>
      <w:r w:rsidR="00807835">
        <w:t>%</w:t>
      </w:r>
      <w:r w:rsidR="00C16B99">
        <w:t>)</w:t>
      </w:r>
      <w:r w:rsidR="00807835">
        <w:t xml:space="preserve"> of the repacked</w:t>
      </w:r>
      <w:r w:rsidR="00253687">
        <w:t xml:space="preserve"> full power and Class A TV</w:t>
      </w:r>
      <w:r w:rsidR="00807835">
        <w:t xml:space="preserve"> stations are </w:t>
      </w:r>
      <w:r w:rsidR="00807835">
        <w:t>operating on their final facilities.</w:t>
      </w:r>
      <w:r>
        <w:rPr>
          <w:rStyle w:val="FootnoteReference"/>
        </w:rPr>
        <w:footnoteReference w:id="8"/>
      </w:r>
      <w:r w:rsidR="00807835">
        <w:t xml:space="preserve">  The remaining </w:t>
      </w:r>
      <w:r w:rsidRPr="0063529B" w:rsidR="00C16B99">
        <w:t>3</w:t>
      </w:r>
      <w:r w:rsidR="00EF23A8">
        <w:t>4</w:t>
      </w:r>
      <w:r w:rsidRPr="00EF23A8" w:rsidR="00C16B99">
        <w:t xml:space="preserve"> stations (</w:t>
      </w:r>
      <w:r w:rsidRPr="00EF23A8">
        <w:t xml:space="preserve">less than </w:t>
      </w:r>
      <w:r w:rsidRPr="0063529B" w:rsidR="00E11084">
        <w:t>4</w:t>
      </w:r>
      <w:r>
        <w:t>%</w:t>
      </w:r>
      <w:r w:rsidR="00C16B99">
        <w:t>)</w:t>
      </w:r>
      <w:r w:rsidR="00807835">
        <w:t xml:space="preserve"> have been granted special temporary authority and revised construction permit deadlines to comple</w:t>
      </w:r>
      <w:r w:rsidR="00C16B99">
        <w:t>te</w:t>
      </w:r>
      <w:r w:rsidR="00807835">
        <w:t xml:space="preserve"> their final facilities.  Many LPTV/translator stations have </w:t>
      </w:r>
      <w:r w:rsidR="00C16B99">
        <w:t xml:space="preserve">also </w:t>
      </w:r>
      <w:r w:rsidR="00807835">
        <w:t>completed their displacement facilities</w:t>
      </w:r>
      <w:r w:rsidR="00C16B99">
        <w:t>,</w:t>
      </w:r>
      <w:r w:rsidR="00807835">
        <w:t xml:space="preserve"> while others continue to make progress on </w:t>
      </w:r>
      <w:r>
        <w:t>construction</w:t>
      </w:r>
      <w:r w:rsidR="00807835">
        <w:t>.</w:t>
      </w:r>
      <w:r>
        <w:rPr>
          <w:rStyle w:val="FootnoteReference"/>
        </w:rPr>
        <w:footnoteReference w:id="9"/>
      </w:r>
      <w:r w:rsidR="001E6EFE">
        <w:t xml:space="preserve">  </w:t>
      </w:r>
      <w:r w:rsidRPr="00864B4F" w:rsidR="0081656D">
        <w:rPr>
          <w:szCs w:val="22"/>
        </w:rPr>
        <w:t>Some FM stations and MVPDs have already incurred costs</w:t>
      </w:r>
      <w:r w:rsidR="00C16B99">
        <w:rPr>
          <w:szCs w:val="22"/>
        </w:rPr>
        <w:t>,</w:t>
      </w:r>
      <w:r w:rsidRPr="00864B4F" w:rsidR="0081656D">
        <w:rPr>
          <w:szCs w:val="22"/>
        </w:rPr>
        <w:t xml:space="preserve"> and </w:t>
      </w:r>
      <w:r w:rsidR="00C16B99">
        <w:rPr>
          <w:szCs w:val="22"/>
        </w:rPr>
        <w:t>some</w:t>
      </w:r>
      <w:r w:rsidRPr="00864B4F" w:rsidR="0081656D">
        <w:rPr>
          <w:szCs w:val="22"/>
        </w:rPr>
        <w:t xml:space="preserve"> may incur additional costs as </w:t>
      </w:r>
      <w:r w:rsidR="00C16B99">
        <w:rPr>
          <w:szCs w:val="22"/>
        </w:rPr>
        <w:t xml:space="preserve">the remaining </w:t>
      </w:r>
      <w:r w:rsidRPr="00864B4F" w:rsidR="0081656D">
        <w:rPr>
          <w:szCs w:val="22"/>
        </w:rPr>
        <w:t xml:space="preserve">repacked stations complete </w:t>
      </w:r>
      <w:r w:rsidR="00C16B99">
        <w:rPr>
          <w:szCs w:val="22"/>
        </w:rPr>
        <w:t xml:space="preserve">their </w:t>
      </w:r>
      <w:r w:rsidRPr="00864B4F" w:rsidR="0081656D">
        <w:rPr>
          <w:szCs w:val="22"/>
        </w:rPr>
        <w:t>transition to final facilities.</w:t>
      </w:r>
      <w:r w:rsidRPr="00864B4F">
        <w:rPr>
          <w:szCs w:val="22"/>
        </w:rPr>
        <w:t xml:space="preserve">  </w:t>
      </w:r>
      <w:r w:rsidR="004D7158">
        <w:t>Participants have received allocations of 92.5 percent of each entity’s verified estimates.</w:t>
      </w:r>
      <w:r>
        <w:rPr>
          <w:rStyle w:val="FootnoteReference"/>
        </w:rPr>
        <w:footnoteReference w:id="10"/>
      </w:r>
      <w:r w:rsidRPr="00ED404D" w:rsidR="004D7158">
        <w:t xml:space="preserve"> </w:t>
      </w:r>
      <w:r w:rsidR="004D7158">
        <w:t xml:space="preserve"> </w:t>
      </w:r>
      <w:r w:rsidRPr="00864B4F" w:rsidR="00A3525B">
        <w:rPr>
          <w:szCs w:val="22"/>
        </w:rPr>
        <w:t xml:space="preserve">As of </w:t>
      </w:r>
      <w:r w:rsidRPr="0063529B" w:rsidR="00A3525B">
        <w:rPr>
          <w:szCs w:val="22"/>
        </w:rPr>
        <w:t xml:space="preserve">April </w:t>
      </w:r>
      <w:r w:rsidRPr="0063529B" w:rsidR="00220FB7">
        <w:rPr>
          <w:szCs w:val="22"/>
        </w:rPr>
        <w:t>6</w:t>
      </w:r>
      <w:r w:rsidRPr="0063529B" w:rsidR="00A3525B">
        <w:rPr>
          <w:szCs w:val="22"/>
        </w:rPr>
        <w:t>,</w:t>
      </w:r>
      <w:r w:rsidRPr="00EF23A8" w:rsidR="00A3525B">
        <w:rPr>
          <w:szCs w:val="22"/>
        </w:rPr>
        <w:t xml:space="preserve"> 2021, the total of all verified estimates was over $</w:t>
      </w:r>
      <w:r w:rsidRPr="00EF23A8" w:rsidR="00A7652F">
        <w:rPr>
          <w:szCs w:val="22"/>
        </w:rPr>
        <w:t>2.216</w:t>
      </w:r>
      <w:r w:rsidRPr="00EF23A8" w:rsidR="00A3525B">
        <w:rPr>
          <w:szCs w:val="22"/>
        </w:rPr>
        <w:t xml:space="preserve"> billion, the total allocation was over </w:t>
      </w:r>
      <w:r w:rsidRPr="0063529B" w:rsidR="00A3525B">
        <w:rPr>
          <w:szCs w:val="22"/>
        </w:rPr>
        <w:t>$2.</w:t>
      </w:r>
      <w:r w:rsidRPr="0063529B" w:rsidR="009020EE">
        <w:rPr>
          <w:szCs w:val="22"/>
        </w:rPr>
        <w:t>042</w:t>
      </w:r>
      <w:r w:rsidRPr="00EF23A8" w:rsidR="00A3525B">
        <w:rPr>
          <w:szCs w:val="22"/>
        </w:rPr>
        <w:t xml:space="preserve"> billion, over $</w:t>
      </w:r>
      <w:r w:rsidRPr="00EF23A8" w:rsidR="006D2BDB">
        <w:rPr>
          <w:szCs w:val="22"/>
        </w:rPr>
        <w:t>1.516</w:t>
      </w:r>
      <w:r w:rsidRPr="00EF23A8" w:rsidR="00A3525B">
        <w:rPr>
          <w:szCs w:val="22"/>
        </w:rPr>
        <w:t xml:space="preserve"> billion had been forwarded to Treasury for payment, and over $</w:t>
      </w:r>
      <w:r w:rsidRPr="0063529B" w:rsidR="000D050B">
        <w:rPr>
          <w:szCs w:val="22"/>
        </w:rPr>
        <w:t>48</w:t>
      </w:r>
      <w:r w:rsidRPr="00864B4F" w:rsidR="006D2BDB">
        <w:rPr>
          <w:szCs w:val="22"/>
        </w:rPr>
        <w:t xml:space="preserve"> </w:t>
      </w:r>
      <w:r w:rsidRPr="00864B4F" w:rsidR="00A3525B">
        <w:rPr>
          <w:szCs w:val="22"/>
        </w:rPr>
        <w:t xml:space="preserve">million in invoices were </w:t>
      </w:r>
      <w:r w:rsidR="00C20B31">
        <w:rPr>
          <w:szCs w:val="22"/>
        </w:rPr>
        <w:t xml:space="preserve">under </w:t>
      </w:r>
      <w:r w:rsidRPr="00864B4F" w:rsidR="00A3525B">
        <w:rPr>
          <w:szCs w:val="22"/>
        </w:rPr>
        <w:t>review.</w:t>
      </w:r>
      <w:r>
        <w:rPr>
          <w:rStyle w:val="FootnoteReference"/>
          <w:szCs w:val="22"/>
        </w:rPr>
        <w:footnoteReference w:id="11"/>
      </w:r>
      <w:r w:rsidR="00A3525B">
        <w:t xml:space="preserve">  </w:t>
      </w:r>
    </w:p>
    <w:p w:rsidR="00A726A1" w:rsidP="001E6EFE" w14:paraId="4F3A1276" w14:textId="2BAB7149">
      <w:pPr>
        <w:numPr>
          <w:ilvl w:val="0"/>
          <w:numId w:val="7"/>
        </w:numPr>
        <w:spacing w:before="120" w:after="120"/>
        <w:ind w:left="0" w:firstLine="810"/>
      </w:pPr>
      <w:r>
        <w:t xml:space="preserve">Over a year ago, we </w:t>
      </w:r>
      <w:r w:rsidRPr="00ED404D">
        <w:t>established procedures</w:t>
      </w:r>
      <w:r>
        <w:t xml:space="preserve"> </w:t>
      </w:r>
      <w:r w:rsidRPr="00864B4F">
        <w:rPr>
          <w:szCs w:val="22"/>
        </w:rPr>
        <w:t xml:space="preserve">to </w:t>
      </w:r>
      <w:r w:rsidR="00EC6BDD">
        <w:rPr>
          <w:szCs w:val="22"/>
        </w:rPr>
        <w:t>complete</w:t>
      </w:r>
      <w:r>
        <w:t xml:space="preserve"> each entity’s participation in the Reimbursement Fund </w:t>
      </w:r>
      <w:r w:rsidR="00EC6BDD">
        <w:t xml:space="preserve">while </w:t>
      </w:r>
      <w:r w:rsidRPr="00864B4F">
        <w:rPr>
          <w:szCs w:val="22"/>
        </w:rPr>
        <w:t>help</w:t>
      </w:r>
      <w:r w:rsidR="00EC6BDD">
        <w:rPr>
          <w:szCs w:val="22"/>
        </w:rPr>
        <w:t>ing</w:t>
      </w:r>
      <w:r w:rsidRPr="00864B4F">
        <w:rPr>
          <w:szCs w:val="22"/>
        </w:rPr>
        <w:t xml:space="preserve"> us </w:t>
      </w:r>
      <w:r w:rsidRPr="000927A5">
        <w:t>prevent waste, fraud</w:t>
      </w:r>
      <w:r w:rsidR="00C20B31">
        <w:t>,</w:t>
      </w:r>
      <w:r w:rsidRPr="000927A5">
        <w:t xml:space="preserve"> and abuse associated with the disbursement of federal funds.</w:t>
      </w:r>
      <w:r>
        <w:rPr>
          <w:rStyle w:val="FootnoteReference"/>
          <w:szCs w:val="22"/>
        </w:rPr>
        <w:footnoteReference w:id="12"/>
      </w:r>
      <w:r w:rsidRPr="00864B4F">
        <w:rPr>
          <w:szCs w:val="22"/>
        </w:rPr>
        <w:t xml:space="preserve">  </w:t>
      </w:r>
      <w:r w:rsidR="00BE0176">
        <w:t xml:space="preserve">The </w:t>
      </w:r>
      <w:r w:rsidR="00C20B31">
        <w:t xml:space="preserve">two-step </w:t>
      </w:r>
      <w:r w:rsidR="00BE0176">
        <w:t>close-out process involves</w:t>
      </w:r>
      <w:r w:rsidRPr="00864B4F" w:rsidR="00BE0176">
        <w:rPr>
          <w:szCs w:val="22"/>
        </w:rPr>
        <w:t xml:space="preserve"> an interim stage and a final stage</w:t>
      </w:r>
      <w:r w:rsidR="00BE0176">
        <w:t>.</w:t>
      </w:r>
      <w:r>
        <w:rPr>
          <w:rStyle w:val="FootnoteReference"/>
          <w:szCs w:val="22"/>
        </w:rPr>
        <w:footnoteReference w:id="13"/>
      </w:r>
      <w:r w:rsidR="00BE0176">
        <w:t xml:space="preserve">  </w:t>
      </w:r>
      <w:r w:rsidR="00864B4F">
        <w:t xml:space="preserve">Despite the significant progress made completing the transition and the availability of reimbursement funds and close-out procedures, </w:t>
      </w:r>
      <w:r w:rsidR="00691B94">
        <w:t xml:space="preserve">as of </w:t>
      </w:r>
      <w:r w:rsidRPr="0063529B" w:rsidR="00691B94">
        <w:t xml:space="preserve">April </w:t>
      </w:r>
      <w:r w:rsidRPr="00EF23A8" w:rsidR="00EF3E12">
        <w:t>6</w:t>
      </w:r>
      <w:r w:rsidRPr="00EF23A8" w:rsidR="00691B94">
        <w:t>, 2021,</w:t>
      </w:r>
      <w:r w:rsidRPr="0063529B" w:rsidR="00683E32">
        <w:rPr>
          <w:szCs w:val="22"/>
        </w:rPr>
        <w:t xml:space="preserve"> </w:t>
      </w:r>
      <w:r w:rsidRPr="0063529B" w:rsidR="00683E32">
        <w:t xml:space="preserve">only </w:t>
      </w:r>
      <w:r w:rsidRPr="0063529B" w:rsidR="006D2BDB">
        <w:t xml:space="preserve">114 </w:t>
      </w:r>
      <w:r w:rsidRPr="0063529B" w:rsidR="00683E32">
        <w:t xml:space="preserve">entities have </w:t>
      </w:r>
      <w:r w:rsidRPr="0063529B" w:rsidR="00A8047D">
        <w:t>initiated</w:t>
      </w:r>
      <w:r w:rsidRPr="0063529B" w:rsidR="00683E32">
        <w:t xml:space="preserve"> interim close-out procedures</w:t>
      </w:r>
      <w:r w:rsidRPr="0063529B" w:rsidR="00691B94">
        <w:t xml:space="preserve">, </w:t>
      </w:r>
      <w:bookmarkStart w:id="1" w:name="_Hlk66968619"/>
      <w:r w:rsidRPr="0063529B" w:rsidR="00691B94">
        <w:t xml:space="preserve">including </w:t>
      </w:r>
      <w:r w:rsidRPr="0063529B" w:rsidR="006D2BDB">
        <w:t xml:space="preserve">28 </w:t>
      </w:r>
      <w:r w:rsidRPr="0063529B" w:rsidR="00691B94">
        <w:t xml:space="preserve">repacked stations and </w:t>
      </w:r>
      <w:r w:rsidRPr="0063529B" w:rsidR="006D2BDB">
        <w:t xml:space="preserve">86 </w:t>
      </w:r>
      <w:r w:rsidRPr="0063529B" w:rsidR="00691B94">
        <w:t>LPTV/translator stations</w:t>
      </w:r>
      <w:bookmarkEnd w:id="1"/>
      <w:r w:rsidRPr="0063529B" w:rsidR="00683E32">
        <w:t xml:space="preserve">.  </w:t>
      </w:r>
      <w:r w:rsidRPr="0063529B" w:rsidR="00A8047D">
        <w:t xml:space="preserve">In addition, </w:t>
      </w:r>
      <w:r w:rsidRPr="0063529B" w:rsidR="0013412A">
        <w:t xml:space="preserve">341 </w:t>
      </w:r>
      <w:r w:rsidRPr="0063529B" w:rsidR="00A8047D">
        <w:t xml:space="preserve">entities have not submitted any invoices at all, including </w:t>
      </w:r>
      <w:r w:rsidRPr="0063529B" w:rsidR="0013412A">
        <w:t xml:space="preserve">8 </w:t>
      </w:r>
      <w:r w:rsidRPr="0063529B" w:rsidR="00A8047D">
        <w:t xml:space="preserve">repacked stations, </w:t>
      </w:r>
      <w:r w:rsidRPr="0063529B" w:rsidR="0013412A">
        <w:t xml:space="preserve">168 </w:t>
      </w:r>
      <w:r w:rsidRPr="0063529B" w:rsidR="00A8047D">
        <w:t>LPTV/translator stations, 10</w:t>
      </w:r>
      <w:r w:rsidRPr="00EF23A8" w:rsidR="00A8047D">
        <w:t xml:space="preserve"> FM stations, and </w:t>
      </w:r>
      <w:r w:rsidRPr="0063529B" w:rsidR="0013412A">
        <w:t>155</w:t>
      </w:r>
      <w:r w:rsidR="0013412A">
        <w:t xml:space="preserve"> </w:t>
      </w:r>
      <w:r w:rsidR="00A8047D">
        <w:t>MVPDs.</w:t>
      </w:r>
      <w:r>
        <w:rPr>
          <w:rStyle w:val="FootnoteReference"/>
        </w:rPr>
        <w:footnoteReference w:id="14"/>
      </w:r>
    </w:p>
    <w:p w:rsidR="00864B4F" w:rsidRPr="00912378" w:rsidP="00864B4F" w14:paraId="78342A61" w14:textId="5359F82B">
      <w:pPr>
        <w:numPr>
          <w:ilvl w:val="0"/>
          <w:numId w:val="7"/>
        </w:numPr>
        <w:spacing w:before="120" w:after="120"/>
        <w:ind w:left="0" w:firstLine="810"/>
        <w:rPr>
          <w:bCs/>
          <w:u w:val="single"/>
        </w:rPr>
      </w:pPr>
      <w:r>
        <w:t>A</w:t>
      </w:r>
      <w:r>
        <w:t xml:space="preserve">ll entities in the program </w:t>
      </w:r>
      <w:r>
        <w:t xml:space="preserve">should </w:t>
      </w:r>
      <w:r>
        <w:t>initiate interim close</w:t>
      </w:r>
      <w:r w:rsidR="004B22C7">
        <w:t>-</w:t>
      </w:r>
      <w:r>
        <w:t xml:space="preserve">out procedures as soon as they </w:t>
      </w:r>
      <w:r w:rsidR="00C20B31">
        <w:t xml:space="preserve">complete their construction projects and </w:t>
      </w:r>
      <w:r>
        <w:t xml:space="preserve">have incurred and submitted invoices for all </w:t>
      </w:r>
      <w:r w:rsidR="00C20B31">
        <w:t xml:space="preserve">of their </w:t>
      </w:r>
      <w:r>
        <w:t xml:space="preserve">reimbursable costs.  Because </w:t>
      </w:r>
      <w:r w:rsidRPr="0063529B" w:rsidR="00A8241D">
        <w:t>95</w:t>
      </w:r>
      <w:r w:rsidRPr="0063529B" w:rsidR="00EF23A8">
        <w:t>3</w:t>
      </w:r>
      <w:r w:rsidRPr="00EF23A8" w:rsidR="00C20B31">
        <w:t xml:space="preserve"> </w:t>
      </w:r>
      <w:r w:rsidRPr="00EF23A8">
        <w:t xml:space="preserve">repacked stations </w:t>
      </w:r>
      <w:r w:rsidRPr="0063529B" w:rsidR="00A8241D">
        <w:t>are operating on</w:t>
      </w:r>
      <w:r w:rsidRPr="0063529B" w:rsidR="00C20B31">
        <w:t xml:space="preserve"> their final facilities</w:t>
      </w:r>
      <w:r w:rsidRPr="0063529B">
        <w:t xml:space="preserve"> but only </w:t>
      </w:r>
      <w:r w:rsidRPr="0063529B" w:rsidR="0013412A">
        <w:t xml:space="preserve">28 </w:t>
      </w:r>
      <w:r w:rsidRPr="0063529B" w:rsidR="00B22DC3">
        <w:t xml:space="preserve">repacked stations and </w:t>
      </w:r>
      <w:r w:rsidRPr="0063529B" w:rsidR="00511025">
        <w:t>8</w:t>
      </w:r>
      <w:r w:rsidR="00511025">
        <w:t>6</w:t>
      </w:r>
      <w:r w:rsidRPr="00B22DC3" w:rsidR="00511025">
        <w:t xml:space="preserve"> </w:t>
      </w:r>
      <w:r w:rsidRPr="00B22DC3" w:rsidR="00B22DC3">
        <w:t>LPTV/translator stations</w:t>
      </w:r>
      <w:r>
        <w:t xml:space="preserve"> have </w:t>
      </w:r>
      <w:r w:rsidR="00A8047D">
        <w:t>initiated</w:t>
      </w:r>
      <w:r>
        <w:t xml:space="preserve"> interim close-out procedures, we </w:t>
      </w:r>
      <w:r w:rsidR="001164B1">
        <w:t xml:space="preserve">are concerned </w:t>
      </w:r>
      <w:r>
        <w:t xml:space="preserve">that many </w:t>
      </w:r>
      <w:r w:rsidR="00A8241D">
        <w:t>entities</w:t>
      </w:r>
      <w:r w:rsidR="00C20B31">
        <w:t xml:space="preserve"> </w:t>
      </w:r>
      <w:r w:rsidR="001164B1">
        <w:t xml:space="preserve">may be </w:t>
      </w:r>
      <w:r>
        <w:t xml:space="preserve">unnecessarily delaying making final submissions to the program and initiating interim close-out procedures.  We note that payments up to the total amount of each entity’s allocation are available upon processing of documents reflecting reasonably incurred costs.  </w:t>
      </w:r>
      <w:r w:rsidR="007A152D">
        <w:t>However</w:t>
      </w:r>
      <w:r>
        <w:t xml:space="preserve">, we will not be able to make a final allocation up to the full amount of </w:t>
      </w:r>
      <w:r w:rsidR="007A152D">
        <w:t xml:space="preserve">costs incurred </w:t>
      </w:r>
      <w:r>
        <w:t>until all or virtually all invoices for incurred costs are submitted</w:t>
      </w:r>
      <w:r w:rsidR="004B22C7">
        <w:t>,</w:t>
      </w:r>
      <w:r>
        <w:t xml:space="preserve"> or at </w:t>
      </w:r>
      <w:r w:rsidRPr="00D2774D">
        <w:t xml:space="preserve">such time as </w:t>
      </w:r>
      <w:r>
        <w:t>we</w:t>
      </w:r>
      <w:r w:rsidRPr="00D2774D">
        <w:t xml:space="preserve"> can reasonably extrapolate that the total available funding will be sufficient to meet the total cost of the program</w:t>
      </w:r>
      <w:r>
        <w:t>.</w:t>
      </w:r>
    </w:p>
    <w:p w:rsidR="0064192F" w:rsidRPr="00912378" w:rsidP="00A726A1" w14:paraId="729C4174" w14:textId="0F2441DC">
      <w:pPr>
        <w:numPr>
          <w:ilvl w:val="0"/>
          <w:numId w:val="7"/>
        </w:numPr>
        <w:spacing w:before="120" w:after="120"/>
        <w:ind w:left="0" w:firstLine="810"/>
      </w:pPr>
      <w:r w:rsidRPr="00BE0176">
        <w:rPr>
          <w:szCs w:val="22"/>
        </w:rPr>
        <w:t xml:space="preserve">As we previously stated, </w:t>
      </w:r>
      <w:r w:rsidRPr="00BE0176">
        <w:rPr>
          <w:bCs/>
        </w:rPr>
        <w:t xml:space="preserve">we do not anticipate a need to grant extensions of the assigned </w:t>
      </w:r>
      <w:r w:rsidR="000476CF">
        <w:rPr>
          <w:bCs/>
        </w:rPr>
        <w:t xml:space="preserve">invoice </w:t>
      </w:r>
      <w:r w:rsidRPr="00BE0176">
        <w:rPr>
          <w:bCs/>
        </w:rPr>
        <w:t>submission deadlines.</w:t>
      </w:r>
      <w:r>
        <w:rPr>
          <w:rStyle w:val="FootnoteReference"/>
          <w:bCs/>
        </w:rPr>
        <w:footnoteReference w:id="15"/>
      </w:r>
      <w:r w:rsidRPr="00BE0176">
        <w:rPr>
          <w:bCs/>
        </w:rPr>
        <w:t xml:space="preserve">  </w:t>
      </w:r>
      <w:r w:rsidR="005B41A8">
        <w:t>When we established</w:t>
      </w:r>
      <w:r w:rsidRPr="00BE0176" w:rsidR="005B41A8">
        <w:rPr>
          <w:szCs w:val="22"/>
        </w:rPr>
        <w:t xml:space="preserve"> </w:t>
      </w:r>
      <w:r w:rsidR="000F4250">
        <w:rPr>
          <w:szCs w:val="22"/>
        </w:rPr>
        <w:t xml:space="preserve">final </w:t>
      </w:r>
      <w:r w:rsidRPr="00BE0176" w:rsidR="005B41A8">
        <w:rPr>
          <w:szCs w:val="22"/>
        </w:rPr>
        <w:t>invoice filing deadlines</w:t>
      </w:r>
      <w:r w:rsidR="004B22C7">
        <w:rPr>
          <w:szCs w:val="22"/>
        </w:rPr>
        <w:t>,</w:t>
      </w:r>
      <w:r w:rsidRPr="00BE0176" w:rsidR="005B41A8">
        <w:rPr>
          <w:szCs w:val="22"/>
        </w:rPr>
        <w:t xml:space="preserve"> we </w:t>
      </w:r>
      <w:r w:rsidRPr="00BC3677" w:rsidR="005B41A8">
        <w:t>balance</w:t>
      </w:r>
      <w:r w:rsidR="005B41A8">
        <w:t>d</w:t>
      </w:r>
      <w:r w:rsidRPr="00BC3677" w:rsidR="005B41A8">
        <w:t xml:space="preserve"> the burden on </w:t>
      </w:r>
      <w:r w:rsidR="005B41A8">
        <w:t>entities</w:t>
      </w:r>
      <w:r w:rsidRPr="00BC3677" w:rsidR="005B41A8">
        <w:t xml:space="preserve"> that have </w:t>
      </w:r>
      <w:r w:rsidR="005B41A8">
        <w:t>ongoing</w:t>
      </w:r>
      <w:r w:rsidRPr="00BC3677" w:rsidR="005B41A8">
        <w:t xml:space="preserve"> </w:t>
      </w:r>
      <w:r w:rsidR="005B41A8">
        <w:t xml:space="preserve">construction </w:t>
      </w:r>
      <w:r w:rsidRPr="00BC3677" w:rsidR="005B41A8">
        <w:t xml:space="preserve">work </w:t>
      </w:r>
      <w:r w:rsidR="005B41A8">
        <w:t>against</w:t>
      </w:r>
      <w:r w:rsidRPr="00BC3677" w:rsidR="005B41A8">
        <w:t xml:space="preserve"> the need </w:t>
      </w:r>
      <w:r w:rsidR="005B41A8">
        <w:t xml:space="preserve">for </w:t>
      </w:r>
      <w:r w:rsidRPr="00BC3677" w:rsidR="005B41A8">
        <w:t xml:space="preserve">Commission staff </w:t>
      </w:r>
      <w:r w:rsidR="005B41A8">
        <w:t xml:space="preserve">(with the support of the Fund Administrator) to have sufficient time </w:t>
      </w:r>
      <w:r w:rsidRPr="00BC3677" w:rsidR="005B41A8">
        <w:t xml:space="preserve">to fully process all reimbursement requests and complete </w:t>
      </w:r>
      <w:r w:rsidR="005B41A8">
        <w:t>close</w:t>
      </w:r>
      <w:r w:rsidR="009C32F0">
        <w:t>-</w:t>
      </w:r>
      <w:r w:rsidR="005B41A8">
        <w:t>out procedures prior to the July 3, 2023</w:t>
      </w:r>
      <w:r w:rsidRPr="009E3B8B" w:rsidR="005B41A8">
        <w:t>.</w:t>
      </w:r>
      <w:r>
        <w:rPr>
          <w:rStyle w:val="FootnoteReference"/>
        </w:rPr>
        <w:footnoteReference w:id="16"/>
      </w:r>
      <w:r w:rsidRPr="00BE0176" w:rsidR="005B41A8">
        <w:rPr>
          <w:szCs w:val="22"/>
        </w:rPr>
        <w:t xml:space="preserve">  </w:t>
      </w:r>
    </w:p>
    <w:p w:rsidR="00A726A1" w:rsidP="00A726A1" w14:paraId="192BDC76" w14:textId="68B37A7E">
      <w:pPr>
        <w:numPr>
          <w:ilvl w:val="0"/>
          <w:numId w:val="7"/>
        </w:numPr>
        <w:spacing w:before="120" w:after="120"/>
        <w:ind w:left="0" w:firstLine="810"/>
      </w:pPr>
      <w:r>
        <w:rPr>
          <w:i/>
          <w:iCs/>
        </w:rPr>
        <w:t xml:space="preserve">Deadline for Final Submissions from Phases 1-5 Repacked Stations: </w:t>
      </w:r>
      <w:r w:rsidRPr="00B47A07">
        <w:rPr>
          <w:i/>
          <w:iCs/>
        </w:rPr>
        <w:t>October 8, 2021</w:t>
      </w:r>
      <w:r>
        <w:rPr>
          <w:i/>
          <w:iCs/>
        </w:rPr>
        <w:t>.</w:t>
      </w:r>
      <w:r>
        <w:t xml:space="preserve">  </w:t>
      </w:r>
      <w:r w:rsidRPr="000F0A00">
        <w:t xml:space="preserve">All repacked stations assigned to </w:t>
      </w:r>
      <w:r w:rsidR="001B343E">
        <w:t>p</w:t>
      </w:r>
      <w:r w:rsidRPr="000F0A00">
        <w:t>hase</w:t>
      </w:r>
      <w:r>
        <w:t>s</w:t>
      </w:r>
      <w:r w:rsidRPr="000F0A00">
        <w:t xml:space="preserve"> 1 through 5,</w:t>
      </w:r>
      <w:r>
        <w:rPr>
          <w:rStyle w:val="FootnoteReference"/>
        </w:rPr>
        <w:footnoteReference w:id="17"/>
      </w:r>
      <w:r w:rsidRPr="000F0A00">
        <w:t xml:space="preserve"> and repacked stations that were granted permission to transition prior to the </w:t>
      </w:r>
      <w:r w:rsidR="001B343E">
        <w:t>p</w:t>
      </w:r>
      <w:r w:rsidRPr="000F0A00">
        <w:t>hase 1 testing period, must submit all remaining invoices and supporting documentation using the Reimbursement Form</w:t>
      </w:r>
      <w:r>
        <w:t>,</w:t>
      </w:r>
      <w:r w:rsidRPr="000F0A00">
        <w:t xml:space="preserve"> and initiate interim close</w:t>
      </w:r>
      <w:r>
        <w:t>-</w:t>
      </w:r>
      <w:r w:rsidRPr="000F0A00">
        <w:t>out procedures</w:t>
      </w:r>
      <w:r>
        <w:t>,</w:t>
      </w:r>
      <w:r w:rsidRPr="000F0A00">
        <w:t xml:space="preserve"> no later than October 8, 2021</w:t>
      </w:r>
      <w:r>
        <w:t>.  All 510 repacked stations in this group vacate</w:t>
      </w:r>
      <w:r w:rsidR="004B22C7">
        <w:t>d</w:t>
      </w:r>
      <w:r>
        <w:t xml:space="preserve"> their pre-auction channel</w:t>
      </w:r>
      <w:r w:rsidR="004B22C7">
        <w:t>s</w:t>
      </w:r>
      <w:r>
        <w:t xml:space="preserve"> prior to September 11, 2019.  As of </w:t>
      </w:r>
      <w:r w:rsidRPr="0063529B" w:rsidR="00FA3C7D">
        <w:t xml:space="preserve">April </w:t>
      </w:r>
      <w:r w:rsidRPr="00EF23A8" w:rsidR="006F57D7">
        <w:t>6</w:t>
      </w:r>
      <w:r w:rsidRPr="00EF23A8">
        <w:t>, 202</w:t>
      </w:r>
      <w:r w:rsidRPr="0063529B" w:rsidR="00FA3C7D">
        <w:t>1</w:t>
      </w:r>
      <w:r w:rsidRPr="0063529B">
        <w:t xml:space="preserve">, all but </w:t>
      </w:r>
      <w:r w:rsidRPr="0063529B" w:rsidR="00EA2C2D">
        <w:t>15</w:t>
      </w:r>
      <w:r>
        <w:t xml:space="preserve"> of such stations were operating on their final facilities.  </w:t>
      </w:r>
    </w:p>
    <w:p w:rsidR="00A726A1" w:rsidP="00A726A1" w14:paraId="42B56486" w14:textId="3B7E613C">
      <w:pPr>
        <w:numPr>
          <w:ilvl w:val="0"/>
          <w:numId w:val="7"/>
        </w:numPr>
        <w:spacing w:before="120" w:after="120"/>
        <w:ind w:left="0" w:firstLine="810"/>
      </w:pPr>
      <w:r>
        <w:rPr>
          <w:i/>
          <w:iCs/>
        </w:rPr>
        <w:t>Deadline for Final Submissions from Phases 6-10 Repacked Stations: March 22</w:t>
      </w:r>
      <w:r w:rsidRPr="00B47A07">
        <w:rPr>
          <w:i/>
          <w:iCs/>
        </w:rPr>
        <w:t>, 202</w:t>
      </w:r>
      <w:r>
        <w:rPr>
          <w:i/>
          <w:iCs/>
        </w:rPr>
        <w:t>2.</w:t>
      </w:r>
      <w:r>
        <w:t xml:space="preserve">  </w:t>
      </w:r>
      <w:r w:rsidRPr="000F0A00">
        <w:t>All repacked stations assigned</w:t>
      </w:r>
      <w:r>
        <w:rPr>
          <w:rStyle w:val="FootnoteReference"/>
        </w:rPr>
        <w:footnoteReference w:id="18"/>
      </w:r>
      <w:r w:rsidRPr="000F0A00">
        <w:t xml:space="preserve"> to </w:t>
      </w:r>
      <w:r w:rsidR="001B343E">
        <w:t>p</w:t>
      </w:r>
      <w:r w:rsidRPr="000F0A00">
        <w:t>hase</w:t>
      </w:r>
      <w:r>
        <w:t>s</w:t>
      </w:r>
      <w:r w:rsidRPr="000F0A00">
        <w:t xml:space="preserve"> 6 through 10, and repacked stations that were granted permission to transition shortly after the end of </w:t>
      </w:r>
      <w:r w:rsidR="001B343E">
        <w:t>p</w:t>
      </w:r>
      <w:r w:rsidRPr="000F0A00">
        <w:t>hase 10 due to circumstances beyond their control, must submit all remaining invoices and supporting documentation using the Reimbursement Form</w:t>
      </w:r>
      <w:r>
        <w:t>,</w:t>
      </w:r>
      <w:r w:rsidRPr="000F0A00">
        <w:t xml:space="preserve"> and initiate interim close</w:t>
      </w:r>
      <w:r>
        <w:t>-</w:t>
      </w:r>
      <w:r w:rsidRPr="000F0A00">
        <w:t>out procedures</w:t>
      </w:r>
      <w:r>
        <w:t>,</w:t>
      </w:r>
      <w:r w:rsidRPr="000F0A00">
        <w:t xml:space="preserve"> no later than March 22, 2022</w:t>
      </w:r>
      <w:r>
        <w:t xml:space="preserve">.  </w:t>
      </w:r>
      <w:r w:rsidR="002F1E68">
        <w:t>All 444 repacked stations in this group ha</w:t>
      </w:r>
      <w:r w:rsidR="00E95E6B">
        <w:t>d</w:t>
      </w:r>
      <w:r w:rsidR="002F1E68">
        <w:t xml:space="preserve"> transition</w:t>
      </w:r>
      <w:r w:rsidR="004B22C7">
        <w:t>ed</w:t>
      </w:r>
      <w:r w:rsidR="00BB0184">
        <w:t xml:space="preserve"> </w:t>
      </w:r>
      <w:r w:rsidR="00010B3D">
        <w:t xml:space="preserve">by </w:t>
      </w:r>
      <w:r w:rsidR="00BB0184">
        <w:t>the</w:t>
      </w:r>
      <w:r w:rsidR="002F1E68">
        <w:t xml:space="preserve"> July 13, 2020,</w:t>
      </w:r>
      <w:r w:rsidR="00BB0184">
        <w:t xml:space="preserve"> deadline,</w:t>
      </w:r>
      <w:r w:rsidR="002F1E68">
        <w:t xml:space="preserve"> with the exception of a handful of b</w:t>
      </w:r>
      <w:r w:rsidRPr="002F1E68" w:rsidR="002F1E68">
        <w:t>rief extensions to stations that had experienced unforeseeable circumstances</w:t>
      </w:r>
      <w:r w:rsidR="002F1E68">
        <w:t>, a</w:t>
      </w:r>
      <w:r w:rsidRPr="002F1E68" w:rsidR="002F1E68">
        <w:t xml:space="preserve">ll </w:t>
      </w:r>
      <w:r w:rsidR="007E668A">
        <w:t>o</w:t>
      </w:r>
      <w:r w:rsidR="002F1E68">
        <w:t xml:space="preserve">f which </w:t>
      </w:r>
      <w:r w:rsidR="007E668A">
        <w:t>met</w:t>
      </w:r>
      <w:r w:rsidR="002F1E68">
        <w:t xml:space="preserve"> extension dates </w:t>
      </w:r>
      <w:r w:rsidRPr="002F1E68" w:rsidR="002F1E68">
        <w:t xml:space="preserve">by </w:t>
      </w:r>
      <w:r w:rsidR="0094592F">
        <w:t xml:space="preserve">the end of </w:t>
      </w:r>
      <w:r w:rsidRPr="002F1E68" w:rsidR="002F1E68">
        <w:t>September 2020</w:t>
      </w:r>
      <w:r>
        <w:t xml:space="preserve">.  As of </w:t>
      </w:r>
      <w:r w:rsidRPr="0063529B" w:rsidR="00FA3C7D">
        <w:t xml:space="preserve">April </w:t>
      </w:r>
      <w:r w:rsidRPr="00EF23A8" w:rsidR="006F57D7">
        <w:t>6</w:t>
      </w:r>
      <w:r w:rsidRPr="0063529B">
        <w:t>, 202</w:t>
      </w:r>
      <w:r w:rsidRPr="0063529B" w:rsidR="00FA3C7D">
        <w:t>1</w:t>
      </w:r>
      <w:r w:rsidRPr="0063529B">
        <w:t xml:space="preserve">, all but </w:t>
      </w:r>
      <w:r w:rsidRPr="0063529B" w:rsidR="00EF23A8">
        <w:t>19</w:t>
      </w:r>
      <w:r>
        <w:t xml:space="preserve"> such stations were operating on their final facilities.</w:t>
      </w:r>
    </w:p>
    <w:p w:rsidR="00A726A1" w:rsidRPr="00AF3E7D" w:rsidP="00A726A1" w14:paraId="43DE315C" w14:textId="7C3BB5A0">
      <w:pPr>
        <w:numPr>
          <w:ilvl w:val="0"/>
          <w:numId w:val="7"/>
        </w:numPr>
        <w:spacing w:before="120" w:after="120"/>
        <w:ind w:left="0" w:firstLine="810"/>
        <w:rPr>
          <w:bCs/>
          <w:u w:val="single"/>
        </w:rPr>
      </w:pPr>
      <w:r>
        <w:rPr>
          <w:i/>
          <w:iCs/>
        </w:rPr>
        <w:t>Deadline for Final Submissions from All Other Entities: September 5</w:t>
      </w:r>
      <w:r w:rsidRPr="00B47A07">
        <w:rPr>
          <w:i/>
          <w:iCs/>
        </w:rPr>
        <w:t>, 202</w:t>
      </w:r>
      <w:r>
        <w:rPr>
          <w:i/>
          <w:iCs/>
        </w:rPr>
        <w:t>2.</w:t>
      </w:r>
      <w:r>
        <w:t xml:space="preserve">  </w:t>
      </w:r>
      <w:r w:rsidRPr="000F0A00">
        <w:rPr>
          <w:bCs/>
        </w:rPr>
        <w:t xml:space="preserve">All MVPDs, FM stations, and LPTV/translator stations </w:t>
      </w:r>
      <w:r w:rsidR="00010B3D">
        <w:rPr>
          <w:bCs/>
        </w:rPr>
        <w:t>who intend to seek</w:t>
      </w:r>
      <w:r w:rsidRPr="000F0A00">
        <w:rPr>
          <w:bCs/>
        </w:rPr>
        <w:t xml:space="preserve"> reimbursement</w:t>
      </w:r>
      <w:r w:rsidR="00010B3D">
        <w:rPr>
          <w:bCs/>
        </w:rPr>
        <w:t xml:space="preserve"> </w:t>
      </w:r>
      <w:r w:rsidRPr="000F0A00">
        <w:rPr>
          <w:bCs/>
        </w:rPr>
        <w:t>must submit all remaining invoices and supporting documentation using the Reimbursement Form</w:t>
      </w:r>
      <w:r>
        <w:rPr>
          <w:bCs/>
        </w:rPr>
        <w:t>,</w:t>
      </w:r>
      <w:r w:rsidRPr="000F0A00">
        <w:rPr>
          <w:bCs/>
        </w:rPr>
        <w:t xml:space="preserve"> and initiate interim close</w:t>
      </w:r>
      <w:r>
        <w:rPr>
          <w:bCs/>
        </w:rPr>
        <w:t>-</w:t>
      </w:r>
      <w:r w:rsidRPr="000F0A00">
        <w:rPr>
          <w:bCs/>
        </w:rPr>
        <w:t>out procedures</w:t>
      </w:r>
      <w:r>
        <w:rPr>
          <w:bCs/>
        </w:rPr>
        <w:t>,</w:t>
      </w:r>
      <w:r w:rsidRPr="000F0A00">
        <w:rPr>
          <w:bCs/>
        </w:rPr>
        <w:t xml:space="preserve"> no later than September 5, 2022.</w:t>
      </w:r>
      <w:r>
        <w:t xml:space="preserve">  </w:t>
      </w:r>
    </w:p>
    <w:p w:rsidR="000476CF" w:rsidP="009E3B8B" w14:paraId="6D1FECFA" w14:textId="28D5854E">
      <w:pPr>
        <w:numPr>
          <w:ilvl w:val="0"/>
          <w:numId w:val="7"/>
        </w:numPr>
        <w:spacing w:before="120" w:after="120"/>
        <w:ind w:left="0" w:firstLine="810"/>
      </w:pPr>
      <w:r>
        <w:t xml:space="preserve">Entities that have </w:t>
      </w:r>
      <w:r w:rsidR="00120245">
        <w:t>not submitted</w:t>
      </w:r>
      <w:r>
        <w:t xml:space="preserve"> any invoices</w:t>
      </w:r>
      <w:r w:rsidRPr="00EA692F">
        <w:t xml:space="preserve"> and do not plan to submit any invoices should contact the Fund Administrator </w:t>
      </w:r>
      <w:r w:rsidR="00120245">
        <w:t xml:space="preserve">as soon as possible to </w:t>
      </w:r>
      <w:r w:rsidRPr="00EA692F">
        <w:t>close</w:t>
      </w:r>
      <w:r w:rsidR="00EC6BDD">
        <w:t xml:space="preserve"> </w:t>
      </w:r>
      <w:r w:rsidRPr="00EA692F">
        <w:t>out</w:t>
      </w:r>
      <w:r w:rsidR="00120245">
        <w:t xml:space="preserve"> their accounts. </w:t>
      </w:r>
      <w:r w:rsidR="0008596F">
        <w:t xml:space="preserve"> </w:t>
      </w:r>
      <w:r>
        <w:t>Entities that have failed to file any invoices or initiated interim close</w:t>
      </w:r>
      <w:r w:rsidR="00306F8C">
        <w:t>-</w:t>
      </w:r>
      <w:r>
        <w:t>out procedures by the invoice filing d</w:t>
      </w:r>
      <w:r w:rsidR="00306F8C">
        <w:t>eadline</w:t>
      </w:r>
      <w:r>
        <w:t xml:space="preserve"> assigned to that entity will be closed out of the reimbursement program on that filing d</w:t>
      </w:r>
      <w:r w:rsidR="00306F8C">
        <w:t>eadline</w:t>
      </w:r>
      <w:r>
        <w:t xml:space="preserve"> date</w:t>
      </w:r>
      <w:r w:rsidR="00010B3D">
        <w:t xml:space="preserve"> and</w:t>
      </w:r>
      <w:r>
        <w:t xml:space="preserve"> any allocations made to that entity’s account will be returned to the Fund and available for allocation to other entities in the reimbursement program.</w:t>
      </w:r>
    </w:p>
    <w:p w:rsidR="009E3B8B" w:rsidP="009E3B8B" w14:paraId="3F1F6C6B" w14:textId="4BD2B2BD">
      <w:pPr>
        <w:numPr>
          <w:ilvl w:val="0"/>
          <w:numId w:val="7"/>
        </w:numPr>
        <w:spacing w:before="120" w:after="120"/>
        <w:ind w:left="0" w:firstLine="810"/>
      </w:pPr>
      <w:r>
        <w:t>We remind entities that we have established procedures to ensure compliance with Fund guidelines.  For example, e</w:t>
      </w:r>
      <w:r w:rsidRPr="00195146">
        <w:t xml:space="preserve">ntities may be selected for audits, data validations, and site visits </w:t>
      </w:r>
      <w:r>
        <w:t xml:space="preserve">at any time during the repack and reimbursement process, i.e., </w:t>
      </w:r>
      <w:r w:rsidRPr="00195146">
        <w:t xml:space="preserve">before or after </w:t>
      </w:r>
      <w:r>
        <w:t>the entity</w:t>
      </w:r>
      <w:r w:rsidRPr="00195146">
        <w:t xml:space="preserve"> has complete</w:t>
      </w:r>
      <w:r>
        <w:t>d</w:t>
      </w:r>
      <w:r w:rsidRPr="00195146">
        <w:t xml:space="preserve"> its construction project</w:t>
      </w:r>
      <w:r>
        <w:t>;</w:t>
      </w:r>
      <w:r w:rsidRPr="00195146">
        <w:t xml:space="preserve"> during the </w:t>
      </w:r>
      <w:r>
        <w:t>c</w:t>
      </w:r>
      <w:r w:rsidRPr="00195146">
        <w:t>lose-out period</w:t>
      </w:r>
      <w:r>
        <w:t xml:space="preserve">; </w:t>
      </w:r>
      <w:r w:rsidRPr="00195146">
        <w:t>or</w:t>
      </w:r>
      <w:r>
        <w:t xml:space="preserve"> at a time</w:t>
      </w:r>
      <w:r w:rsidRPr="00195146">
        <w:t xml:space="preserve"> thereafter</w:t>
      </w:r>
      <w:r>
        <w:t>.  We remind participants</w:t>
      </w:r>
      <w:r w:rsidRPr="00BA38A9">
        <w:t xml:space="preserve"> </w:t>
      </w:r>
      <w:r>
        <w:t>that they must retain</w:t>
      </w:r>
      <w:r w:rsidRPr="00BA38A9">
        <w:t xml:space="preserve"> document</w:t>
      </w:r>
      <w:r>
        <w:t>s</w:t>
      </w:r>
      <w:r w:rsidRPr="00BA38A9">
        <w:t xml:space="preserve"> </w:t>
      </w:r>
      <w:r w:rsidRPr="007F239A">
        <w:t xml:space="preserve">for a period ending 10 years after the date </w:t>
      </w:r>
      <w:r>
        <w:t>they</w:t>
      </w:r>
      <w:r w:rsidRPr="007F239A">
        <w:t xml:space="preserve"> receive </w:t>
      </w:r>
      <w:r>
        <w:t>their</w:t>
      </w:r>
      <w:r w:rsidRPr="007F239A">
        <w:t xml:space="preserve"> final payment</w:t>
      </w:r>
      <w:r>
        <w:t>s</w:t>
      </w:r>
      <w:r w:rsidRPr="007F239A">
        <w:t xml:space="preserve"> from the Reimbursement Fund</w:t>
      </w:r>
      <w:r w:rsidRPr="00195146">
        <w:t>.</w:t>
      </w:r>
      <w:r>
        <w:rPr>
          <w:rStyle w:val="FootnoteReference"/>
        </w:rPr>
        <w:footnoteReference w:id="19"/>
      </w:r>
    </w:p>
    <w:p w:rsidR="00A726A1" w:rsidRPr="00A726A1" w:rsidP="00A726A1" w14:paraId="6C2CFDEC" w14:textId="62200A74">
      <w:pPr>
        <w:numPr>
          <w:ilvl w:val="0"/>
          <w:numId w:val="7"/>
        </w:numPr>
        <w:spacing w:before="120" w:after="120"/>
        <w:ind w:left="0" w:firstLine="806"/>
      </w:pPr>
      <w:r w:rsidRPr="000927A5">
        <w:rPr>
          <w:snapToGrid/>
          <w:kern w:val="0"/>
          <w:szCs w:val="22"/>
        </w:rPr>
        <w:t xml:space="preserve">For </w:t>
      </w:r>
      <w:r w:rsidRPr="00396B10">
        <w:t>additional</w:t>
      </w:r>
      <w:r w:rsidRPr="000927A5">
        <w:rPr>
          <w:snapToGrid/>
          <w:kern w:val="0"/>
          <w:szCs w:val="22"/>
        </w:rPr>
        <w:t xml:space="preserve"> </w:t>
      </w:r>
      <w:r w:rsidRPr="004B17B3">
        <w:rPr>
          <w:color w:val="000000"/>
        </w:rPr>
        <w:t>information</w:t>
      </w:r>
      <w:r w:rsidRPr="000927A5">
        <w:rPr>
          <w:snapToGrid/>
          <w:kern w:val="0"/>
          <w:szCs w:val="22"/>
        </w:rPr>
        <w:t xml:space="preserve"> or questions </w:t>
      </w:r>
      <w:r>
        <w:rPr>
          <w:snapToGrid/>
          <w:kern w:val="0"/>
          <w:szCs w:val="22"/>
        </w:rPr>
        <w:t xml:space="preserve">about the reimbursement process, please call the Reimbursement Help Line at (202) 418-2009, or e-mail </w:t>
      </w:r>
      <w:hyperlink r:id="rId5" w:history="1">
        <w:r w:rsidRPr="0048453C">
          <w:rPr>
            <w:rStyle w:val="Hyperlink"/>
            <w:snapToGrid/>
            <w:kern w:val="0"/>
            <w:szCs w:val="22"/>
          </w:rPr>
          <w:t>Reimburse@fcc.gov</w:t>
        </w:r>
      </w:hyperlink>
      <w:r>
        <w:rPr>
          <w:snapToGrid/>
          <w:kern w:val="0"/>
          <w:szCs w:val="22"/>
        </w:rPr>
        <w:t xml:space="preserve">. </w:t>
      </w:r>
    </w:p>
    <w:p w:rsidR="00A726A1" w:rsidRPr="000927A5" w:rsidP="00A726A1" w14:paraId="09A2E5B2" w14:textId="77777777">
      <w:pPr>
        <w:spacing w:before="120" w:after="120"/>
      </w:pPr>
    </w:p>
    <w:p w:rsidR="00F96F63" w:rsidRPr="00A726A1" w:rsidP="00A726A1" w14:paraId="48C72294" w14:textId="663E0797">
      <w:pPr>
        <w:jc w:val="center"/>
      </w:pPr>
      <w:r w:rsidRPr="000927A5">
        <w:rPr>
          <w:b/>
          <w:szCs w:val="22"/>
        </w:rPr>
        <w:t>–FCC–</w:t>
      </w:r>
    </w:p>
    <w:p w:rsidR="00930ECF" w:rsidRPr="00930ECF" w:rsidP="00A726A1" w14:paraId="1A8657CB" w14:textId="77777777">
      <w:pPr>
        <w:rPr>
          <w:sz w:val="24"/>
        </w:rPr>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4F9C7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D787B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35E0A8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AEB92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70B5" w14:paraId="0D2465BB" w14:textId="77777777">
      <w:r>
        <w:separator/>
      </w:r>
    </w:p>
  </w:footnote>
  <w:footnote w:type="continuationSeparator" w:id="1">
    <w:p w:rsidR="00C970B5" w14:paraId="10008A21" w14:textId="77777777">
      <w:pPr>
        <w:rPr>
          <w:sz w:val="20"/>
        </w:rPr>
      </w:pPr>
      <w:r>
        <w:rPr>
          <w:sz w:val="20"/>
        </w:rPr>
        <w:t xml:space="preserve">(Continued from previous page)  </w:t>
      </w:r>
      <w:r>
        <w:rPr>
          <w:sz w:val="20"/>
        </w:rPr>
        <w:separator/>
      </w:r>
    </w:p>
  </w:footnote>
  <w:footnote w:type="continuationNotice" w:id="2">
    <w:p w:rsidR="00C970B5" w:rsidP="00910F12" w14:paraId="7CD52092" w14:textId="77777777">
      <w:pPr>
        <w:jc w:val="right"/>
        <w:rPr>
          <w:sz w:val="20"/>
        </w:rPr>
      </w:pPr>
      <w:r>
        <w:rPr>
          <w:sz w:val="20"/>
        </w:rPr>
        <w:t>(continued….)</w:t>
      </w:r>
    </w:p>
  </w:footnote>
  <w:footnote w:id="3">
    <w:p w:rsidR="006724EA" w14:paraId="5060C1E6" w14:textId="11F93C33">
      <w:pPr>
        <w:pStyle w:val="FootnoteText"/>
      </w:pPr>
      <w:r>
        <w:rPr>
          <w:rStyle w:val="FootnoteReference"/>
        </w:rPr>
        <w:footnoteRef/>
      </w:r>
      <w:r>
        <w:t xml:space="preserve"> </w:t>
      </w:r>
      <w:r w:rsidR="00316481">
        <w:rPr>
          <w:i/>
          <w:iCs/>
        </w:rPr>
        <w:t xml:space="preserve">See </w:t>
      </w:r>
      <w:r w:rsidRPr="00AA149D">
        <w:rPr>
          <w:i/>
          <w:iCs/>
        </w:rPr>
        <w:t>Invoice Filing Deadlines for TV Broadcaster Relocation Fund</w:t>
      </w:r>
      <w:r w:rsidRPr="00AA149D">
        <w:t xml:space="preserve">, Public Notice, 35 FCC </w:t>
      </w:r>
      <w:r w:rsidRPr="00AA149D">
        <w:t>Rcd</w:t>
      </w:r>
      <w:r w:rsidRPr="00AA149D">
        <w:t xml:space="preserve"> 11273 (MB/IAT</w:t>
      </w:r>
      <w:r w:rsidR="00B23FE8">
        <w:t>F</w:t>
      </w:r>
      <w:r w:rsidRPr="00AA149D">
        <w:t xml:space="preserve"> 2020) (</w:t>
      </w:r>
      <w:r w:rsidRPr="00AA149D">
        <w:rPr>
          <w:i/>
          <w:iCs/>
        </w:rPr>
        <w:t>Invoice Filing Deadline PN)</w:t>
      </w:r>
      <w:r>
        <w:t>.</w:t>
      </w:r>
    </w:p>
  </w:footnote>
  <w:footnote w:id="4">
    <w:p w:rsidR="00A8047D" w:rsidP="00A8047D" w14:paraId="06F2D120" w14:textId="77777777">
      <w:pPr>
        <w:pStyle w:val="FootnoteText"/>
      </w:pPr>
      <w:r>
        <w:rPr>
          <w:rStyle w:val="FootnoteReference"/>
        </w:rPr>
        <w:footnoteRef/>
      </w:r>
      <w:r>
        <w:t xml:space="preserve"> </w:t>
      </w:r>
      <w:r>
        <w:rPr>
          <w:i/>
          <w:iCs/>
        </w:rPr>
        <w:t xml:space="preserve">See </w:t>
      </w:r>
      <w:r w:rsidRPr="00DF7546">
        <w:rPr>
          <w:i/>
        </w:rPr>
        <w:t>Incentive Auction Task Force</w:t>
      </w:r>
      <w:r>
        <w:rPr>
          <w:i/>
        </w:rPr>
        <w:t xml:space="preserve"> and M</w:t>
      </w:r>
      <w:r w:rsidRPr="00DF7546">
        <w:rPr>
          <w:i/>
        </w:rPr>
        <w:t xml:space="preserve">edia Bureau Report on the Status of the Post-Incentive Auction Transition </w:t>
      </w:r>
      <w:r>
        <w:rPr>
          <w:i/>
        </w:rPr>
        <w:t>and</w:t>
      </w:r>
      <w:r w:rsidRPr="00DF7546">
        <w:rPr>
          <w:i/>
        </w:rPr>
        <w:t xml:space="preserve"> Reimbursement Program; Announce a Further Allocation from the Relocation Fund</w:t>
      </w:r>
      <w:r>
        <w:rPr>
          <w:i/>
        </w:rPr>
        <w:t>;</w:t>
      </w:r>
      <w:r w:rsidRPr="00DF7546">
        <w:rPr>
          <w:i/>
        </w:rPr>
        <w:t xml:space="preserve"> and </w:t>
      </w:r>
      <w:r>
        <w:rPr>
          <w:i/>
        </w:rPr>
        <w:t xml:space="preserve">Announce </w:t>
      </w:r>
      <w:r w:rsidRPr="00DF7546">
        <w:rPr>
          <w:i/>
        </w:rPr>
        <w:t>Procedures for Eligible Entities to Close Out Accounts in the Fund</w:t>
      </w:r>
      <w:r>
        <w:t xml:space="preserve">, Public Notice, 34 FCC </w:t>
      </w:r>
      <w:r>
        <w:t>Rcd</w:t>
      </w:r>
      <w:r>
        <w:t xml:space="preserve"> 304 (MB/IATF 2019) (</w:t>
      </w:r>
      <w:r>
        <w:rPr>
          <w:i/>
          <w:iCs/>
        </w:rPr>
        <w:t>Close Out Procedures PN).</w:t>
      </w:r>
    </w:p>
  </w:footnote>
  <w:footnote w:id="5">
    <w:p w:rsidR="00A8047D" w:rsidP="00A8047D" w14:paraId="2C4D6B21" w14:textId="77777777">
      <w:pPr>
        <w:pStyle w:val="FootnoteText"/>
      </w:pPr>
      <w:r>
        <w:rPr>
          <w:rStyle w:val="FootnoteReference"/>
        </w:rPr>
        <w:footnoteRef/>
      </w:r>
      <w:r>
        <w:t xml:space="preserve"> </w:t>
      </w:r>
      <w:r w:rsidRPr="00AA149D">
        <w:t>47 U.S.C. § 1452(j)(1)(A)-(B).</w:t>
      </w:r>
    </w:p>
  </w:footnote>
  <w:footnote w:id="6">
    <w:p w:rsidR="005307BE" w:rsidP="005307BE" w14:paraId="0AE2809C" w14:textId="77777777">
      <w:pPr>
        <w:pStyle w:val="FootnoteText"/>
      </w:pPr>
      <w:r>
        <w:rPr>
          <w:rStyle w:val="FootnoteReference"/>
        </w:rPr>
        <w:footnoteRef/>
      </w:r>
      <w:r>
        <w:t xml:space="preserve"> </w:t>
      </w:r>
      <w:r>
        <w:rPr>
          <w:i/>
        </w:rPr>
        <w:t>See Incentive Auction Task Force and Media Bureau Adopt Post-Incentive Auction Transition Scheduling Plan</w:t>
      </w:r>
      <w:r>
        <w:t xml:space="preserve">, Public Notice, 32 FCC </w:t>
      </w:r>
      <w:r>
        <w:t>Rcd</w:t>
      </w:r>
      <w:r>
        <w:t xml:space="preserve"> 890 (IATF/MB 2017) (</w:t>
      </w:r>
      <w:r w:rsidRPr="00437AF0">
        <w:rPr>
          <w:i/>
        </w:rPr>
        <w:t>Transition Scheduling Adoption PN</w:t>
      </w:r>
      <w:r>
        <w:t xml:space="preserve">).  </w:t>
      </w:r>
    </w:p>
  </w:footnote>
  <w:footnote w:id="7">
    <w:p w:rsidR="00683E32" w:rsidP="00683E32" w14:paraId="34B047AD" w14:textId="0E24205A">
      <w:pPr>
        <w:pStyle w:val="FootnoteText"/>
        <w:widowControl w:val="0"/>
      </w:pPr>
      <w:r>
        <w:rPr>
          <w:rStyle w:val="FootnoteReference"/>
        </w:rPr>
        <w:footnoteRef/>
      </w:r>
      <w:r>
        <w:t xml:space="preserve"> 47 U.S.C. §§ 1452(b)(4)(A)(i), (ii), </w:t>
      </w:r>
      <w:r w:rsidRPr="00AA149D" w:rsidR="00316481">
        <w:t>(j)-(n).</w:t>
      </w:r>
    </w:p>
  </w:footnote>
  <w:footnote w:id="8">
    <w:p w:rsidR="00B23FE8" w:rsidP="00B23FE8" w14:paraId="676D81A1" w14:textId="77777777">
      <w:pPr>
        <w:pStyle w:val="FootnoteText"/>
      </w:pPr>
      <w:r>
        <w:rPr>
          <w:rStyle w:val="FootnoteReference"/>
        </w:rPr>
        <w:footnoteRef/>
      </w:r>
      <w:r>
        <w:t xml:space="preserve"> </w:t>
      </w:r>
      <w:r>
        <w:rPr>
          <w:i/>
        </w:rPr>
        <w:t>Incentive Auction Closing and Channel Reassignment Public Notice; The Broadcast Television Incentive Auction Closes; Reverse Auction and Forward Auction Results Announced; Final Television Band Channel Assignments Announced; Post-Auction Deadlines Announced</w:t>
      </w:r>
      <w:r>
        <w:t xml:space="preserve">, Public Notice, 32 FCC </w:t>
      </w:r>
      <w:r>
        <w:t>Rcd</w:t>
      </w:r>
      <w:r>
        <w:t xml:space="preserve"> 2786 (IATF, MB, and WTB 2017) (</w:t>
      </w:r>
      <w:r>
        <w:rPr>
          <w:i/>
        </w:rPr>
        <w:t>Closing and Channel Reassignment PN</w:t>
      </w:r>
      <w:r>
        <w:t>).</w:t>
      </w:r>
    </w:p>
  </w:footnote>
  <w:footnote w:id="9">
    <w:p w:rsidR="001E6EFE" w14:paraId="482DD2CE" w14:textId="0E0870EB">
      <w:pPr>
        <w:pStyle w:val="FootnoteText"/>
      </w:pPr>
      <w:r>
        <w:rPr>
          <w:rStyle w:val="FootnoteReference"/>
        </w:rPr>
        <w:footnoteRef/>
      </w:r>
      <w:r>
        <w:t xml:space="preserve"> </w:t>
      </w:r>
      <w:r w:rsidRPr="00AA149D" w:rsidR="00B23FE8">
        <w:rPr>
          <w:i/>
        </w:rPr>
        <w:t>See Expanding the Economic and Innovation Opportunities of Spectrum Through Incentive Auctions</w:t>
      </w:r>
      <w:r w:rsidRPr="00AA149D" w:rsidR="00B23FE8">
        <w:t xml:space="preserve">, Report and Order, 29 FCC </w:t>
      </w:r>
      <w:r w:rsidRPr="00AA149D" w:rsidR="00B23FE8">
        <w:t>Rcd</w:t>
      </w:r>
      <w:r w:rsidRPr="00AA149D" w:rsidR="00B23FE8">
        <w:t xml:space="preserve"> 6567, </w:t>
      </w:r>
      <w:r w:rsidR="00B23FE8">
        <w:t>at 6839-40, paras. 668-71, and 6840, n.1863</w:t>
      </w:r>
      <w:r w:rsidRPr="00AA149D" w:rsidR="00B23FE8">
        <w:t xml:space="preserve"> (2014), (</w:t>
      </w:r>
      <w:r w:rsidRPr="00AA149D" w:rsidR="00B23FE8">
        <w:rPr>
          <w:i/>
        </w:rPr>
        <w:t>Incentive Auction R&amp;O</w:t>
      </w:r>
      <w:r w:rsidRPr="00AA149D" w:rsidR="00B23FE8">
        <w:t>)</w:t>
      </w:r>
      <w:r w:rsidR="00B23FE8">
        <w:t xml:space="preserve">; </w:t>
      </w:r>
      <w:r>
        <w:rPr>
          <w:i/>
        </w:rPr>
        <w:t>The Incentive Auction Task Force and Media Bureau Announce Procedures for Low Power Television, Television Translator and Replacement Translator Stations During the Post-Incentive Auction Transition</w:t>
      </w:r>
      <w:r>
        <w:t xml:space="preserve">, Public Notice, 32 FCC </w:t>
      </w:r>
      <w:r>
        <w:t>Rcd</w:t>
      </w:r>
      <w:r>
        <w:t xml:space="preserve"> 3860 (IATF/MB 2017)</w:t>
      </w:r>
      <w:r w:rsidR="00B23FE8">
        <w:t>;</w:t>
      </w:r>
      <w:r>
        <w:t xml:space="preserve"> </w:t>
      </w:r>
      <w:r>
        <w:rPr>
          <w:i/>
        </w:rPr>
        <w:t>Incentive Auction Task Force and Wireless Telecommunications Bureau Grant 600 MHz Licenses</w:t>
      </w:r>
      <w:r>
        <w:t xml:space="preserve">, Public Notice, 32 FCC </w:t>
      </w:r>
      <w:r>
        <w:t>Rcd</w:t>
      </w:r>
      <w:r>
        <w:t xml:space="preserve"> 4832 (2017), 32 FCC </w:t>
      </w:r>
      <w:r>
        <w:t>Rcd</w:t>
      </w:r>
      <w:r>
        <w:t xml:space="preserve"> 5684 (2017), 32 FCC </w:t>
      </w:r>
      <w:r>
        <w:t>Rcd</w:t>
      </w:r>
      <w:r>
        <w:t xml:space="preserve"> 9280 (2017), 33 FCC </w:t>
      </w:r>
      <w:r>
        <w:t>Rcd</w:t>
      </w:r>
      <w:r>
        <w:t xml:space="preserve"> 98 (2018), 33 FCC </w:t>
      </w:r>
      <w:r>
        <w:t>Rcd</w:t>
      </w:r>
      <w:r>
        <w:t xml:space="preserve"> 869 (2018), </w:t>
      </w:r>
      <w:r>
        <w:rPr>
          <w:szCs w:val="22"/>
        </w:rPr>
        <w:t xml:space="preserve">33 FCC </w:t>
      </w:r>
      <w:r>
        <w:rPr>
          <w:szCs w:val="22"/>
        </w:rPr>
        <w:t>Rcd</w:t>
      </w:r>
      <w:r>
        <w:rPr>
          <w:szCs w:val="22"/>
        </w:rPr>
        <w:t xml:space="preserve"> 6339 (2018), 33 FCC </w:t>
      </w:r>
      <w:r>
        <w:rPr>
          <w:szCs w:val="22"/>
        </w:rPr>
        <w:t>Rcd</w:t>
      </w:r>
      <w:r>
        <w:rPr>
          <w:szCs w:val="22"/>
        </w:rPr>
        <w:t xml:space="preserve"> 7358 (2018), 33 FCC </w:t>
      </w:r>
      <w:r>
        <w:rPr>
          <w:szCs w:val="22"/>
        </w:rPr>
        <w:t>Rcd</w:t>
      </w:r>
      <w:r>
        <w:rPr>
          <w:szCs w:val="22"/>
        </w:rPr>
        <w:t xml:space="preserve"> 11699 (2018), 33 FCC </w:t>
      </w:r>
      <w:r>
        <w:rPr>
          <w:szCs w:val="22"/>
        </w:rPr>
        <w:t>Rcd</w:t>
      </w:r>
      <w:r>
        <w:rPr>
          <w:szCs w:val="22"/>
        </w:rPr>
        <w:t xml:space="preserve"> 11721 (2018)</w:t>
      </w:r>
      <w:r w:rsidR="00B23FE8">
        <w:t xml:space="preserve">; </w:t>
      </w:r>
      <w:r>
        <w:rPr>
          <w:i/>
          <w:iCs/>
        </w:rPr>
        <w:t>I</w:t>
      </w:r>
      <w:r w:rsidRPr="00E9401D">
        <w:rPr>
          <w:i/>
          <w:iCs/>
        </w:rPr>
        <w:t>ncentive Auction Task Force and Media Bureau Set Forth Tools Available to LPTV/Translator Stations Displaced Prior to the Special Displacement Window</w:t>
      </w:r>
      <w:r>
        <w:t xml:space="preserve">, Public Notice, </w:t>
      </w:r>
      <w:r w:rsidRPr="00965C5A">
        <w:t xml:space="preserve">32 FCC </w:t>
      </w:r>
      <w:r w:rsidRPr="00965C5A">
        <w:t>Rcd</w:t>
      </w:r>
      <w:r w:rsidRPr="00965C5A">
        <w:t xml:space="preserve"> 4943</w:t>
      </w:r>
      <w:r>
        <w:t xml:space="preserve"> (MB/IATF 2017).</w:t>
      </w:r>
    </w:p>
  </w:footnote>
  <w:footnote w:id="10">
    <w:p w:rsidR="004D7158" w:rsidRPr="00B23FE8" w:rsidP="00494132" w14:paraId="30D882AC" w14:textId="033A2DB1">
      <w:pPr>
        <w:pStyle w:val="FootnoteText"/>
        <w:widowControl w:val="0"/>
        <w:spacing w:before="240"/>
      </w:pPr>
      <w:r>
        <w:rPr>
          <w:rStyle w:val="FootnoteReference"/>
        </w:rPr>
        <w:footnoteRef/>
      </w:r>
      <w:r>
        <w:t xml:space="preserve"> </w:t>
      </w:r>
      <w:r>
        <w:rPr>
          <w:i/>
        </w:rPr>
        <w:t>See, e.g.</w:t>
      </w:r>
      <w:r>
        <w:rPr>
          <w:iCs/>
        </w:rPr>
        <w:t>,</w:t>
      </w:r>
      <w:r>
        <w:rPr>
          <w:i/>
        </w:rPr>
        <w:t xml:space="preserve"> </w:t>
      </w:r>
      <w:r w:rsidRPr="00625219">
        <w:rPr>
          <w:i/>
        </w:rPr>
        <w:t>Incentive Auction Task Force and Media Bureau Announce the Initial Reimbursement Allocation for Eligible Broadcasters and MVPDs</w:t>
      </w:r>
      <w:r w:rsidRPr="00625219">
        <w:t xml:space="preserve">, Public Notice, </w:t>
      </w:r>
      <w:r>
        <w:t>32</w:t>
      </w:r>
      <w:r w:rsidRPr="00365078">
        <w:t xml:space="preserve"> FCC </w:t>
      </w:r>
      <w:r w:rsidRPr="00365078">
        <w:t>Rcd</w:t>
      </w:r>
      <w:r>
        <w:t xml:space="preserve"> 7556, </w:t>
      </w:r>
      <w:r w:rsidRPr="000C05FE">
        <w:t>7556-57</w:t>
      </w:r>
      <w:r w:rsidRPr="00625219">
        <w:t xml:space="preserve"> (IATF/MB 2017)</w:t>
      </w:r>
      <w:r w:rsidRPr="0089665B">
        <w:rPr>
          <w:i/>
          <w:iCs/>
        </w:rPr>
        <w:t>;</w:t>
      </w:r>
      <w:r w:rsidRPr="00F31AF5">
        <w:rPr>
          <w:i/>
        </w:rPr>
        <w:t xml:space="preserve"> </w:t>
      </w:r>
      <w:r w:rsidRPr="00E40BD9">
        <w:rPr>
          <w:i/>
        </w:rPr>
        <w:t>Incentive Auction</w:t>
      </w:r>
      <w:r w:rsidRPr="005C29DC">
        <w:rPr>
          <w:i/>
        </w:rPr>
        <w:t xml:space="preserve"> Task Force and </w:t>
      </w:r>
      <w:r>
        <w:rPr>
          <w:i/>
        </w:rPr>
        <w:t>M</w:t>
      </w:r>
      <w:r w:rsidRPr="005C29DC">
        <w:rPr>
          <w:i/>
        </w:rPr>
        <w:t xml:space="preserve">edia </w:t>
      </w:r>
      <w:r>
        <w:rPr>
          <w:i/>
        </w:rPr>
        <w:t>B</w:t>
      </w:r>
      <w:r w:rsidRPr="005C29DC">
        <w:rPr>
          <w:i/>
        </w:rPr>
        <w:t xml:space="preserve">ureau Announce a Further Reimbursement Allocation for Eligible Broadcasters and MVPDs, </w:t>
      </w:r>
      <w:r>
        <w:t xml:space="preserve">Public Notice, 33 FCC </w:t>
      </w:r>
      <w:r>
        <w:t>Rcd</w:t>
      </w:r>
      <w:r>
        <w:t xml:space="preserve"> 3732 (IATF/MB 2018);</w:t>
      </w:r>
      <w:r>
        <w:rPr>
          <w:i/>
          <w:iCs/>
        </w:rPr>
        <w:t xml:space="preserve"> </w:t>
      </w:r>
      <w:r w:rsidRPr="0089665B">
        <w:rPr>
          <w:i/>
          <w:iCs/>
        </w:rPr>
        <w:t xml:space="preserve"> Initial Allocation for FM Stations from TV Broadcaster Relocation Fund and Report on the Status of the Post-Incentive Auction Transition, The Reimbursement Program, and the Consumer Education Program</w:t>
      </w:r>
      <w:r>
        <w:t>, Public Notice, DA-19-1246 (IATF/MB 2019)</w:t>
      </w:r>
      <w:r>
        <w:rPr>
          <w:i/>
          <w:iCs/>
        </w:rPr>
        <w:t xml:space="preserve">; Initial Allocation for LPTV/translator Stations from the TV Broadcaster Relocation Fund, </w:t>
      </w:r>
      <w:r>
        <w:t xml:space="preserve">Public Notice, </w:t>
      </w:r>
      <w:r w:rsidRPr="00F31AF5">
        <w:t xml:space="preserve">35 FCC </w:t>
      </w:r>
      <w:r w:rsidRPr="00F31AF5">
        <w:t>Rcd</w:t>
      </w:r>
      <w:r w:rsidRPr="00F31AF5">
        <w:t xml:space="preserve"> 2913</w:t>
      </w:r>
      <w:r>
        <w:t xml:space="preserve"> (IATF/MB 2020)</w:t>
      </w:r>
      <w:r w:rsidR="00B23FE8">
        <w:t xml:space="preserve">; </w:t>
      </w:r>
      <w:r w:rsidRPr="00B23FE8" w:rsidR="00B23FE8">
        <w:rPr>
          <w:i/>
          <w:iCs/>
        </w:rPr>
        <w:t>I</w:t>
      </w:r>
      <w:r w:rsidR="00B23FE8">
        <w:rPr>
          <w:i/>
          <w:iCs/>
        </w:rPr>
        <w:t xml:space="preserve">ncentive Auction Task Force and Media Bureau Report on Status of the Post-Incentive Auction Reimbursement Program and Announce a Further Allocation from the TV Broadcaster Relocation Fund for LPTV/translator Stations, </w:t>
      </w:r>
      <w:r w:rsidR="00B23FE8">
        <w:t>DA21-21 (</w:t>
      </w:r>
      <w:r w:rsidRPr="00AA149D" w:rsidR="00B23FE8">
        <w:t>MB/IAT</w:t>
      </w:r>
      <w:r w:rsidR="00B23FE8">
        <w:t>F</w:t>
      </w:r>
      <w:r w:rsidRPr="00AA149D" w:rsidR="00B23FE8">
        <w:t xml:space="preserve"> 202</w:t>
      </w:r>
      <w:r w:rsidR="00B23FE8">
        <w:t>1</w:t>
      </w:r>
      <w:r w:rsidRPr="00AA149D" w:rsidR="00B23FE8">
        <w:t>)</w:t>
      </w:r>
      <w:r w:rsidR="00B23FE8">
        <w:t>.</w:t>
      </w:r>
    </w:p>
  </w:footnote>
  <w:footnote w:id="11">
    <w:p w:rsidR="00A3525B" w14:paraId="12F726F9" w14:textId="585CA723">
      <w:pPr>
        <w:pStyle w:val="FootnoteText"/>
      </w:pPr>
      <w:r>
        <w:rPr>
          <w:rStyle w:val="FootnoteReference"/>
        </w:rPr>
        <w:footnoteRef/>
      </w:r>
      <w:r>
        <w:t xml:space="preserve"> Consistent with our experience in managing the Fund to date, w</w:t>
      </w:r>
      <w:r w:rsidRPr="003363F4">
        <w:t xml:space="preserve">e expect that the </w:t>
      </w:r>
      <w:r>
        <w:t>number</w:t>
      </w:r>
      <w:r w:rsidRPr="003363F4">
        <w:t xml:space="preserve"> of reimbursement requests will </w:t>
      </w:r>
      <w:r>
        <w:t xml:space="preserve">continue to </w:t>
      </w:r>
      <w:r w:rsidRPr="003363F4">
        <w:t xml:space="preserve">increase </w:t>
      </w:r>
      <w:r>
        <w:t>over the life of the Fund.</w:t>
      </w:r>
      <w:r w:rsidRPr="00A905E9">
        <w:t xml:space="preserve"> </w:t>
      </w:r>
      <w:r>
        <w:t xml:space="preserve"> </w:t>
      </w:r>
    </w:p>
  </w:footnote>
  <w:footnote w:id="12">
    <w:p w:rsidR="00E11084" w:rsidRPr="00DF7546" w:rsidP="00E11084" w14:paraId="698007D4" w14:textId="1C89BDC3">
      <w:pPr>
        <w:pStyle w:val="FootnoteText"/>
        <w:widowControl w:val="0"/>
      </w:pPr>
      <w:r>
        <w:rPr>
          <w:rStyle w:val="FootnoteReference"/>
        </w:rPr>
        <w:footnoteRef/>
      </w:r>
      <w:r>
        <w:t xml:space="preserve"> </w:t>
      </w:r>
      <w:r>
        <w:rPr>
          <w:i/>
        </w:rPr>
        <w:t xml:space="preserve">See </w:t>
      </w:r>
      <w:r w:rsidR="00494132">
        <w:rPr>
          <w:i/>
          <w:iCs/>
        </w:rPr>
        <w:t>Close-Out Procedures PN</w:t>
      </w:r>
      <w:r>
        <w:t xml:space="preserve">, 34 FCC </w:t>
      </w:r>
      <w:r>
        <w:t>Rcd</w:t>
      </w:r>
      <w:r>
        <w:t xml:space="preserve"> 304.</w:t>
      </w:r>
    </w:p>
  </w:footnote>
  <w:footnote w:id="13">
    <w:p w:rsidR="00BE0176" w:rsidRPr="00BE0176" w:rsidP="00BE0176" w14:paraId="427E11AB" w14:textId="331D39AB">
      <w:pPr>
        <w:pStyle w:val="FootnoteText"/>
        <w:widowControl w:val="0"/>
        <w:rPr>
          <w:i/>
          <w:iCs/>
        </w:rPr>
      </w:pPr>
      <w:r w:rsidRPr="00AA149D">
        <w:rPr>
          <w:rStyle w:val="FootnoteReference"/>
        </w:rPr>
        <w:footnoteRef/>
      </w:r>
      <w:r w:rsidRPr="00AA149D">
        <w:t xml:space="preserve"> </w:t>
      </w:r>
      <w:r w:rsidRPr="00AA149D">
        <w:rPr>
          <w:i/>
        </w:rPr>
        <w:t xml:space="preserve">See </w:t>
      </w:r>
      <w:r w:rsidR="00623BCA">
        <w:rPr>
          <w:i/>
        </w:rPr>
        <w:t>Id.</w:t>
      </w:r>
      <w:r w:rsidRPr="00BE0176">
        <w:t xml:space="preserve"> </w:t>
      </w:r>
      <w:r w:rsidR="00623BCA">
        <w:t xml:space="preserve"> </w:t>
      </w:r>
      <w:r>
        <w:t xml:space="preserve">At an appropriate time before the end of the program, we may make a final allocation to reimburse entities up to </w:t>
      </w:r>
      <w:r w:rsidRPr="00C61EA7">
        <w:t>the total</w:t>
      </w:r>
      <w:r>
        <w:t xml:space="preserve"> amount of remaining incurred expenses.  At that time, each entity will enter the final close-out stage and receive a </w:t>
      </w:r>
      <w:r w:rsidRPr="000927A5">
        <w:t>final close-out letter</w:t>
      </w:r>
      <w:r>
        <w:t xml:space="preserve">.  </w:t>
      </w:r>
      <w:r>
        <w:rPr>
          <w:i/>
          <w:iCs/>
        </w:rPr>
        <w:t>Id.</w:t>
      </w:r>
    </w:p>
  </w:footnote>
  <w:footnote w:id="14">
    <w:p w:rsidR="00B91CC5" w14:paraId="605B19C1" w14:textId="25EC6929">
      <w:pPr>
        <w:pStyle w:val="FootnoteText"/>
      </w:pPr>
      <w:r>
        <w:rPr>
          <w:rStyle w:val="FootnoteReference"/>
        </w:rPr>
        <w:footnoteRef/>
      </w:r>
      <w:r>
        <w:t xml:space="preserve"> </w:t>
      </w:r>
      <w:r w:rsidR="00107BB2">
        <w:t xml:space="preserve">Entities are reminded that they must also satisfy the Commission’s procedures for submission of banking instructions using </w:t>
      </w:r>
      <w:r w:rsidRPr="00107BB2" w:rsidR="00107BB2">
        <w:t xml:space="preserve">Form 1876 </w:t>
      </w:r>
      <w:r w:rsidR="00107BB2">
        <w:t>prior to receiving any payment from the Reimbursement Fund.  P</w:t>
      </w:r>
      <w:r w:rsidRPr="00107BB2" w:rsidR="00107BB2">
        <w:t>ayments cannot be made until a station’s Form 1876 has been approved – a process that can take several weeks</w:t>
      </w:r>
      <w:r w:rsidR="00107BB2">
        <w:t xml:space="preserve">.  </w:t>
      </w:r>
      <w:r w:rsidRPr="00995F40" w:rsidR="00995F40">
        <w:rPr>
          <w:i/>
          <w:iCs/>
        </w:rPr>
        <w:t>S</w:t>
      </w:r>
      <w:r w:rsidRPr="00995F40" w:rsidR="00107BB2">
        <w:rPr>
          <w:i/>
          <w:iCs/>
        </w:rPr>
        <w:t xml:space="preserve">ee </w:t>
      </w:r>
      <w:r w:rsidRPr="00995F40" w:rsidR="00107BB2">
        <w:rPr>
          <w:i/>
          <w:iCs/>
        </w:rPr>
        <w:t>The</w:t>
      </w:r>
      <w:r w:rsidRPr="00995F40" w:rsidR="00107BB2">
        <w:rPr>
          <w:i/>
          <w:iCs/>
        </w:rPr>
        <w:t xml:space="preserve"> Incentive Auction Task Force and Media Bureau Announce Procedures for Submitting Financial Information Required for Disbursement of Reimbursement Payments</w:t>
      </w:r>
      <w:r w:rsidRPr="00107BB2" w:rsidR="00107BB2">
        <w:t xml:space="preserve">, Public Notice, 34 FCC </w:t>
      </w:r>
      <w:r w:rsidRPr="00107BB2" w:rsidR="00107BB2">
        <w:t>Rcd</w:t>
      </w:r>
      <w:r w:rsidRPr="00107BB2" w:rsidR="00107BB2">
        <w:t xml:space="preserve"> 7070 (MB/IATF Aug. 15, 2019)</w:t>
      </w:r>
      <w:r w:rsidR="00107BB2">
        <w:t>.  Additional support in filing Form 1876 can be found on the Commission</w:t>
      </w:r>
      <w:r w:rsidR="004B22C7">
        <w:t>’</w:t>
      </w:r>
      <w:r w:rsidR="00107BB2">
        <w:t xml:space="preserve">s website.  </w:t>
      </w:r>
      <w:hyperlink r:id="rId1" w:history="1">
        <w:r w:rsidRPr="00CB4908" w:rsidR="00107BB2">
          <w:rPr>
            <w:rStyle w:val="Hyperlink"/>
          </w:rPr>
          <w:t>https://www.fcc.gov/about-fcc/fcc-initiatives/incentive-auctions/reimbursement</w:t>
        </w:r>
      </w:hyperlink>
      <w:r w:rsidR="00107BB2">
        <w:t xml:space="preserve"> </w:t>
      </w:r>
    </w:p>
  </w:footnote>
  <w:footnote w:id="15">
    <w:p w:rsidR="00201EFB" w:rsidRPr="00FA3C7D" w:rsidP="00201EFB" w14:paraId="280C5646" w14:textId="6980823D">
      <w:pPr>
        <w:pStyle w:val="FootnoteText"/>
      </w:pPr>
      <w:r>
        <w:rPr>
          <w:rStyle w:val="FootnoteReference"/>
        </w:rPr>
        <w:footnoteRef/>
      </w:r>
      <w:r>
        <w:t xml:space="preserve"> </w:t>
      </w:r>
      <w:r w:rsidRPr="00AA149D">
        <w:rPr>
          <w:i/>
          <w:iCs/>
        </w:rPr>
        <w:t>Invoice Filing Deadline PN</w:t>
      </w:r>
      <w:r w:rsidRPr="00AA149D">
        <w:t xml:space="preserve">, 35 FCC </w:t>
      </w:r>
      <w:r w:rsidRPr="00AA149D">
        <w:t>Rcd</w:t>
      </w:r>
      <w:r w:rsidRPr="00FA3C7D">
        <w:t xml:space="preserve"> at</w:t>
      </w:r>
      <w:r>
        <w:rPr>
          <w:i/>
          <w:iCs/>
        </w:rPr>
        <w:t xml:space="preserve"> </w:t>
      </w:r>
      <w:r w:rsidR="00B91CC5">
        <w:t>11277-78, para 13</w:t>
      </w:r>
      <w:r>
        <w:rPr>
          <w:i/>
          <w:iCs/>
        </w:rPr>
        <w:t>.</w:t>
      </w:r>
      <w:r>
        <w:t xml:space="preserve">  </w:t>
      </w:r>
      <w:r>
        <w:rPr>
          <w:bCs/>
        </w:rPr>
        <w:t>In the unlikely event that an entity faces circumstances beyond its control, we will consider a limited extension by means of shifting an entity with the first or second deadline assignment to the second or third deadline assignment.  An entity requesting such a shift will have to provide evidence that circumstances requiring the extension were outside of its control, such as local zoning or a force majeure event occurring proximate to the final submission deadline.  Note that we will not consider the availability of reimbursement for specific purchases a mitigating factor in evaluating extension requests.  Furthermore, we advise entities that we will not be able to grant extensions that do not provide the staff with sufficient processing time to complete close-out procedures for all stations.  Thus, an entity’s failure to complete construction in a timely manner and to make final submissions by the assigned deadlines could preclude that entity from receiving full reimbursement because unobligated amounts in the Fund must be rescinded to Treasury by July 3, 2023.</w:t>
      </w:r>
    </w:p>
  </w:footnote>
  <w:footnote w:id="16">
    <w:p w:rsidR="005B41A8" w:rsidRPr="00AA149D" w:rsidP="005B41A8" w14:paraId="6C77F63F" w14:textId="4B8E5D3E">
      <w:pPr>
        <w:pStyle w:val="FootnoteText"/>
      </w:pPr>
      <w:r w:rsidRPr="00AA149D">
        <w:rPr>
          <w:rStyle w:val="FootnoteReference"/>
        </w:rPr>
        <w:footnoteRef/>
      </w:r>
      <w:r w:rsidRPr="00AA149D">
        <w:t xml:space="preserve"> </w:t>
      </w:r>
      <w:r w:rsidRPr="00AA149D">
        <w:rPr>
          <w:i/>
          <w:iCs/>
        </w:rPr>
        <w:t>See I</w:t>
      </w:r>
      <w:r w:rsidR="00623BCA">
        <w:rPr>
          <w:i/>
          <w:iCs/>
        </w:rPr>
        <w:t>d.</w:t>
      </w:r>
      <w:r w:rsidRPr="00AA149D">
        <w:t xml:space="preserve"> </w:t>
      </w:r>
      <w:r>
        <w:t>at</w:t>
      </w:r>
      <w:r w:rsidR="00B91CC5">
        <w:t xml:space="preserve"> 11276-77, para 9</w:t>
      </w:r>
      <w:r>
        <w:t>.</w:t>
      </w:r>
      <w:r w:rsidR="00750C87">
        <w:t xml:space="preserve">  </w:t>
      </w:r>
      <w:r w:rsidRPr="00BE0176" w:rsidR="00750C87">
        <w:rPr>
          <w:bCs/>
        </w:rPr>
        <w:t>The first deadline for final submissions</w:t>
      </w:r>
      <w:r w:rsidR="00750C87">
        <w:rPr>
          <w:bCs/>
        </w:rPr>
        <w:t xml:space="preserve"> – </w:t>
      </w:r>
      <w:r w:rsidRPr="00BE0176" w:rsidR="00750C87">
        <w:rPr>
          <w:bCs/>
        </w:rPr>
        <w:t>October 8, 2021</w:t>
      </w:r>
      <w:r w:rsidR="00750C87">
        <w:rPr>
          <w:bCs/>
        </w:rPr>
        <w:t xml:space="preserve"> – will</w:t>
      </w:r>
      <w:r w:rsidRPr="00BE0176" w:rsidR="00750C87">
        <w:rPr>
          <w:bCs/>
        </w:rPr>
        <w:t xml:space="preserve"> </w:t>
      </w:r>
      <w:r w:rsidR="00750C87">
        <w:rPr>
          <w:bCs/>
        </w:rPr>
        <w:t>occur more than</w:t>
      </w:r>
      <w:r w:rsidRPr="00BE0176" w:rsidR="00750C87">
        <w:rPr>
          <w:bCs/>
        </w:rPr>
        <w:t xml:space="preserve"> a year after the July 13, 2020, end of the transition period </w:t>
      </w:r>
      <w:r w:rsidR="00750C87">
        <w:rPr>
          <w:bCs/>
        </w:rPr>
        <w:t>and was announced</w:t>
      </w:r>
      <w:r w:rsidRPr="00BE0176" w:rsidR="00750C87">
        <w:t xml:space="preserve"> a full year</w:t>
      </w:r>
      <w:r w:rsidR="00750C87">
        <w:t xml:space="preserve"> ahead of time,</w:t>
      </w:r>
      <w:r w:rsidRPr="00BE0176" w:rsidR="00750C87">
        <w:t xml:space="preserve"> providing lengthy advance notice</w:t>
      </w:r>
      <w:r w:rsidR="00750C87">
        <w:t xml:space="preserve"> to Fund participants</w:t>
      </w:r>
      <w:r w:rsidRPr="00BE0176" w:rsidR="00750C87">
        <w:t>.  We utilized a phased approach, recognizing that repacked stations with phase assignments earlier in the transition period were more likely to have completed their transition to final facilities</w:t>
      </w:r>
      <w:r w:rsidR="00750C87">
        <w:t>, c</w:t>
      </w:r>
      <w:r w:rsidRPr="00BE0176" w:rsidR="00750C87">
        <w:t>ompleted all construction</w:t>
      </w:r>
      <w:r w:rsidR="00750C87">
        <w:t>,</w:t>
      </w:r>
      <w:r w:rsidRPr="00BE0176" w:rsidR="00750C87">
        <w:t xml:space="preserve"> and incurred all costs.  We </w:t>
      </w:r>
      <w:r w:rsidR="00750C87">
        <w:t xml:space="preserve">further </w:t>
      </w:r>
      <w:r w:rsidRPr="00BE0176" w:rsidR="00750C87">
        <w:t>considered that MVPDs, FM stations</w:t>
      </w:r>
      <w:r w:rsidR="00750C87">
        <w:t>,</w:t>
      </w:r>
      <w:r w:rsidRPr="00BE0176" w:rsidR="00750C87">
        <w:t xml:space="preserve"> and LPTV/translator stations may incur expenses toward the end of the program.  The phased approach </w:t>
      </w:r>
      <w:r w:rsidR="00750C87">
        <w:t>thus allows us to</w:t>
      </w:r>
      <w:r w:rsidRPr="00BE0176" w:rsidR="00750C87">
        <w:t xml:space="preserve"> sequence the Fund Administrator</w:t>
      </w:r>
      <w:r w:rsidR="00750C87">
        <w:t>’s</w:t>
      </w:r>
      <w:r w:rsidRPr="00BE0176" w:rsidR="00750C87">
        <w:t xml:space="preserve"> and Commission staff</w:t>
      </w:r>
      <w:r w:rsidR="00750C87">
        <w:t xml:space="preserve">’s processing work because </w:t>
      </w:r>
      <w:r w:rsidRPr="00BE0176" w:rsidR="00750C87">
        <w:t>a deluge of filings at the program’s end</w:t>
      </w:r>
      <w:r w:rsidR="00750C87">
        <w:t xml:space="preserve"> </w:t>
      </w:r>
      <w:r w:rsidRPr="00BE0176" w:rsidR="00750C87">
        <w:t>jeopardize</w:t>
      </w:r>
      <w:r w:rsidR="00750C87">
        <w:t>s</w:t>
      </w:r>
      <w:r w:rsidRPr="00BE0176" w:rsidR="00750C87">
        <w:t xml:space="preserve"> the timely completion of the program </w:t>
      </w:r>
      <w:r w:rsidR="00750C87">
        <w:t xml:space="preserve">and could </w:t>
      </w:r>
      <w:r w:rsidRPr="00BE0176" w:rsidR="00750C87">
        <w:t>prevent entities from receiving full reimbursement for their expenses.  We also recognized that program participants require human capital to complete the close-out process, and we believe the phased approach will lessen th</w:t>
      </w:r>
      <w:r w:rsidR="00750C87">
        <w:t>at</w:t>
      </w:r>
      <w:r w:rsidRPr="00BE0176" w:rsidR="00750C87">
        <w:t xml:space="preserve"> resourc</w:t>
      </w:r>
      <w:r w:rsidR="00750C87">
        <w:t>e</w:t>
      </w:r>
      <w:r w:rsidRPr="00BE0176" w:rsidR="00750C87">
        <w:t xml:space="preserve"> burden. </w:t>
      </w:r>
      <w:r w:rsidR="00750C87">
        <w:t xml:space="preserve"> </w:t>
      </w:r>
      <w:r w:rsidR="00750C87">
        <w:rPr>
          <w:i/>
          <w:iCs/>
        </w:rPr>
        <w:t>Id.</w:t>
      </w:r>
    </w:p>
  </w:footnote>
  <w:footnote w:id="17">
    <w:p w:rsidR="00A726A1" w:rsidP="00A726A1" w14:paraId="59C4EB59" w14:textId="77777777">
      <w:pPr>
        <w:pStyle w:val="FootnoteText"/>
        <w:widowControl w:val="0"/>
      </w:pPr>
      <w:r>
        <w:rPr>
          <w:rStyle w:val="FootnoteReference"/>
        </w:rPr>
        <w:footnoteRef/>
      </w:r>
      <w:r>
        <w:t xml:space="preserve"> A station that was granted permission to change phases is assigned to the deadline associated with its revised phase completion date. </w:t>
      </w:r>
    </w:p>
  </w:footnote>
  <w:footnote w:id="18">
    <w:p w:rsidR="00A726A1" w:rsidP="00A726A1" w14:paraId="72858CEC" w14:textId="041EE943">
      <w:pPr>
        <w:pStyle w:val="FootnoteText"/>
        <w:widowControl w:val="0"/>
      </w:pPr>
      <w:r>
        <w:rPr>
          <w:rStyle w:val="FootnoteReference"/>
        </w:rPr>
        <w:footnoteRef/>
      </w:r>
      <w:r>
        <w:t xml:space="preserve"> </w:t>
      </w:r>
      <w:r w:rsidRPr="00BC3677">
        <w:rPr>
          <w:i/>
          <w:iCs/>
        </w:rPr>
        <w:t>See supra</w:t>
      </w:r>
      <w:r>
        <w:t xml:space="preserve"> </w:t>
      </w:r>
      <w:r w:rsidRPr="00623BCA">
        <w:t>note 1</w:t>
      </w:r>
      <w:r w:rsidR="00B0283D">
        <w:t>5</w:t>
      </w:r>
      <w:r w:rsidRPr="00623BCA">
        <w:t>.</w:t>
      </w:r>
    </w:p>
  </w:footnote>
  <w:footnote w:id="19">
    <w:p w:rsidR="009E3B8B" w:rsidRPr="00AA149D" w:rsidP="009E3B8B" w14:paraId="338F2DEC" w14:textId="77777777">
      <w:pPr>
        <w:pStyle w:val="FootnoteText"/>
      </w:pPr>
      <w:r w:rsidRPr="00AA149D">
        <w:rPr>
          <w:rStyle w:val="FootnoteReference"/>
        </w:rPr>
        <w:footnoteRef/>
      </w:r>
      <w:r w:rsidRPr="00AA149D">
        <w:t xml:space="preserve"> </w:t>
      </w:r>
      <w:r w:rsidRPr="00AA149D">
        <w:rPr>
          <w:i/>
          <w:iCs/>
        </w:rPr>
        <w:t>See Invoice Filing Deadline PN</w:t>
      </w:r>
      <w:r w:rsidRPr="00AA149D">
        <w:t xml:space="preserve">, 35 FCC </w:t>
      </w:r>
      <w:r w:rsidRPr="00AA149D">
        <w:t>Rcd</w:t>
      </w:r>
      <w:r w:rsidRPr="00AA149D">
        <w:t xml:space="preserve"> at 11278-79, paras</w:t>
      </w:r>
      <w:r>
        <w:t>.</w:t>
      </w:r>
      <w:r w:rsidRPr="00AA149D">
        <w:t xml:space="preserve"> 15-17.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57F3" w14:paraId="10793F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99FED3E" w14:textId="428E729F">
    <w:pPr>
      <w:tabs>
        <w:tab w:val="center" w:pos="4680"/>
        <w:tab w:val="right" w:pos="9360"/>
      </w:tabs>
    </w:pPr>
    <w:r w:rsidRPr="009838BC">
      <w:rPr>
        <w:b/>
      </w:rPr>
      <w:tab/>
      <w:t>Federal Communications Commission</w:t>
    </w:r>
    <w:r w:rsidRPr="009838BC">
      <w:rPr>
        <w:b/>
      </w:rPr>
      <w:tab/>
    </w:r>
    <w:r w:rsidR="00A726A1">
      <w:rPr>
        <w:b/>
      </w:rPr>
      <w:t xml:space="preserve">DA </w:t>
    </w:r>
    <w:r w:rsidR="00A726A1">
      <w:rPr>
        <w:b/>
      </w:rPr>
      <w:t>2</w:t>
    </w:r>
    <w:r w:rsidR="001B343E">
      <w:rPr>
        <w:b/>
      </w:rPr>
      <w:t>1</w:t>
    </w:r>
    <w:r w:rsidR="00A726A1">
      <w:rPr>
        <w:b/>
      </w:rPr>
      <w:t>-</w:t>
    </w:r>
    <w:r w:rsidR="00B657F3">
      <w:rPr>
        <w:b/>
      </w:rPr>
      <w:t>404</w:t>
    </w:r>
  </w:p>
  <w:p w:rsidR="009838BC" w:rsidRPr="009838BC" w:rsidP="009838BC" w14:paraId="375D6167" w14:textId="05FD8CF9">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46E8C41"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0F94FE8" w14:textId="610CB5A9">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6F8E37B" w14:textId="77777777">
                    <w:pPr>
                      <w:rPr>
                        <w:rFonts w:ascii="Arial" w:hAnsi="Arial"/>
                        <w:b/>
                      </w:rPr>
                    </w:pPr>
                    <w:r>
                      <w:rPr>
                        <w:rFonts w:ascii="Arial" w:hAnsi="Arial"/>
                        <w:b/>
                      </w:rPr>
                      <w:t>Federal Communications Commission</w:t>
                    </w:r>
                  </w:p>
                  <w:p w:rsidR="009838BC" w:rsidP="009838BC" w14:paraId="453BE85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4DE2D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212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1656D">
      <w:rPr>
        <w:rFonts w:ascii="Arial" w:hAnsi="Arial" w:cs="Arial"/>
        <w:b/>
        <w:sz w:val="96"/>
      </w:rPr>
      <w:t>PUBLIC NOTICE</w:t>
    </w:r>
  </w:p>
  <w:p w:rsidR="009838BC" w:rsidRPr="00357D50" w:rsidP="009838BC" w14:paraId="077B608F" w14:textId="1C425A0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6E167BB" w14:textId="77777777">
                    <w:pPr>
                      <w:spacing w:before="40"/>
                      <w:jc w:val="right"/>
                      <w:rPr>
                        <w:rFonts w:ascii="Arial" w:hAnsi="Arial"/>
                        <w:b/>
                        <w:sz w:val="16"/>
                      </w:rPr>
                    </w:pPr>
                    <w:r>
                      <w:rPr>
                        <w:rFonts w:ascii="Arial" w:hAnsi="Arial"/>
                        <w:b/>
                        <w:sz w:val="16"/>
                      </w:rPr>
                      <w:t>News Media Information 202 / 418-0500</w:t>
                    </w:r>
                  </w:p>
                  <w:p w:rsidR="009838BC" w:rsidP="009838BC" w14:paraId="1055153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B1B1C12" w14:textId="77777777">
                    <w:pPr>
                      <w:jc w:val="right"/>
                    </w:pPr>
                    <w:r>
                      <w:rPr>
                        <w:rFonts w:ascii="Arial" w:hAnsi="Arial"/>
                        <w:b/>
                        <w:sz w:val="16"/>
                      </w:rPr>
                      <w:t>TTY: 1-888-835-5322</w:t>
                    </w:r>
                  </w:p>
                </w:txbxContent>
              </v:textbox>
            </v:shape>
          </w:pict>
        </mc:Fallback>
      </mc:AlternateContent>
    </w:r>
  </w:p>
  <w:p w:rsidR="006F7393" w:rsidRPr="009838BC" w:rsidP="009838BC" w14:paraId="2334094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3D4BBD"/>
    <w:multiLevelType w:val="hybridMultilevel"/>
    <w:tmpl w:val="C98C8C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A148C9"/>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4BAE11E2"/>
    <w:multiLevelType w:val="hybridMultilevel"/>
    <w:tmpl w:val="99A6F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1"/>
    <w:rsid w:val="000072CE"/>
    <w:rsid w:val="00010B3D"/>
    <w:rsid w:val="00013A8B"/>
    <w:rsid w:val="00021445"/>
    <w:rsid w:val="00036039"/>
    <w:rsid w:val="00037F90"/>
    <w:rsid w:val="000476CF"/>
    <w:rsid w:val="00050718"/>
    <w:rsid w:val="000653A1"/>
    <w:rsid w:val="000764C7"/>
    <w:rsid w:val="0008596F"/>
    <w:rsid w:val="000875BF"/>
    <w:rsid w:val="000927A5"/>
    <w:rsid w:val="00096D8C"/>
    <w:rsid w:val="000A0F54"/>
    <w:rsid w:val="000B4CCF"/>
    <w:rsid w:val="000C05FE"/>
    <w:rsid w:val="000C0B65"/>
    <w:rsid w:val="000D050B"/>
    <w:rsid w:val="000E3D42"/>
    <w:rsid w:val="000E5884"/>
    <w:rsid w:val="000F0A00"/>
    <w:rsid w:val="000F4250"/>
    <w:rsid w:val="00107BB2"/>
    <w:rsid w:val="001164B1"/>
    <w:rsid w:val="00120245"/>
    <w:rsid w:val="00122BD5"/>
    <w:rsid w:val="0013412A"/>
    <w:rsid w:val="00141EE4"/>
    <w:rsid w:val="00161C63"/>
    <w:rsid w:val="0018168E"/>
    <w:rsid w:val="00184079"/>
    <w:rsid w:val="00186847"/>
    <w:rsid w:val="00195146"/>
    <w:rsid w:val="001979D9"/>
    <w:rsid w:val="001B343E"/>
    <w:rsid w:val="001D6BCF"/>
    <w:rsid w:val="001E01CA"/>
    <w:rsid w:val="001E6EFE"/>
    <w:rsid w:val="001F544E"/>
    <w:rsid w:val="00201EFB"/>
    <w:rsid w:val="002060D9"/>
    <w:rsid w:val="00206B17"/>
    <w:rsid w:val="00220FB7"/>
    <w:rsid w:val="0022311B"/>
    <w:rsid w:val="00226822"/>
    <w:rsid w:val="00253687"/>
    <w:rsid w:val="00260594"/>
    <w:rsid w:val="002835CF"/>
    <w:rsid w:val="00285017"/>
    <w:rsid w:val="002A2D2E"/>
    <w:rsid w:val="002B1528"/>
    <w:rsid w:val="002D3A83"/>
    <w:rsid w:val="002F0CFB"/>
    <w:rsid w:val="002F1E68"/>
    <w:rsid w:val="00306F8C"/>
    <w:rsid w:val="00316481"/>
    <w:rsid w:val="003363F4"/>
    <w:rsid w:val="00336707"/>
    <w:rsid w:val="00343749"/>
    <w:rsid w:val="00357D50"/>
    <w:rsid w:val="00365078"/>
    <w:rsid w:val="003925DC"/>
    <w:rsid w:val="00396B10"/>
    <w:rsid w:val="003A5BC0"/>
    <w:rsid w:val="003B0550"/>
    <w:rsid w:val="003B694F"/>
    <w:rsid w:val="003D01F3"/>
    <w:rsid w:val="003E5DD9"/>
    <w:rsid w:val="003F171C"/>
    <w:rsid w:val="0040357E"/>
    <w:rsid w:val="00412FC5"/>
    <w:rsid w:val="00422276"/>
    <w:rsid w:val="004242F1"/>
    <w:rsid w:val="00437AF0"/>
    <w:rsid w:val="00445A00"/>
    <w:rsid w:val="004516E0"/>
    <w:rsid w:val="00451B0F"/>
    <w:rsid w:val="0045638B"/>
    <w:rsid w:val="0046125F"/>
    <w:rsid w:val="00482403"/>
    <w:rsid w:val="0048453C"/>
    <w:rsid w:val="00487524"/>
    <w:rsid w:val="00494132"/>
    <w:rsid w:val="00496106"/>
    <w:rsid w:val="004B17B3"/>
    <w:rsid w:val="004B22C7"/>
    <w:rsid w:val="004C12D0"/>
    <w:rsid w:val="004C14A5"/>
    <w:rsid w:val="004C2EE3"/>
    <w:rsid w:val="004D7158"/>
    <w:rsid w:val="004E4A22"/>
    <w:rsid w:val="004E5FCB"/>
    <w:rsid w:val="00511025"/>
    <w:rsid w:val="00511968"/>
    <w:rsid w:val="005307BE"/>
    <w:rsid w:val="005318B3"/>
    <w:rsid w:val="0055614C"/>
    <w:rsid w:val="005767CA"/>
    <w:rsid w:val="005B41A8"/>
    <w:rsid w:val="005C29DC"/>
    <w:rsid w:val="005F2E23"/>
    <w:rsid w:val="00607BA5"/>
    <w:rsid w:val="00623BCA"/>
    <w:rsid w:val="00625219"/>
    <w:rsid w:val="00626EB6"/>
    <w:rsid w:val="006273F4"/>
    <w:rsid w:val="0063529B"/>
    <w:rsid w:val="006353A3"/>
    <w:rsid w:val="0064192F"/>
    <w:rsid w:val="00655D03"/>
    <w:rsid w:val="00662B59"/>
    <w:rsid w:val="006724EA"/>
    <w:rsid w:val="00683E32"/>
    <w:rsid w:val="00683F84"/>
    <w:rsid w:val="00691B94"/>
    <w:rsid w:val="00693B99"/>
    <w:rsid w:val="006A5ABA"/>
    <w:rsid w:val="006A6A81"/>
    <w:rsid w:val="006D2BDB"/>
    <w:rsid w:val="006E26AF"/>
    <w:rsid w:val="006F57D7"/>
    <w:rsid w:val="006F7393"/>
    <w:rsid w:val="0070224F"/>
    <w:rsid w:val="007115F7"/>
    <w:rsid w:val="0071723D"/>
    <w:rsid w:val="00750C87"/>
    <w:rsid w:val="00755F17"/>
    <w:rsid w:val="00785689"/>
    <w:rsid w:val="0079754B"/>
    <w:rsid w:val="007A152D"/>
    <w:rsid w:val="007A1E6D"/>
    <w:rsid w:val="007C20DF"/>
    <w:rsid w:val="007E668A"/>
    <w:rsid w:val="007F239A"/>
    <w:rsid w:val="00802742"/>
    <w:rsid w:val="00805B9E"/>
    <w:rsid w:val="00807835"/>
    <w:rsid w:val="0081656D"/>
    <w:rsid w:val="00822CE0"/>
    <w:rsid w:val="008318F6"/>
    <w:rsid w:val="00831CC8"/>
    <w:rsid w:val="00837C62"/>
    <w:rsid w:val="00841AB1"/>
    <w:rsid w:val="00843111"/>
    <w:rsid w:val="00864B4F"/>
    <w:rsid w:val="00876127"/>
    <w:rsid w:val="0089665B"/>
    <w:rsid w:val="008C22FD"/>
    <w:rsid w:val="009020EE"/>
    <w:rsid w:val="00910533"/>
    <w:rsid w:val="00910F12"/>
    <w:rsid w:val="00912378"/>
    <w:rsid w:val="00926503"/>
    <w:rsid w:val="00930ECF"/>
    <w:rsid w:val="0094592F"/>
    <w:rsid w:val="00965C5A"/>
    <w:rsid w:val="009838BC"/>
    <w:rsid w:val="00995F40"/>
    <w:rsid w:val="009C32F0"/>
    <w:rsid w:val="009E3B8B"/>
    <w:rsid w:val="00A03998"/>
    <w:rsid w:val="00A3525B"/>
    <w:rsid w:val="00A41870"/>
    <w:rsid w:val="00A45F4F"/>
    <w:rsid w:val="00A521DE"/>
    <w:rsid w:val="00A600A9"/>
    <w:rsid w:val="00A726A1"/>
    <w:rsid w:val="00A7652F"/>
    <w:rsid w:val="00A8047D"/>
    <w:rsid w:val="00A8241D"/>
    <w:rsid w:val="00A866AC"/>
    <w:rsid w:val="00A905E9"/>
    <w:rsid w:val="00AA149D"/>
    <w:rsid w:val="00AA55B7"/>
    <w:rsid w:val="00AA5B9E"/>
    <w:rsid w:val="00AB2407"/>
    <w:rsid w:val="00AB53DF"/>
    <w:rsid w:val="00AC79F9"/>
    <w:rsid w:val="00AE74C7"/>
    <w:rsid w:val="00AF3E7D"/>
    <w:rsid w:val="00AF6937"/>
    <w:rsid w:val="00B0283D"/>
    <w:rsid w:val="00B07E5C"/>
    <w:rsid w:val="00B13145"/>
    <w:rsid w:val="00B20363"/>
    <w:rsid w:val="00B22DC3"/>
    <w:rsid w:val="00B23D5C"/>
    <w:rsid w:val="00B23FE8"/>
    <w:rsid w:val="00B326E3"/>
    <w:rsid w:val="00B47A07"/>
    <w:rsid w:val="00B657F3"/>
    <w:rsid w:val="00B664BF"/>
    <w:rsid w:val="00B773DF"/>
    <w:rsid w:val="00B803A5"/>
    <w:rsid w:val="00B811F7"/>
    <w:rsid w:val="00B91CC5"/>
    <w:rsid w:val="00BA2BDA"/>
    <w:rsid w:val="00BA38A9"/>
    <w:rsid w:val="00BA5DC6"/>
    <w:rsid w:val="00BA6196"/>
    <w:rsid w:val="00BA7E1E"/>
    <w:rsid w:val="00BB0184"/>
    <w:rsid w:val="00BB0944"/>
    <w:rsid w:val="00BC3677"/>
    <w:rsid w:val="00BC6D8C"/>
    <w:rsid w:val="00BE0176"/>
    <w:rsid w:val="00C16AF2"/>
    <w:rsid w:val="00C16B99"/>
    <w:rsid w:val="00C20B31"/>
    <w:rsid w:val="00C34006"/>
    <w:rsid w:val="00C426B1"/>
    <w:rsid w:val="00C61EA7"/>
    <w:rsid w:val="00C82B6B"/>
    <w:rsid w:val="00C90D6A"/>
    <w:rsid w:val="00C970B5"/>
    <w:rsid w:val="00CA2C70"/>
    <w:rsid w:val="00CB271F"/>
    <w:rsid w:val="00CB4908"/>
    <w:rsid w:val="00CC72B6"/>
    <w:rsid w:val="00CE3BCD"/>
    <w:rsid w:val="00D0218D"/>
    <w:rsid w:val="00D216CD"/>
    <w:rsid w:val="00D2774D"/>
    <w:rsid w:val="00D3058D"/>
    <w:rsid w:val="00D77B2F"/>
    <w:rsid w:val="00D85BDF"/>
    <w:rsid w:val="00DA2529"/>
    <w:rsid w:val="00DB130A"/>
    <w:rsid w:val="00DB7366"/>
    <w:rsid w:val="00DC10A1"/>
    <w:rsid w:val="00DC5061"/>
    <w:rsid w:val="00DC655F"/>
    <w:rsid w:val="00DD7EBD"/>
    <w:rsid w:val="00DF62B6"/>
    <w:rsid w:val="00DF69D7"/>
    <w:rsid w:val="00DF7546"/>
    <w:rsid w:val="00E01B41"/>
    <w:rsid w:val="00E07225"/>
    <w:rsid w:val="00E11084"/>
    <w:rsid w:val="00E155B7"/>
    <w:rsid w:val="00E40BD9"/>
    <w:rsid w:val="00E5409F"/>
    <w:rsid w:val="00E868B5"/>
    <w:rsid w:val="00E9401D"/>
    <w:rsid w:val="00E95E6B"/>
    <w:rsid w:val="00E972EC"/>
    <w:rsid w:val="00EA2C2D"/>
    <w:rsid w:val="00EA692F"/>
    <w:rsid w:val="00EB02B5"/>
    <w:rsid w:val="00EC0185"/>
    <w:rsid w:val="00EC6BDD"/>
    <w:rsid w:val="00ED404D"/>
    <w:rsid w:val="00EF23A8"/>
    <w:rsid w:val="00EF2971"/>
    <w:rsid w:val="00EF3E12"/>
    <w:rsid w:val="00EF403C"/>
    <w:rsid w:val="00F021FA"/>
    <w:rsid w:val="00F05773"/>
    <w:rsid w:val="00F31AF5"/>
    <w:rsid w:val="00F57ACA"/>
    <w:rsid w:val="00F62E97"/>
    <w:rsid w:val="00F64209"/>
    <w:rsid w:val="00F70182"/>
    <w:rsid w:val="00F74352"/>
    <w:rsid w:val="00F93BF5"/>
    <w:rsid w:val="00F96F63"/>
    <w:rsid w:val="00FA2F77"/>
    <w:rsid w:val="00FA3C7D"/>
    <w:rsid w:val="00FA54AE"/>
    <w:rsid w:val="00FB6AB9"/>
    <w:rsid w:val="00FE3D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51D9B7D-C160-4AA3-BF5D-36CEEACB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7F3"/>
    <w:pPr>
      <w:widowControl w:val="0"/>
    </w:pPr>
    <w:rPr>
      <w:snapToGrid w:val="0"/>
      <w:kern w:val="28"/>
      <w:sz w:val="22"/>
    </w:rPr>
  </w:style>
  <w:style w:type="paragraph" w:styleId="Heading1">
    <w:name w:val="heading 1"/>
    <w:basedOn w:val="Normal"/>
    <w:next w:val="ParaNum"/>
    <w:qFormat/>
    <w:rsid w:val="00B657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57F3"/>
    <w:pPr>
      <w:keepNext/>
      <w:numPr>
        <w:ilvl w:val="1"/>
        <w:numId w:val="3"/>
      </w:numPr>
      <w:spacing w:after="120"/>
      <w:outlineLvl w:val="1"/>
    </w:pPr>
    <w:rPr>
      <w:b/>
    </w:rPr>
  </w:style>
  <w:style w:type="paragraph" w:styleId="Heading3">
    <w:name w:val="heading 3"/>
    <w:basedOn w:val="Normal"/>
    <w:next w:val="ParaNum"/>
    <w:qFormat/>
    <w:rsid w:val="00B657F3"/>
    <w:pPr>
      <w:keepNext/>
      <w:numPr>
        <w:ilvl w:val="2"/>
        <w:numId w:val="3"/>
      </w:numPr>
      <w:tabs>
        <w:tab w:val="left" w:pos="2160"/>
      </w:tabs>
      <w:spacing w:after="120"/>
      <w:outlineLvl w:val="2"/>
    </w:pPr>
    <w:rPr>
      <w:b/>
    </w:rPr>
  </w:style>
  <w:style w:type="paragraph" w:styleId="Heading4">
    <w:name w:val="heading 4"/>
    <w:basedOn w:val="Normal"/>
    <w:next w:val="ParaNum"/>
    <w:qFormat/>
    <w:rsid w:val="00B657F3"/>
    <w:pPr>
      <w:keepNext/>
      <w:numPr>
        <w:ilvl w:val="3"/>
        <w:numId w:val="3"/>
      </w:numPr>
      <w:tabs>
        <w:tab w:val="left" w:pos="2880"/>
      </w:tabs>
      <w:spacing w:after="120"/>
      <w:outlineLvl w:val="3"/>
    </w:pPr>
    <w:rPr>
      <w:b/>
    </w:rPr>
  </w:style>
  <w:style w:type="paragraph" w:styleId="Heading5">
    <w:name w:val="heading 5"/>
    <w:basedOn w:val="Normal"/>
    <w:next w:val="ParaNum"/>
    <w:qFormat/>
    <w:rsid w:val="00B657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57F3"/>
    <w:pPr>
      <w:numPr>
        <w:ilvl w:val="5"/>
        <w:numId w:val="3"/>
      </w:numPr>
      <w:tabs>
        <w:tab w:val="left" w:pos="4320"/>
      </w:tabs>
      <w:spacing w:after="120"/>
      <w:outlineLvl w:val="5"/>
    </w:pPr>
    <w:rPr>
      <w:b/>
    </w:rPr>
  </w:style>
  <w:style w:type="paragraph" w:styleId="Heading7">
    <w:name w:val="heading 7"/>
    <w:basedOn w:val="Normal"/>
    <w:next w:val="ParaNum"/>
    <w:qFormat/>
    <w:rsid w:val="00B657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57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57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657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657F3"/>
  </w:style>
  <w:style w:type="paragraph" w:customStyle="1" w:styleId="ParaNum">
    <w:name w:val="ParaNum"/>
    <w:basedOn w:val="Normal"/>
    <w:rsid w:val="00B657F3"/>
    <w:pPr>
      <w:numPr>
        <w:numId w:val="2"/>
      </w:numPr>
      <w:tabs>
        <w:tab w:val="clear" w:pos="1080"/>
        <w:tab w:val="num" w:pos="1440"/>
      </w:tabs>
      <w:spacing w:after="120"/>
    </w:pPr>
  </w:style>
  <w:style w:type="paragraph" w:styleId="EndnoteText">
    <w:name w:val="endnote text"/>
    <w:basedOn w:val="Normal"/>
    <w:semiHidden/>
    <w:rsid w:val="00B657F3"/>
    <w:rPr>
      <w:sz w:val="20"/>
    </w:rPr>
  </w:style>
  <w:style w:type="character" w:styleId="EndnoteReference">
    <w:name w:val="endnote reference"/>
    <w:semiHidden/>
    <w:rsid w:val="00B657F3"/>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B657F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657F3"/>
    <w:rPr>
      <w:rFonts w:ascii="Times New Roman" w:hAnsi="Times New Roman"/>
      <w:dstrike w:val="0"/>
      <w:color w:val="auto"/>
      <w:sz w:val="22"/>
      <w:vertAlign w:val="superscript"/>
    </w:rPr>
  </w:style>
  <w:style w:type="paragraph" w:styleId="TOC1">
    <w:name w:val="toc 1"/>
    <w:basedOn w:val="Normal"/>
    <w:next w:val="Normal"/>
    <w:uiPriority w:val="39"/>
    <w:rsid w:val="00B657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657F3"/>
    <w:pPr>
      <w:tabs>
        <w:tab w:val="left" w:pos="720"/>
        <w:tab w:val="right" w:leader="dot" w:pos="9360"/>
      </w:tabs>
      <w:suppressAutoHyphens/>
      <w:ind w:left="720" w:right="720" w:hanging="360"/>
    </w:pPr>
    <w:rPr>
      <w:noProof/>
    </w:rPr>
  </w:style>
  <w:style w:type="paragraph" w:styleId="TOC3">
    <w:name w:val="toc 3"/>
    <w:basedOn w:val="Normal"/>
    <w:next w:val="Normal"/>
    <w:semiHidden/>
    <w:rsid w:val="00B657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57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57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57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57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57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57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57F3"/>
    <w:pPr>
      <w:tabs>
        <w:tab w:val="right" w:pos="9360"/>
      </w:tabs>
      <w:suppressAutoHyphens/>
    </w:pPr>
  </w:style>
  <w:style w:type="character" w:customStyle="1" w:styleId="EquationCaption">
    <w:name w:val="_Equation Caption"/>
    <w:rsid w:val="00B657F3"/>
  </w:style>
  <w:style w:type="paragraph" w:styleId="Header">
    <w:name w:val="header"/>
    <w:basedOn w:val="Normal"/>
    <w:autoRedefine/>
    <w:rsid w:val="00B657F3"/>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B657F3"/>
    <w:pPr>
      <w:tabs>
        <w:tab w:val="center" w:pos="4320"/>
        <w:tab w:val="right" w:pos="8640"/>
      </w:tabs>
    </w:pPr>
  </w:style>
  <w:style w:type="character" w:styleId="PageNumber">
    <w:name w:val="page number"/>
    <w:basedOn w:val="DefaultParagraphFont"/>
    <w:rsid w:val="00B657F3"/>
  </w:style>
  <w:style w:type="paragraph" w:styleId="BlockText">
    <w:name w:val="Block Text"/>
    <w:basedOn w:val="Normal"/>
    <w:rsid w:val="00B657F3"/>
    <w:pPr>
      <w:spacing w:after="240"/>
      <w:ind w:left="1440" w:right="1440"/>
    </w:pPr>
  </w:style>
  <w:style w:type="paragraph" w:customStyle="1" w:styleId="Paratitle">
    <w:name w:val="Para title"/>
    <w:basedOn w:val="Normal"/>
    <w:rsid w:val="00B657F3"/>
    <w:pPr>
      <w:tabs>
        <w:tab w:val="center" w:pos="9270"/>
      </w:tabs>
      <w:spacing w:after="240"/>
    </w:pPr>
    <w:rPr>
      <w:spacing w:val="-2"/>
    </w:rPr>
  </w:style>
  <w:style w:type="paragraph" w:customStyle="1" w:styleId="Bullet">
    <w:name w:val="Bullet"/>
    <w:basedOn w:val="Normal"/>
    <w:rsid w:val="00B657F3"/>
    <w:pPr>
      <w:numPr>
        <w:numId w:val="1"/>
      </w:numPr>
      <w:tabs>
        <w:tab w:val="clear" w:pos="360"/>
        <w:tab w:val="left" w:pos="2160"/>
      </w:tabs>
      <w:spacing w:after="220"/>
      <w:ind w:left="2160" w:hanging="720"/>
    </w:pPr>
  </w:style>
  <w:style w:type="paragraph" w:customStyle="1" w:styleId="TableFormat">
    <w:name w:val="TableFormat"/>
    <w:basedOn w:val="Bullet"/>
    <w:rsid w:val="00B657F3"/>
    <w:pPr>
      <w:numPr>
        <w:numId w:val="0"/>
      </w:numPr>
      <w:tabs>
        <w:tab w:val="clear" w:pos="2160"/>
        <w:tab w:val="left" w:pos="5040"/>
      </w:tabs>
      <w:ind w:left="5040" w:hanging="3600"/>
    </w:pPr>
  </w:style>
  <w:style w:type="paragraph" w:customStyle="1" w:styleId="TOCTitle">
    <w:name w:val="TOC Title"/>
    <w:basedOn w:val="Normal"/>
    <w:rsid w:val="00B657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57F3"/>
    <w:pPr>
      <w:jc w:val="center"/>
    </w:pPr>
    <w:rPr>
      <w:rFonts w:ascii="Times New Roman Bold" w:hAnsi="Times New Roman Bold"/>
      <w:b/>
      <w:bCs/>
      <w:caps/>
      <w:szCs w:val="22"/>
    </w:rPr>
  </w:style>
  <w:style w:type="character" w:styleId="Hyperlink">
    <w:name w:val="Hyperlink"/>
    <w:rsid w:val="00B657F3"/>
    <w:rPr>
      <w:color w:val="0000FF"/>
      <w:u w:val="single"/>
    </w:rPr>
  </w:style>
  <w:style w:type="character" w:customStyle="1" w:styleId="FooterChar">
    <w:name w:val="Footer Char"/>
    <w:link w:val="Footer"/>
    <w:uiPriority w:val="99"/>
    <w:rsid w:val="00B657F3"/>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A726A1"/>
  </w:style>
  <w:style w:type="paragraph" w:styleId="BalloonText">
    <w:name w:val="Balloon Text"/>
    <w:basedOn w:val="Normal"/>
    <w:link w:val="BalloonTextChar"/>
    <w:uiPriority w:val="99"/>
    <w:semiHidden/>
    <w:unhideWhenUsed/>
    <w:rsid w:val="00AE74C7"/>
    <w:rPr>
      <w:rFonts w:ascii="Segoe UI" w:hAnsi="Segoe UI" w:cs="Segoe UI"/>
      <w:sz w:val="18"/>
      <w:szCs w:val="18"/>
    </w:rPr>
  </w:style>
  <w:style w:type="character" w:customStyle="1" w:styleId="BalloonTextChar">
    <w:name w:val="Balloon Text Char"/>
    <w:link w:val="BalloonText"/>
    <w:uiPriority w:val="99"/>
    <w:semiHidden/>
    <w:rsid w:val="00AE74C7"/>
    <w:rPr>
      <w:rFonts w:ascii="Segoe UI" w:hAnsi="Segoe UI" w:cs="Segoe UI"/>
      <w:snapToGrid w:val="0"/>
      <w:kern w:val="28"/>
      <w:sz w:val="18"/>
      <w:szCs w:val="18"/>
    </w:rPr>
  </w:style>
  <w:style w:type="character" w:styleId="CommentReference">
    <w:name w:val="annotation reference"/>
    <w:uiPriority w:val="99"/>
    <w:semiHidden/>
    <w:unhideWhenUsed/>
    <w:rsid w:val="005B41A8"/>
    <w:rPr>
      <w:sz w:val="16"/>
      <w:szCs w:val="16"/>
    </w:rPr>
  </w:style>
  <w:style w:type="paragraph" w:styleId="CommentText">
    <w:name w:val="annotation text"/>
    <w:basedOn w:val="Normal"/>
    <w:link w:val="CommentTextChar"/>
    <w:uiPriority w:val="99"/>
    <w:semiHidden/>
    <w:unhideWhenUsed/>
    <w:rsid w:val="005B41A8"/>
    <w:rPr>
      <w:sz w:val="20"/>
    </w:rPr>
  </w:style>
  <w:style w:type="character" w:customStyle="1" w:styleId="CommentTextChar">
    <w:name w:val="Comment Text Char"/>
    <w:link w:val="CommentText"/>
    <w:uiPriority w:val="99"/>
    <w:semiHidden/>
    <w:rsid w:val="005B41A8"/>
    <w:rPr>
      <w:snapToGrid w:val="0"/>
      <w:kern w:val="28"/>
    </w:rPr>
  </w:style>
  <w:style w:type="paragraph" w:styleId="CommentSubject">
    <w:name w:val="annotation subject"/>
    <w:basedOn w:val="CommentText"/>
    <w:next w:val="CommentText"/>
    <w:link w:val="CommentSubjectChar"/>
    <w:uiPriority w:val="99"/>
    <w:semiHidden/>
    <w:unhideWhenUsed/>
    <w:rsid w:val="005B41A8"/>
    <w:rPr>
      <w:b/>
      <w:bCs/>
    </w:rPr>
  </w:style>
  <w:style w:type="character" w:customStyle="1" w:styleId="CommentSubjectChar">
    <w:name w:val="Comment Subject Char"/>
    <w:link w:val="CommentSubject"/>
    <w:uiPriority w:val="99"/>
    <w:semiHidden/>
    <w:rsid w:val="005B41A8"/>
    <w:rPr>
      <w:b/>
      <w:bCs/>
      <w:snapToGrid w:val="0"/>
      <w:kern w:val="28"/>
    </w:rPr>
  </w:style>
  <w:style w:type="character" w:customStyle="1" w:styleId="UnresolvedMention">
    <w:name w:val="Unresolved Mention"/>
    <w:uiPriority w:val="99"/>
    <w:rsid w:val="00107BB2"/>
    <w:rPr>
      <w:color w:val="605E5C"/>
      <w:shd w:val="clear" w:color="auto" w:fill="E1DFDD"/>
    </w:rPr>
  </w:style>
  <w:style w:type="paragraph" w:styleId="Revision">
    <w:name w:val="Revision"/>
    <w:hidden/>
    <w:uiPriority w:val="99"/>
    <w:semiHidden/>
    <w:rsid w:val="004C14A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imburse@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bout-fcc/fcc-initiatives/incentive-auctions/reimbursement"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