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263E7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A19842" w14:textId="77777777">
      <w:pPr>
        <w:pStyle w:val="StyleBoldCentered"/>
      </w:pPr>
      <w:r>
        <w:t>F</w:t>
      </w:r>
      <w:r>
        <w:rPr>
          <w:caps w:val="0"/>
        </w:rPr>
        <w:t>ederal Communications Commission</w:t>
      </w:r>
    </w:p>
    <w:p w:rsidR="004C2EE3" w:rsidP="00096D8C" w14:paraId="4B5AEABA" w14:textId="77777777">
      <w:pPr>
        <w:pStyle w:val="StyleBoldCentered"/>
      </w:pPr>
      <w:r>
        <w:rPr>
          <w:caps w:val="0"/>
        </w:rPr>
        <w:t>Washington, D.C. 20554</w:t>
      </w:r>
    </w:p>
    <w:p w:rsidR="004C2EE3" w:rsidP="0070224F" w14:paraId="66671B73" w14:textId="77777777"/>
    <w:tbl>
      <w:tblPr>
        <w:tblW w:w="0" w:type="auto"/>
        <w:tblLayout w:type="fixed"/>
        <w:tblLook w:val="0000"/>
      </w:tblPr>
      <w:tblGrid>
        <w:gridCol w:w="4698"/>
        <w:gridCol w:w="630"/>
        <w:gridCol w:w="4248"/>
      </w:tblGrid>
      <w:tr w14:paraId="03E56418" w14:textId="77777777">
        <w:tblPrEx>
          <w:tblW w:w="0" w:type="auto"/>
          <w:tblLayout w:type="fixed"/>
          <w:tblLook w:val="0000"/>
        </w:tblPrEx>
        <w:tc>
          <w:tcPr>
            <w:tcW w:w="4698" w:type="dxa"/>
          </w:tcPr>
          <w:p w:rsidR="00474268" w:rsidRPr="00474268" w:rsidP="00474268" w14:paraId="7E8007F3" w14:textId="77777777">
            <w:pPr>
              <w:tabs>
                <w:tab w:val="center" w:pos="4680"/>
              </w:tabs>
              <w:suppressAutoHyphens/>
              <w:rPr>
                <w:spacing w:val="-2"/>
              </w:rPr>
            </w:pPr>
            <w:r w:rsidRPr="00474268">
              <w:rPr>
                <w:spacing w:val="-2"/>
              </w:rPr>
              <w:t xml:space="preserve">In re Application of  </w:t>
            </w:r>
          </w:p>
          <w:p w:rsidR="00474268" w:rsidRPr="00474268" w:rsidP="00474268" w14:paraId="10BDFE53" w14:textId="77777777">
            <w:pPr>
              <w:tabs>
                <w:tab w:val="center" w:pos="4680"/>
              </w:tabs>
              <w:suppressAutoHyphens/>
              <w:rPr>
                <w:spacing w:val="-2"/>
              </w:rPr>
            </w:pPr>
          </w:p>
          <w:p w:rsidR="001E11CB" w:rsidRPr="001E11CB" w:rsidP="001E11CB" w14:paraId="29B97D94" w14:textId="77777777">
            <w:pPr>
              <w:tabs>
                <w:tab w:val="center" w:pos="4680"/>
              </w:tabs>
              <w:suppressAutoHyphens/>
              <w:rPr>
                <w:b/>
                <w:bCs/>
                <w:spacing w:val="-2"/>
              </w:rPr>
            </w:pPr>
            <w:r w:rsidRPr="001E11CB">
              <w:rPr>
                <w:b/>
                <w:bCs/>
                <w:spacing w:val="-2"/>
              </w:rPr>
              <w:t>Lighthouse Ministries of Northwest Ohio</w:t>
            </w:r>
          </w:p>
          <w:p w:rsidR="00474268" w:rsidRPr="00474268" w:rsidP="00474268" w14:paraId="1B72C86B" w14:textId="77777777">
            <w:pPr>
              <w:tabs>
                <w:tab w:val="center" w:pos="4680"/>
              </w:tabs>
              <w:suppressAutoHyphens/>
              <w:rPr>
                <w:spacing w:val="-2"/>
              </w:rPr>
            </w:pPr>
          </w:p>
          <w:p w:rsidR="00474268" w:rsidRPr="00474268" w:rsidP="00474268" w14:paraId="1D7F80D2" w14:textId="77777777">
            <w:pPr>
              <w:tabs>
                <w:tab w:val="center" w:pos="4680"/>
              </w:tabs>
              <w:suppressAutoHyphens/>
              <w:rPr>
                <w:spacing w:val="-2"/>
              </w:rPr>
            </w:pPr>
            <w:r w:rsidRPr="00474268">
              <w:rPr>
                <w:spacing w:val="-2"/>
              </w:rPr>
              <w:t>For Renewal of License for</w:t>
            </w:r>
          </w:p>
          <w:p w:rsidR="001E11CB" w:rsidRPr="001E11CB" w:rsidP="001E11CB" w14:paraId="532BBBC1" w14:textId="77777777">
            <w:pPr>
              <w:tabs>
                <w:tab w:val="center" w:pos="4680"/>
              </w:tabs>
              <w:suppressAutoHyphens/>
              <w:rPr>
                <w:b/>
                <w:spacing w:val="-2"/>
              </w:rPr>
            </w:pPr>
            <w:r w:rsidRPr="001E11CB">
              <w:rPr>
                <w:spacing w:val="-2"/>
              </w:rPr>
              <w:t>Station WKJH-LP</w:t>
            </w:r>
          </w:p>
          <w:p w:rsidR="004C2EE3" w:rsidRPr="007115F7" w:rsidP="00474268" w14:paraId="29E89B9F" w14:textId="590C6D2E">
            <w:pPr>
              <w:tabs>
                <w:tab w:val="center" w:pos="4680"/>
              </w:tabs>
              <w:suppressAutoHyphens/>
              <w:rPr>
                <w:spacing w:val="-2"/>
              </w:rPr>
            </w:pPr>
            <w:r w:rsidRPr="001E11CB">
              <w:rPr>
                <w:spacing w:val="-2"/>
              </w:rPr>
              <w:t>Bryan, Ohio</w:t>
            </w:r>
          </w:p>
        </w:tc>
        <w:tc>
          <w:tcPr>
            <w:tcW w:w="630" w:type="dxa"/>
          </w:tcPr>
          <w:p w:rsidR="004C2EE3" w14:paraId="5BA6FF12" w14:textId="77777777">
            <w:pPr>
              <w:tabs>
                <w:tab w:val="center" w:pos="4680"/>
              </w:tabs>
              <w:suppressAutoHyphens/>
              <w:rPr>
                <w:b/>
                <w:spacing w:val="-2"/>
              </w:rPr>
            </w:pPr>
            <w:r>
              <w:rPr>
                <w:b/>
                <w:spacing w:val="-2"/>
              </w:rPr>
              <w:t>)</w:t>
            </w:r>
          </w:p>
          <w:p w:rsidR="004C2EE3" w14:paraId="30944D5A" w14:textId="77777777">
            <w:pPr>
              <w:tabs>
                <w:tab w:val="center" w:pos="4680"/>
              </w:tabs>
              <w:suppressAutoHyphens/>
              <w:rPr>
                <w:b/>
                <w:spacing w:val="-2"/>
              </w:rPr>
            </w:pPr>
            <w:r>
              <w:rPr>
                <w:b/>
                <w:spacing w:val="-2"/>
              </w:rPr>
              <w:t>)</w:t>
            </w:r>
          </w:p>
          <w:p w:rsidR="004C2EE3" w14:paraId="44683A2E" w14:textId="77777777">
            <w:pPr>
              <w:tabs>
                <w:tab w:val="center" w:pos="4680"/>
              </w:tabs>
              <w:suppressAutoHyphens/>
              <w:rPr>
                <w:b/>
                <w:spacing w:val="-2"/>
              </w:rPr>
            </w:pPr>
            <w:r>
              <w:rPr>
                <w:b/>
                <w:spacing w:val="-2"/>
              </w:rPr>
              <w:t>)</w:t>
            </w:r>
          </w:p>
          <w:p w:rsidR="004C2EE3" w14:paraId="6D8CD14C" w14:textId="77777777">
            <w:pPr>
              <w:tabs>
                <w:tab w:val="center" w:pos="4680"/>
              </w:tabs>
              <w:suppressAutoHyphens/>
              <w:rPr>
                <w:b/>
                <w:spacing w:val="-2"/>
              </w:rPr>
            </w:pPr>
            <w:r>
              <w:rPr>
                <w:b/>
                <w:spacing w:val="-2"/>
              </w:rPr>
              <w:t>)</w:t>
            </w:r>
          </w:p>
          <w:p w:rsidR="004C2EE3" w14:paraId="4E46419A" w14:textId="77777777">
            <w:pPr>
              <w:tabs>
                <w:tab w:val="center" w:pos="4680"/>
              </w:tabs>
              <w:suppressAutoHyphens/>
              <w:rPr>
                <w:b/>
                <w:spacing w:val="-2"/>
              </w:rPr>
            </w:pPr>
            <w:r>
              <w:rPr>
                <w:b/>
                <w:spacing w:val="-2"/>
              </w:rPr>
              <w:t>)</w:t>
            </w:r>
          </w:p>
          <w:p w:rsidR="004C2EE3" w14:paraId="784F877C" w14:textId="77777777">
            <w:pPr>
              <w:tabs>
                <w:tab w:val="center" w:pos="4680"/>
              </w:tabs>
              <w:suppressAutoHyphens/>
              <w:rPr>
                <w:b/>
                <w:spacing w:val="-2"/>
              </w:rPr>
            </w:pPr>
            <w:r>
              <w:rPr>
                <w:b/>
                <w:spacing w:val="-2"/>
              </w:rPr>
              <w:t>)</w:t>
            </w:r>
          </w:p>
          <w:p w:rsidR="004C2EE3" w:rsidRPr="00474268" w14:paraId="12BAF059" w14:textId="104883C7">
            <w:pPr>
              <w:tabs>
                <w:tab w:val="center" w:pos="4680"/>
              </w:tabs>
              <w:suppressAutoHyphens/>
              <w:rPr>
                <w:b/>
                <w:spacing w:val="-2"/>
              </w:rPr>
            </w:pPr>
            <w:r>
              <w:rPr>
                <w:b/>
                <w:spacing w:val="-2"/>
              </w:rPr>
              <w:t>)</w:t>
            </w:r>
          </w:p>
        </w:tc>
        <w:tc>
          <w:tcPr>
            <w:tcW w:w="4248" w:type="dxa"/>
          </w:tcPr>
          <w:p w:rsidR="004C2EE3" w14:paraId="28A34B58" w14:textId="77777777">
            <w:pPr>
              <w:tabs>
                <w:tab w:val="center" w:pos="4680"/>
              </w:tabs>
              <w:suppressAutoHyphens/>
              <w:rPr>
                <w:spacing w:val="-2"/>
              </w:rPr>
            </w:pPr>
          </w:p>
          <w:p w:rsidR="004C2EE3" w14:paraId="1B8E2D9D" w14:textId="77777777">
            <w:pPr>
              <w:pStyle w:val="TOAHeading"/>
              <w:tabs>
                <w:tab w:val="center" w:pos="4680"/>
                <w:tab w:val="clear" w:pos="9360"/>
              </w:tabs>
              <w:rPr>
                <w:spacing w:val="-2"/>
              </w:rPr>
            </w:pPr>
          </w:p>
          <w:p w:rsidR="001E11CB" w:rsidRPr="001E11CB" w:rsidP="001E11CB" w14:paraId="3BCA5FB0" w14:textId="77777777">
            <w:pPr>
              <w:pStyle w:val="TOAHeading"/>
              <w:rPr>
                <w:spacing w:val="-2"/>
              </w:rPr>
            </w:pPr>
            <w:r w:rsidRPr="001E11CB">
              <w:rPr>
                <w:spacing w:val="-2"/>
              </w:rPr>
              <w:t>Facility ID No. 131382</w:t>
            </w:r>
          </w:p>
          <w:p w:rsidR="001E11CB" w:rsidRPr="001E11CB" w:rsidP="001E11CB" w14:paraId="5DC5B402" w14:textId="77777777">
            <w:pPr>
              <w:pStyle w:val="TOAHeading"/>
              <w:rPr>
                <w:spacing w:val="-2"/>
              </w:rPr>
            </w:pPr>
            <w:r w:rsidRPr="001E11CB">
              <w:rPr>
                <w:spacing w:val="-2"/>
              </w:rPr>
              <w:t>NAL/Acct. No. MB-202141410021</w:t>
            </w:r>
          </w:p>
          <w:p w:rsidR="001E11CB" w:rsidRPr="001E11CB" w:rsidP="001E11CB" w14:paraId="04979F1A" w14:textId="77777777">
            <w:pPr>
              <w:pStyle w:val="TOAHeading"/>
              <w:rPr>
                <w:spacing w:val="-2"/>
              </w:rPr>
            </w:pPr>
            <w:r w:rsidRPr="001E11CB">
              <w:rPr>
                <w:spacing w:val="-2"/>
              </w:rPr>
              <w:t>FRN:  0006097810</w:t>
            </w:r>
          </w:p>
          <w:p w:rsidR="004C2EE3" w:rsidP="00C35831" w14:paraId="38788DD1" w14:textId="6DA0C09E">
            <w:pPr>
              <w:tabs>
                <w:tab w:val="center" w:pos="4680"/>
              </w:tabs>
              <w:suppressAutoHyphens/>
              <w:rPr>
                <w:spacing w:val="-2"/>
              </w:rPr>
            </w:pPr>
            <w:r w:rsidRPr="001E11CB">
              <w:rPr>
                <w:spacing w:val="-2"/>
              </w:rPr>
              <w:t>File No</w:t>
            </w:r>
            <w:bookmarkStart w:id="0" w:name="_Hlk41742021"/>
            <w:r w:rsidRPr="001E11CB">
              <w:rPr>
                <w:spacing w:val="-2"/>
              </w:rPr>
              <w:t xml:space="preserve">. </w:t>
            </w:r>
            <w:bookmarkEnd w:id="0"/>
            <w:r w:rsidRPr="009D5E8E" w:rsidR="009D5E8E">
              <w:rPr>
                <w:spacing w:val="-2"/>
              </w:rPr>
              <w:t>0000125074</w:t>
            </w:r>
          </w:p>
        </w:tc>
      </w:tr>
    </w:tbl>
    <w:p w:rsidR="004C2EE3" w:rsidP="0070224F" w14:paraId="123DA60B" w14:textId="77777777"/>
    <w:p w:rsidR="00841AB1" w:rsidP="00F021FA" w14:paraId="6217A5BF" w14:textId="0C06A0E8">
      <w:pPr>
        <w:pStyle w:val="StyleBoldCentered"/>
      </w:pPr>
      <w:r>
        <w:t>ORDER</w:t>
      </w:r>
    </w:p>
    <w:p w:rsidR="004C2EE3" w14:paraId="403E819B" w14:textId="77777777">
      <w:pPr>
        <w:tabs>
          <w:tab w:val="left" w:pos="-720"/>
        </w:tabs>
        <w:suppressAutoHyphens/>
        <w:spacing w:line="227" w:lineRule="auto"/>
        <w:rPr>
          <w:spacing w:val="-2"/>
        </w:rPr>
      </w:pPr>
    </w:p>
    <w:p w:rsidR="004C2EE3" w:rsidP="00133F79" w14:paraId="38FEDC65" w14:textId="74C579D4">
      <w:pPr>
        <w:tabs>
          <w:tab w:val="left" w:pos="720"/>
          <w:tab w:val="right" w:pos="9360"/>
        </w:tabs>
        <w:suppressAutoHyphens/>
        <w:spacing w:line="227" w:lineRule="auto"/>
        <w:rPr>
          <w:spacing w:val="-2"/>
        </w:rPr>
      </w:pPr>
      <w:r>
        <w:rPr>
          <w:b/>
          <w:spacing w:val="-2"/>
        </w:rPr>
        <w:t xml:space="preserve">Adopted:  </w:t>
      </w:r>
      <w:r w:rsidR="003E30AA">
        <w:rPr>
          <w:b/>
          <w:spacing w:val="-2"/>
        </w:rPr>
        <w:t>April 13,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E30AA">
        <w:rPr>
          <w:b/>
          <w:spacing w:val="-2"/>
        </w:rPr>
        <w:t>April 13, 2021</w:t>
      </w:r>
    </w:p>
    <w:p w:rsidR="00822CE0" w14:paraId="2459D44D" w14:textId="77777777"/>
    <w:p w:rsidR="004C2EE3" w14:paraId="25325DFF" w14:textId="62096A70">
      <w:pPr>
        <w:rPr>
          <w:spacing w:val="-2"/>
        </w:rPr>
      </w:pPr>
      <w:r>
        <w:t xml:space="preserve">By </w:t>
      </w:r>
      <w:r w:rsidR="004E4A22">
        <w:t>the</w:t>
      </w:r>
      <w:r w:rsidR="002A2D2E">
        <w:t xml:space="preserve"> </w:t>
      </w:r>
      <w:r w:rsidR="00474268">
        <w:rPr>
          <w:spacing w:val="-2"/>
        </w:rPr>
        <w:t>Chief, Audio Division, Media Bureau</w:t>
      </w:r>
      <w:r>
        <w:rPr>
          <w:spacing w:val="-2"/>
        </w:rPr>
        <w:t>:</w:t>
      </w:r>
    </w:p>
    <w:p w:rsidR="00822CE0" w14:paraId="184CD92E" w14:textId="77777777">
      <w:pPr>
        <w:rPr>
          <w:spacing w:val="-2"/>
        </w:rPr>
      </w:pPr>
    </w:p>
    <w:p w:rsidR="00474268" w:rsidP="00474268" w14:paraId="05519D87" w14:textId="3B442C8E">
      <w:pPr>
        <w:pStyle w:val="Heading1"/>
      </w:pPr>
      <w:r>
        <w:t>INTRODUCTION</w:t>
      </w:r>
    </w:p>
    <w:p w:rsidR="00474268" w:rsidRPr="00EA4002" w:rsidP="00474268" w14:paraId="21579398" w14:textId="7C3B4F3E">
      <w:pPr>
        <w:pStyle w:val="ParaNum"/>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rsidR="007F2558">
        <w:t>Lighthouse Ministries of Northwest Ohio</w:t>
      </w:r>
      <w:r w:rsidRPr="00474268">
        <w:t xml:space="preserve"> (Licensee), licensee of </w:t>
      </w:r>
      <w:r w:rsidR="00C35831">
        <w:t xml:space="preserve">Station </w:t>
      </w:r>
      <w:r w:rsidR="007F2558">
        <w:t>WKJH-LP, Bryan, Ohio</w:t>
      </w:r>
      <w:r w:rsidRPr="00474268">
        <w:t xml:space="preserve"> (Station), for apparently willfully violating section 73.3539 of the Commission’s rules (Rules) by failing to timely file a license renewal application for the Station</w:t>
      </w:r>
      <w:r w:rsidRPr="001E11CB" w:rsidR="001E11CB">
        <w:t xml:space="preserve">, and willfully and repeatedly violated section 301 of the </w:t>
      </w:r>
      <w:r w:rsidR="001E11CB">
        <w:t xml:space="preserve">Communications </w:t>
      </w:r>
      <w:r w:rsidRPr="001E11CB" w:rsidR="001E11CB">
        <w:t>Act</w:t>
      </w:r>
      <w:r w:rsidR="001E11CB">
        <w:t xml:space="preserve"> of 1934, as amended,</w:t>
      </w:r>
      <w:r>
        <w:rPr>
          <w:vertAlign w:val="superscript"/>
        </w:rPr>
        <w:footnoteReference w:id="4"/>
      </w:r>
      <w:r w:rsidRPr="001E11CB" w:rsidR="001E11CB">
        <w:t xml:space="preserve"> by engaging in unauthorized operation of the Station after its authorization had expired</w:t>
      </w:r>
      <w:r w:rsidRPr="00474268">
        <w:t xml:space="preserve">. </w:t>
      </w:r>
      <w:r w:rsidR="000820BC">
        <w:t xml:space="preserve"> </w:t>
      </w:r>
      <w:r w:rsidRPr="00474268">
        <w:t xml:space="preserve">As discussed below, we cancel the forfeiture and instead admonish Licensee for the </w:t>
      </w:r>
      <w:r w:rsidRPr="00EA4002">
        <w:t>violation</w:t>
      </w:r>
      <w:r w:rsidRPr="00EA4002" w:rsidR="00EB3CD9">
        <w:t>s</w:t>
      </w:r>
      <w:r w:rsidRPr="00EA4002">
        <w:t>.</w:t>
      </w:r>
    </w:p>
    <w:p w:rsidR="00474268" w:rsidRPr="00474268" w:rsidP="00474268" w14:paraId="37C5FDF1" w14:textId="77777777">
      <w:pPr>
        <w:pStyle w:val="Heading1"/>
      </w:pPr>
      <w:r w:rsidRPr="00474268">
        <w:t>BACKGROUND</w:t>
      </w:r>
    </w:p>
    <w:p w:rsidR="00A35A37" w:rsidRPr="00A35A37" w:rsidP="00A35A37" w14:paraId="7B557B47" w14:textId="7E834A75">
      <w:pPr>
        <w:pStyle w:val="ParaNum"/>
      </w:pPr>
      <w:r w:rsidRPr="00A35A37">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Pr="00A35A37">
        <w:t xml:space="preserve">  An application for renewal of the Station’s license should have been filed by </w:t>
      </w:r>
      <w:r w:rsidR="001E11CB">
        <w:t>June</w:t>
      </w:r>
      <w:r w:rsidRPr="00A35A37" w:rsidR="001E11CB">
        <w:t xml:space="preserve"> </w:t>
      </w:r>
      <w:r w:rsidRPr="00A35A37">
        <w:t xml:space="preserve">1, 2020, the first day of the fourth full calendar month prior to the Station’s license expiration date of </w:t>
      </w:r>
      <w:r w:rsidR="001E11CB">
        <w:t>October 1</w:t>
      </w:r>
      <w:r w:rsidRPr="00A35A37">
        <w:t>, 2020.</w:t>
      </w:r>
      <w:r>
        <w:rPr>
          <w:rStyle w:val="FootnoteReference"/>
          <w:szCs w:val="22"/>
        </w:rPr>
        <w:footnoteReference w:id="6"/>
      </w:r>
      <w:r w:rsidRPr="00A35A37">
        <w:t xml:space="preserve">  </w:t>
      </w:r>
      <w:r w:rsidRPr="001E11CB" w:rsidR="001E11CB">
        <w:t>Accordingly, on September 4, 2020, the staff, by Public Notice, notified the Licensee that the Station’s license would expire on October 1, 2020, if no renewal application was filed by midnight that day.</w:t>
      </w:r>
      <w:r>
        <w:rPr>
          <w:vertAlign w:val="superscript"/>
        </w:rPr>
        <w:footnoteReference w:id="7"/>
      </w:r>
      <w:r w:rsidRPr="001E11CB" w:rsidR="001E11CB">
        <w:rPr>
          <w:vertAlign w:val="superscript"/>
        </w:rPr>
        <w:t xml:space="preserve"> </w:t>
      </w:r>
      <w:r w:rsidRPr="001E11CB" w:rsidR="001E11CB">
        <w:t xml:space="preserve"> Licensee did not file a renewal application, and the Bureau issued a Public Notice announcing the Station’s license had expired.</w:t>
      </w:r>
      <w:r>
        <w:rPr>
          <w:vertAlign w:val="superscript"/>
        </w:rPr>
        <w:footnoteReference w:id="8"/>
      </w:r>
      <w:r w:rsidR="001E11CB">
        <w:t xml:space="preserve">  </w:t>
      </w:r>
      <w:r w:rsidRPr="001E11CB" w:rsidR="001E11CB">
        <w:t>On October 27, 2020, Licensee filed the Application</w:t>
      </w:r>
      <w:r w:rsidR="00EB3CD9">
        <w:t xml:space="preserve"> and a Petition for Reconsideration requesting reinstatement of the Station’s license</w:t>
      </w:r>
      <w:r w:rsidRPr="001E11CB" w:rsidR="001E11CB">
        <w:t>.</w:t>
      </w:r>
      <w:r>
        <w:rPr>
          <w:rStyle w:val="FootnoteReference"/>
        </w:rPr>
        <w:footnoteReference w:id="9"/>
      </w:r>
      <w:r w:rsidRPr="001E11CB" w:rsidR="001E11CB">
        <w:t xml:space="preserve">  </w:t>
      </w:r>
    </w:p>
    <w:p w:rsidR="00A35A37" w:rsidRPr="00A35A37" w:rsidP="009D5E8E" w14:paraId="7ADC9538" w14:textId="56D126E0">
      <w:pPr>
        <w:pStyle w:val="ParaNum"/>
        <w:widowControl/>
        <w:rPr>
          <w:szCs w:val="22"/>
        </w:rPr>
      </w:pPr>
      <w:r w:rsidRPr="002007ED">
        <w:rPr>
          <w:szCs w:val="22"/>
        </w:rPr>
        <w:t xml:space="preserve">Accordingly, on </w:t>
      </w:r>
      <w:r w:rsidR="001E11CB">
        <w:rPr>
          <w:szCs w:val="22"/>
        </w:rPr>
        <w:t>March 8</w:t>
      </w:r>
      <w:r>
        <w:rPr>
          <w:szCs w:val="22"/>
        </w:rPr>
        <w:t>, 2021</w:t>
      </w:r>
      <w:r w:rsidRPr="002007ED">
        <w:rPr>
          <w:szCs w:val="22"/>
        </w:rPr>
        <w:t xml:space="preserve">, we released the </w:t>
      </w:r>
      <w:r w:rsidRPr="002007ED">
        <w:rPr>
          <w:i/>
          <w:iCs/>
          <w:szCs w:val="22"/>
        </w:rPr>
        <w:t>NAL</w:t>
      </w:r>
      <w:r w:rsidRPr="002007ED">
        <w:rPr>
          <w:szCs w:val="22"/>
        </w:rPr>
        <w:t xml:space="preserve">, which proposed a forfeiture of </w:t>
      </w:r>
      <w:r w:rsidR="00C4039E">
        <w:rPr>
          <w:szCs w:val="22"/>
        </w:rPr>
        <w:t>three thousand</w:t>
      </w:r>
      <w:r>
        <w:rPr>
          <w:szCs w:val="22"/>
        </w:rPr>
        <w:t xml:space="preserve"> </w:t>
      </w:r>
      <w:r w:rsidRPr="002007ED">
        <w:rPr>
          <w:szCs w:val="22"/>
        </w:rPr>
        <w:t>dollars ($</w:t>
      </w:r>
      <w:r w:rsidR="00C4039E">
        <w:rPr>
          <w:szCs w:val="22"/>
        </w:rPr>
        <w:t>3,</w:t>
      </w:r>
      <w:r w:rsidR="009D5E8E">
        <w:rPr>
          <w:szCs w:val="22"/>
        </w:rPr>
        <w:t>5</w:t>
      </w:r>
      <w:r w:rsidRPr="002007ED">
        <w:rPr>
          <w:szCs w:val="22"/>
        </w:rPr>
        <w:t xml:space="preserve">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10"/>
      </w:r>
      <w:r w:rsidRPr="002007ED">
        <w:rPr>
          <w:szCs w:val="22"/>
        </w:rPr>
        <w:t xml:space="preserve">  </w:t>
      </w:r>
    </w:p>
    <w:p w:rsidR="00A35A37" w:rsidRPr="00474268" w:rsidP="00A35A37" w14:paraId="6B57184B" w14:textId="30CD3073">
      <w:pPr>
        <w:pStyle w:val="ParaNum"/>
      </w:pPr>
      <w:r w:rsidRPr="00A35A37">
        <w:t xml:space="preserve">On </w:t>
      </w:r>
      <w:r w:rsidR="001E11CB">
        <w:t>March 31</w:t>
      </w:r>
      <w:r w:rsidRPr="00A35A37">
        <w:t>, 2021, the Licensee submitted a written response in which it requested that we cancel the proposed forfeiture based on the Licensee’s inability to pay it.</w:t>
      </w:r>
      <w:r>
        <w:rPr>
          <w:vertAlign w:val="superscript"/>
        </w:rPr>
        <w:footnoteReference w:id="11"/>
      </w:r>
      <w:r>
        <w:t xml:space="preserve">  </w:t>
      </w:r>
      <w:r w:rsidRPr="00474268" w:rsidR="00474268">
        <w:t xml:space="preserve">The Response included copies of Licensee’s </w:t>
      </w:r>
      <w:r w:rsidR="001E11CB">
        <w:t>financial statements</w:t>
      </w:r>
      <w:r w:rsidRPr="00474268" w:rsidR="00474268">
        <w:t xml:space="preserve"> in support of this request.</w:t>
      </w:r>
    </w:p>
    <w:p w:rsidR="00474268" w:rsidRPr="00474268" w:rsidP="00474268" w14:paraId="7B531C69" w14:textId="77777777">
      <w:pPr>
        <w:pStyle w:val="Heading1"/>
      </w:pPr>
      <w:r w:rsidRPr="00474268">
        <w:t>DISCUSSION</w:t>
      </w:r>
    </w:p>
    <w:p w:rsidR="00474268" w:rsidRPr="00EA4002" w:rsidP="000820BC" w14:paraId="3E75D085" w14:textId="705C55C5">
      <w:pPr>
        <w:pStyle w:val="ParaNum"/>
        <w:widowControl/>
      </w:pPr>
      <w:r w:rsidRPr="00474268">
        <w:t xml:space="preserve">As noted in the </w:t>
      </w:r>
      <w:r w:rsidRPr="00474268">
        <w:rPr>
          <w:i/>
          <w:iCs/>
        </w:rPr>
        <w:t>NAL</w:t>
      </w:r>
      <w:r w:rsidRPr="00474268">
        <w:t>,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vertAlign w:val="superscript"/>
        </w:rPr>
        <w:footnoteReference w:id="12"/>
      </w:r>
      <w:r w:rsidRPr="00474268">
        <w:t xml:space="preserve">  We accept Licensee’s showing</w:t>
      </w:r>
      <w:r w:rsidR="0032346C">
        <w:t xml:space="preserve">—based on its </w:t>
      </w:r>
      <w:r w:rsidR="0009120E">
        <w:t>financial s</w:t>
      </w:r>
      <w:r w:rsidR="00EA4002">
        <w:t>t</w:t>
      </w:r>
      <w:r w:rsidR="0009120E">
        <w:t>atements</w:t>
      </w:r>
      <w:r w:rsidR="0032346C">
        <w:t>—</w:t>
      </w:r>
      <w:r w:rsidRPr="00474268">
        <w:t xml:space="preserve">that payment of the proposed forfeiture would create a financial hardship. </w:t>
      </w:r>
      <w:r w:rsidR="000820BC">
        <w:t xml:space="preserve"> </w:t>
      </w:r>
      <w:r w:rsidRPr="00474268">
        <w:t xml:space="preserve">Accordingly, we will cancel the proposed forfeiture.  However, we admonish Licensee for its willful violation of section 73.3539 of the </w:t>
      </w:r>
      <w:r w:rsidRPr="00EA4002">
        <w:t>Rules</w:t>
      </w:r>
      <w:r w:rsidRPr="00EA4002" w:rsidR="007F2558">
        <w:t xml:space="preserve"> and section 301 of the Act</w:t>
      </w:r>
      <w:r w:rsidRPr="00EA4002">
        <w:t>.</w:t>
      </w:r>
    </w:p>
    <w:p w:rsidR="00474268" w:rsidRPr="00EA4002" w:rsidP="00474268" w14:paraId="48CD5934" w14:textId="77777777">
      <w:pPr>
        <w:pStyle w:val="Heading1"/>
      </w:pPr>
      <w:r w:rsidRPr="00EA4002">
        <w:t>ORDERING CLAUSES</w:t>
      </w:r>
    </w:p>
    <w:p w:rsidR="00474268" w:rsidRPr="00EA4002" w:rsidP="00474268" w14:paraId="08E40665" w14:textId="7B61FC74">
      <w:pPr>
        <w:pStyle w:val="ParaNum"/>
      </w:pPr>
      <w:r w:rsidRPr="00EA4002">
        <w:t xml:space="preserve">Accordingly, </w:t>
      </w:r>
      <w:r w:rsidRPr="00EA4002">
        <w:rPr>
          <w:b/>
        </w:rPr>
        <w:t>IT IS ORDERED</w:t>
      </w:r>
      <w:r w:rsidRPr="00EA4002">
        <w:t xml:space="preserve"> that, pursuant to section 504(b) of the Communications Act of 1934, as amended,</w:t>
      </w:r>
      <w:r>
        <w:rPr>
          <w:vertAlign w:val="superscript"/>
        </w:rPr>
        <w:footnoteReference w:id="13"/>
      </w:r>
      <w:r w:rsidRPr="00EA4002">
        <w:t xml:space="preserve">  and sections 0.61, 0.283, and 1.80(f)(4) of the Commission’s rules,</w:t>
      </w:r>
      <w:r>
        <w:rPr>
          <w:vertAlign w:val="superscript"/>
        </w:rPr>
        <w:footnoteReference w:id="14"/>
      </w:r>
      <w:r w:rsidRPr="00EA4002">
        <w:t xml:space="preserve"> the Notice of Apparent Liability for a Forfeiture (NAL/Acct. No. MB-</w:t>
      </w:r>
      <w:r w:rsidRPr="00EA4002" w:rsidR="007F2558">
        <w:t>202141410021</w:t>
      </w:r>
      <w:r w:rsidRPr="00EA4002">
        <w:t xml:space="preserve">) issued to </w:t>
      </w:r>
      <w:r w:rsidRPr="00EA4002" w:rsidR="007F2558">
        <w:t>Lighthouse Ministries of Northwest Ohio</w:t>
      </w:r>
      <w:r w:rsidRPr="00EA4002">
        <w:t xml:space="preserve"> </w:t>
      </w:r>
      <w:r w:rsidRPr="00EA4002">
        <w:rPr>
          <w:b/>
        </w:rPr>
        <w:t xml:space="preserve">IS CANCELLED </w:t>
      </w:r>
      <w:r w:rsidRPr="00EA4002">
        <w:t xml:space="preserve">and that </w:t>
      </w:r>
      <w:r w:rsidRPr="00EA4002" w:rsidR="007F2558">
        <w:t xml:space="preserve">Lighthouse Ministries of Northwest Ohio </w:t>
      </w:r>
      <w:r w:rsidRPr="00EA4002">
        <w:t xml:space="preserve">is instead </w:t>
      </w:r>
      <w:r w:rsidRPr="00EA4002">
        <w:rPr>
          <w:b/>
        </w:rPr>
        <w:t>HEREBY ADMONISHED</w:t>
      </w:r>
      <w:r w:rsidRPr="00EA4002">
        <w:t xml:space="preserve"> for its violation of section 73.3539 of the Commission’s rules</w:t>
      </w:r>
      <w:r w:rsidRPr="00EA4002" w:rsidR="007F2558">
        <w:t xml:space="preserve"> and section 301 of the Communications Act of 1934, as amended</w:t>
      </w:r>
      <w:r w:rsidRPr="00EA4002">
        <w:t>.</w:t>
      </w:r>
    </w:p>
    <w:p w:rsidR="0032346C" w:rsidRPr="0032346C" w:rsidP="0032346C" w14:paraId="5BFB4F98" w14:textId="77B58F92">
      <w:pPr>
        <w:pStyle w:val="ParaNum"/>
      </w:pPr>
      <w:r w:rsidRPr="009D02C8">
        <w:rPr>
          <w:b/>
          <w:bCs/>
        </w:rPr>
        <w:t>IT IS FURTHER ORDERED</w:t>
      </w:r>
      <w:r w:rsidRPr="00D426DF">
        <w:t xml:space="preserve"> that</w:t>
      </w:r>
      <w:r>
        <w:t xml:space="preserve"> </w:t>
      </w:r>
      <w:r w:rsidRPr="001172AD">
        <w:t xml:space="preserve">the application for renewal of license filed by </w:t>
      </w:r>
      <w:r w:rsidR="007F2558">
        <w:t>Lighthouse Ministries of Northwest Ohio</w:t>
      </w:r>
      <w:r w:rsidRPr="00474268" w:rsidR="007F2558">
        <w:t xml:space="preserve"> </w:t>
      </w:r>
      <w:r w:rsidRPr="001172AD">
        <w:t xml:space="preserve">for </w:t>
      </w:r>
      <w:r w:rsidR="00C35831">
        <w:t xml:space="preserve">Station </w:t>
      </w:r>
      <w:r w:rsidR="007F2558">
        <w:t>WKJH-LP, Bryan, Ohio</w:t>
      </w:r>
      <w:r w:rsidRPr="001172AD">
        <w:t xml:space="preserve"> (File No. </w:t>
      </w:r>
      <w:r w:rsidRPr="00A35A37" w:rsidR="007F2558">
        <w:t>0000</w:t>
      </w:r>
      <w:r w:rsidR="007F2558">
        <w:t>125074</w:t>
      </w:r>
      <w:r>
        <w:t>)</w:t>
      </w:r>
      <w:r w:rsidRPr="001172AD">
        <w:t xml:space="preserve"> </w:t>
      </w:r>
      <w:r w:rsidRPr="001172AD">
        <w:rPr>
          <w:b/>
          <w:bCs/>
        </w:rPr>
        <w:t>IS GRANTED</w:t>
      </w:r>
      <w:r w:rsidRPr="001172AD">
        <w:t>.</w:t>
      </w:r>
    </w:p>
    <w:p w:rsidR="00474268" w:rsidP="00474268" w14:paraId="5EA7A6A5" w14:textId="598AEB69">
      <w:pPr>
        <w:pStyle w:val="ParaNum"/>
        <w:keepNext/>
        <w:keepLines/>
        <w:rPr>
          <w:szCs w:val="22"/>
        </w:rPr>
      </w:pPr>
      <w:r w:rsidRPr="002007ED">
        <w:rPr>
          <w:b/>
          <w:szCs w:val="22"/>
        </w:rPr>
        <w:t>IT IS FURTHER ORDERED</w:t>
      </w:r>
      <w:r w:rsidRPr="002007ED">
        <w:rPr>
          <w:szCs w:val="22"/>
        </w:rPr>
        <w:t xml:space="preserve"> that a copy of this </w:t>
      </w:r>
      <w:r w:rsidRPr="002007ED">
        <w:rPr>
          <w:i/>
          <w:szCs w:val="22"/>
        </w:rPr>
        <w:t>Order</w:t>
      </w:r>
      <w:r w:rsidRPr="002007ED">
        <w:rPr>
          <w:szCs w:val="22"/>
        </w:rPr>
        <w:t xml:space="preserve"> shall be sent by First Class and Certified Mail, Return Receipt Requested, to </w:t>
      </w:r>
      <w:r w:rsidRPr="007F2558" w:rsidR="007F2558">
        <w:t>James D. Hollin, Lighthouse Ministries of Northwest Ohio, PO Box 43506, Bryan, OH 43506, and to Kimberly J. Hollin, Lighthouse Ministries of Northwest Ohio, 3433 CR 17, Bryan, OH 43506</w:t>
      </w:r>
      <w:r w:rsidR="007F2558">
        <w:t>.</w:t>
      </w:r>
    </w:p>
    <w:p w:rsidR="00474268" w:rsidP="00474268" w14:paraId="603478A5" w14:textId="77777777">
      <w:r>
        <w:tab/>
      </w:r>
      <w:r>
        <w:tab/>
      </w:r>
      <w:r>
        <w:tab/>
      </w:r>
      <w:r>
        <w:tab/>
      </w:r>
      <w:r>
        <w:tab/>
      </w:r>
      <w:r>
        <w:tab/>
        <w:t>FEDERAL COMMUNICATIONS COMMISSION</w:t>
      </w:r>
    </w:p>
    <w:p w:rsidR="00474268" w:rsidP="00474268" w14:paraId="58054BA0" w14:textId="77777777"/>
    <w:p w:rsidR="00474268" w:rsidP="00474268" w14:paraId="5E33125D" w14:textId="77777777"/>
    <w:p w:rsidR="00474268" w:rsidP="00474268" w14:paraId="6854606F" w14:textId="77777777"/>
    <w:p w:rsidR="00474268" w:rsidP="00474268" w14:paraId="08047CB0" w14:textId="77777777"/>
    <w:p w:rsidR="00474268" w:rsidRPr="00474268" w:rsidP="00474268" w14:paraId="01D1FC07" w14:textId="77777777">
      <w:r>
        <w:tab/>
      </w:r>
      <w:r>
        <w:tab/>
      </w:r>
      <w:r>
        <w:tab/>
      </w:r>
      <w:r>
        <w:tab/>
      </w:r>
      <w:r>
        <w:tab/>
      </w:r>
      <w:r>
        <w:tab/>
      </w:r>
      <w:r w:rsidRPr="00474268">
        <w:t>Albert Shuldiner</w:t>
      </w:r>
    </w:p>
    <w:p w:rsidR="00474268" w:rsidRPr="00474268" w:rsidP="00474268" w14:paraId="6FBE402D" w14:textId="77777777">
      <w:r w:rsidRPr="00474268">
        <w:tab/>
      </w:r>
      <w:r w:rsidRPr="00474268">
        <w:tab/>
      </w:r>
      <w:r w:rsidRPr="00474268">
        <w:tab/>
      </w:r>
      <w:r w:rsidRPr="00474268">
        <w:tab/>
      </w:r>
      <w:r w:rsidRPr="00474268">
        <w:tab/>
      </w:r>
      <w:r w:rsidRPr="00474268">
        <w:tab/>
        <w:t>Chief, Audio Division</w:t>
      </w:r>
    </w:p>
    <w:p w:rsidR="00412FC5" w:rsidP="00474268" w14:paraId="57346F82" w14:textId="74F9D89D">
      <w:r w:rsidRPr="00474268">
        <w:tab/>
      </w:r>
      <w:r w:rsidRPr="00474268">
        <w:tab/>
      </w:r>
      <w:r w:rsidRPr="00474268">
        <w:tab/>
      </w:r>
      <w:r w:rsidRPr="00474268">
        <w:tab/>
      </w:r>
      <w:r w:rsidRPr="00474268">
        <w:tab/>
      </w:r>
      <w:r w:rsidRPr="00474268">
        <w:tab/>
        <w:t>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7010C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5A37" w14:paraId="4DC5E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433482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507690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6BEAC3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52ED" w14:paraId="15C1F39F" w14:textId="77777777">
      <w:r>
        <w:separator/>
      </w:r>
    </w:p>
  </w:footnote>
  <w:footnote w:type="continuationSeparator" w:id="1">
    <w:p w:rsidR="00C552ED" w:rsidP="00C721AC" w14:paraId="77026118" w14:textId="77777777">
      <w:pPr>
        <w:spacing w:before="120"/>
        <w:rPr>
          <w:sz w:val="20"/>
        </w:rPr>
      </w:pPr>
      <w:r>
        <w:rPr>
          <w:sz w:val="20"/>
        </w:rPr>
        <w:t xml:space="preserve">(Continued from previous page)  </w:t>
      </w:r>
      <w:r>
        <w:rPr>
          <w:sz w:val="20"/>
        </w:rPr>
        <w:separator/>
      </w:r>
    </w:p>
  </w:footnote>
  <w:footnote w:type="continuationNotice" w:id="2">
    <w:p w:rsidR="00C552ED" w:rsidP="00C721AC" w14:paraId="78ACEB9E" w14:textId="77777777">
      <w:pPr>
        <w:jc w:val="right"/>
        <w:rPr>
          <w:sz w:val="20"/>
        </w:rPr>
      </w:pPr>
      <w:r>
        <w:rPr>
          <w:sz w:val="20"/>
        </w:rPr>
        <w:t>(continued….)</w:t>
      </w:r>
    </w:p>
  </w:footnote>
  <w:footnote w:id="3">
    <w:p w:rsidR="00A35A37" w:rsidP="00474268" w14:paraId="66339738" w14:textId="486BFE96">
      <w:pPr>
        <w:pStyle w:val="FootnoteText"/>
      </w:pPr>
      <w:r>
        <w:rPr>
          <w:rStyle w:val="FootnoteReference"/>
        </w:rPr>
        <w:footnoteRef/>
      </w:r>
      <w:r>
        <w:t xml:space="preserve"> </w:t>
      </w:r>
      <w:r w:rsidR="001E11CB">
        <w:rPr>
          <w:i/>
          <w:iCs/>
        </w:rPr>
        <w:t>Lighthouse Ministries of Northwest Ohio</w:t>
      </w:r>
      <w:r w:rsidRPr="00474268">
        <w:rPr>
          <w:i/>
          <w:iCs/>
        </w:rPr>
        <w:t xml:space="preserve">, </w:t>
      </w:r>
      <w:r w:rsidRPr="00474268">
        <w:t>Memorandum Opinion and Order and Notice of Apparent Liability for Forfeiture, DA 21-</w:t>
      </w:r>
      <w:r w:rsidR="007F2558">
        <w:t>275</w:t>
      </w:r>
      <w:r w:rsidRPr="00474268" w:rsidR="007F2558">
        <w:t xml:space="preserve"> </w:t>
      </w:r>
      <w:r w:rsidRPr="00474268">
        <w:t xml:space="preserve">(MB </w:t>
      </w:r>
      <w:r w:rsidR="007F2558">
        <w:t>Mar. 8</w:t>
      </w:r>
      <w:r w:rsidRPr="00474268">
        <w:t>, 2021).</w:t>
      </w:r>
    </w:p>
  </w:footnote>
  <w:footnote w:id="4">
    <w:p w:rsidR="001E11CB" w:rsidP="001E11CB" w14:paraId="3B027F40" w14:textId="77777777">
      <w:pPr>
        <w:pStyle w:val="FootnoteText"/>
      </w:pPr>
      <w:r>
        <w:rPr>
          <w:rStyle w:val="FootnoteReference"/>
        </w:rPr>
        <w:footnoteRef/>
      </w:r>
      <w:r>
        <w:t xml:space="preserve"> </w:t>
      </w:r>
      <w:r>
        <w:rPr>
          <w:i/>
        </w:rPr>
        <w:t>See</w:t>
      </w:r>
      <w:r>
        <w:t xml:space="preserve"> 47 U.S.C. § 301.</w:t>
      </w:r>
    </w:p>
  </w:footnote>
  <w:footnote w:id="5">
    <w:p w:rsidR="00A35A37" w:rsidRPr="00E1189A" w:rsidP="00A35A37" w14:paraId="2B5DD898" w14:textId="6B3A2F48">
      <w:pPr>
        <w:pStyle w:val="FootnoteText"/>
      </w:pPr>
      <w:r w:rsidRPr="000725CB">
        <w:rPr>
          <w:rStyle w:val="FootnoteReference"/>
        </w:rPr>
        <w:footnoteRef/>
      </w:r>
      <w:r w:rsidRPr="000725CB">
        <w:t xml:space="preserve"> </w:t>
      </w:r>
      <w:r w:rsidRPr="00C35831" w:rsidR="00C35831">
        <w:t>47</w:t>
      </w:r>
      <w:r w:rsidRPr="000725CB">
        <w:t xml:space="preserve"> </w:t>
      </w:r>
      <w:r w:rsidRPr="0067463B" w:rsidR="0067463B">
        <w:t xml:space="preserve">CFR </w:t>
      </w:r>
      <w:r w:rsidRPr="000725CB">
        <w:t>§ 73.3539(a).</w:t>
      </w:r>
      <w:r>
        <w:t xml:space="preserve">  </w:t>
      </w:r>
    </w:p>
  </w:footnote>
  <w:footnote w:id="6">
    <w:p w:rsidR="00A35A37" w:rsidRPr="00555D44" w:rsidP="00A35A37" w14:paraId="4A4AFF35" w14:textId="3FD423ED">
      <w:pPr>
        <w:pStyle w:val="FootnoteText"/>
        <w:rPr>
          <w:i/>
        </w:rPr>
      </w:pPr>
      <w:r w:rsidRPr="000725CB">
        <w:rPr>
          <w:rStyle w:val="FootnoteReference"/>
        </w:rPr>
        <w:footnoteRef/>
      </w:r>
      <w:r w:rsidRPr="000725CB">
        <w:t xml:space="preserve"> </w:t>
      </w:r>
      <w:r w:rsidR="00C35831">
        <w:rPr>
          <w:iCs/>
        </w:rPr>
        <w:t>47</w:t>
      </w:r>
      <w:r w:rsidRPr="0067463B" w:rsidR="0067463B">
        <w:rPr>
          <w:snapToGrid w:val="0"/>
          <w:kern w:val="28"/>
          <w:sz w:val="22"/>
        </w:rPr>
        <w:t xml:space="preserve"> </w:t>
      </w:r>
      <w:r w:rsidRPr="0067463B" w:rsidR="0067463B">
        <w:rPr>
          <w:iCs/>
        </w:rPr>
        <w:t>CFR</w:t>
      </w:r>
      <w:r w:rsidRPr="002546D1">
        <w:rPr>
          <w:i/>
        </w:rPr>
        <w:t xml:space="preserve"> </w:t>
      </w:r>
      <w:r w:rsidRPr="002546D1">
        <w:t>§§ 73.1020, 73</w:t>
      </w:r>
      <w:r w:rsidRPr="000725CB">
        <w:t>.3539(a).</w:t>
      </w:r>
      <w:r>
        <w:t xml:space="preserve"> </w:t>
      </w:r>
    </w:p>
  </w:footnote>
  <w:footnote w:id="7">
    <w:p w:rsidR="001E11CB" w:rsidRPr="00D2667A" w:rsidP="001E11CB" w14:paraId="19315484" w14:textId="77777777">
      <w:pPr>
        <w:pStyle w:val="FootnoteText"/>
      </w:pPr>
      <w:r>
        <w:rPr>
          <w:rStyle w:val="FootnoteReference"/>
        </w:rPr>
        <w:footnoteRef/>
      </w:r>
      <w:r>
        <w:t xml:space="preserve"> </w:t>
      </w:r>
      <w:r>
        <w:rPr>
          <w:i/>
          <w:iCs/>
        </w:rPr>
        <w:t>See Radio License Expirations</w:t>
      </w:r>
      <w:r w:rsidRPr="00CB1BA6">
        <w:t>,</w:t>
      </w:r>
      <w:r>
        <w:rPr>
          <w:i/>
          <w:iCs/>
        </w:rPr>
        <w:t xml:space="preserve"> </w:t>
      </w:r>
      <w:r>
        <w:t>Public Notice, 35 FCC Rcd 9455(MB 2020).</w:t>
      </w:r>
    </w:p>
  </w:footnote>
  <w:footnote w:id="8">
    <w:p w:rsidR="001E11CB" w:rsidRPr="004C4812" w:rsidP="001E11CB" w14:paraId="148417A2" w14:textId="77777777">
      <w:pPr>
        <w:pStyle w:val="FootnoteText"/>
      </w:pPr>
      <w:r>
        <w:rPr>
          <w:rStyle w:val="FootnoteReference"/>
        </w:rPr>
        <w:footnoteRef/>
      </w:r>
      <w:r>
        <w:t xml:space="preserve"> </w:t>
      </w:r>
      <w:r>
        <w:rPr>
          <w:i/>
          <w:iCs/>
        </w:rPr>
        <w:t>Broadcast Actions</w:t>
      </w:r>
      <w:r>
        <w:t>, Public Notice, Report No. 49839 (MB Oct. 7, 2020).</w:t>
      </w:r>
    </w:p>
  </w:footnote>
  <w:footnote w:id="9">
    <w:p w:rsidR="00EB3CD9" w:rsidRPr="00EB3CD9" w14:paraId="4C19AAE7" w14:textId="74B38740">
      <w:pPr>
        <w:pStyle w:val="FootnoteText"/>
      </w:pPr>
      <w:r>
        <w:rPr>
          <w:rStyle w:val="FootnoteReference"/>
        </w:rPr>
        <w:footnoteRef/>
      </w:r>
      <w:r>
        <w:t xml:space="preserve"> </w:t>
      </w:r>
      <w:r>
        <w:rPr>
          <w:i/>
          <w:iCs/>
        </w:rPr>
        <w:t>NAL</w:t>
      </w:r>
      <w:r>
        <w:t xml:space="preserve"> at 2, para. 3.</w:t>
      </w:r>
    </w:p>
  </w:footnote>
  <w:footnote w:id="10">
    <w:p w:rsidR="00A35A37" w:rsidP="00A35A37" w14:paraId="7C97985E" w14:textId="6117E5D2">
      <w:pPr>
        <w:pStyle w:val="FootnoteText"/>
      </w:pPr>
      <w:r>
        <w:rPr>
          <w:rStyle w:val="FootnoteReference"/>
        </w:rPr>
        <w:footnoteRef/>
      </w:r>
      <w:r>
        <w:t xml:space="preserve"> </w:t>
      </w:r>
      <w:r w:rsidR="00106BA2">
        <w:rPr>
          <w:i/>
          <w:iCs/>
        </w:rPr>
        <w:t>Id.</w:t>
      </w:r>
      <w:r w:rsidR="00106BA2">
        <w:t xml:space="preserve"> </w:t>
      </w:r>
      <w:r>
        <w:t xml:space="preserve">at </w:t>
      </w:r>
      <w:r w:rsidR="000820BC">
        <w:t xml:space="preserve">3, </w:t>
      </w:r>
      <w:r>
        <w:t xml:space="preserve">para. </w:t>
      </w:r>
      <w:r w:rsidR="001E11CB">
        <w:t>12</w:t>
      </w:r>
      <w:r>
        <w:t>.</w:t>
      </w:r>
    </w:p>
  </w:footnote>
  <w:footnote w:id="11">
    <w:p w:rsidR="00CB34AF" w:rsidRPr="0072332E" w:rsidP="00CB34AF" w14:paraId="5DF8D74C" w14:textId="1FCF3A22">
      <w:pPr>
        <w:pStyle w:val="FootnoteText"/>
      </w:pPr>
      <w:r>
        <w:rPr>
          <w:rStyle w:val="FootnoteReference"/>
        </w:rPr>
        <w:footnoteRef/>
      </w:r>
      <w:r>
        <w:t xml:space="preserve"> </w:t>
      </w:r>
      <w:r w:rsidRPr="00CC03DE">
        <w:t>Response</w:t>
      </w:r>
      <w:r>
        <w:t xml:space="preserve"> to Notice of Apparent Liability for Forfeiture of </w:t>
      </w:r>
      <w:r w:rsidR="00EB3CD9">
        <w:t>Lighthouse Ministries of Northwest Ohio</w:t>
      </w:r>
      <w:r>
        <w:t xml:space="preserve"> (</w:t>
      </w:r>
      <w:r w:rsidR="00C35831">
        <w:t>received</w:t>
      </w:r>
      <w:r>
        <w:t xml:space="preserve"> </w:t>
      </w:r>
      <w:r w:rsidR="00EB3CD9">
        <w:t>Mar. 31</w:t>
      </w:r>
      <w:r>
        <w:t>, 2021) (</w:t>
      </w:r>
      <w:r w:rsidRPr="0072332E">
        <w:t>Response).</w:t>
      </w:r>
      <w:r>
        <w:t xml:space="preserve"> </w:t>
      </w:r>
    </w:p>
  </w:footnote>
  <w:footnote w:id="12">
    <w:p w:rsidR="00A35A37" w:rsidP="00474268" w14:paraId="076BA651" w14:textId="520402EB">
      <w:pPr>
        <w:pStyle w:val="FootnoteText"/>
      </w:pPr>
      <w:r>
        <w:rPr>
          <w:rStyle w:val="FootnoteReference"/>
        </w:rPr>
        <w:footnoteRef/>
      </w:r>
      <w:r>
        <w:t xml:space="preserve"> </w:t>
      </w:r>
      <w:r w:rsidRPr="00D17789">
        <w:rPr>
          <w:i/>
          <w:iCs/>
        </w:rPr>
        <w:t xml:space="preserve">See </w:t>
      </w:r>
      <w:r w:rsidR="00D46AC2">
        <w:rPr>
          <w:i/>
          <w:iCs/>
        </w:rPr>
        <w:t>NAL</w:t>
      </w:r>
      <w:r>
        <w:rPr>
          <w:i/>
          <w:iCs/>
        </w:rPr>
        <w:t xml:space="preserve"> </w:t>
      </w:r>
      <w:r w:rsidRPr="000D54FB">
        <w:t>at</w:t>
      </w:r>
      <w:r>
        <w:t xml:space="preserve"> </w:t>
      </w:r>
      <w:r w:rsidR="000820BC">
        <w:t>4</w:t>
      </w:r>
      <w:r>
        <w:t xml:space="preserve">, para. </w:t>
      </w:r>
      <w:r w:rsidR="00EB3CD9">
        <w:t>16</w:t>
      </w:r>
      <w:r>
        <w:t>.</w:t>
      </w:r>
    </w:p>
  </w:footnote>
  <w:footnote w:id="13">
    <w:p w:rsidR="00A35A37" w:rsidP="00474268" w14:paraId="47D8359C" w14:textId="77777777">
      <w:pPr>
        <w:pStyle w:val="FootnoteText"/>
      </w:pPr>
      <w:r>
        <w:rPr>
          <w:rStyle w:val="FootnoteReference"/>
        </w:rPr>
        <w:footnoteRef/>
      </w:r>
      <w:r>
        <w:t xml:space="preserve"> </w:t>
      </w:r>
      <w:r w:rsidRPr="005A3217">
        <w:t>47 U.S.C. § 504(b).</w:t>
      </w:r>
    </w:p>
  </w:footnote>
  <w:footnote w:id="14">
    <w:p w:rsidR="00A35A37" w:rsidP="00474268" w14:paraId="4C8D86C0"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6E24E" w14:textId="1F0E0716">
    <w:pPr>
      <w:pStyle w:val="Header"/>
      <w:rPr>
        <w:b w:val="0"/>
      </w:rPr>
    </w:pPr>
    <w:r>
      <w:tab/>
      <w:t>Federal Communications Commission</w:t>
    </w:r>
    <w:r>
      <w:tab/>
    </w:r>
    <w:r w:rsidR="003E30AA">
      <w:t>DA 21-417</w:t>
    </w:r>
  </w:p>
  <w:p w:rsidR="00A35A37" w14:paraId="1DA48F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4D2787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FCDC295" w14:textId="1B0840C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21-417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25CB"/>
    <w:rsid w:val="000820BC"/>
    <w:rsid w:val="000875BF"/>
    <w:rsid w:val="0009120E"/>
    <w:rsid w:val="00096D8C"/>
    <w:rsid w:val="000C0B65"/>
    <w:rsid w:val="000D54FB"/>
    <w:rsid w:val="000E05FE"/>
    <w:rsid w:val="000E3D42"/>
    <w:rsid w:val="00106BA2"/>
    <w:rsid w:val="001172AD"/>
    <w:rsid w:val="00122BD5"/>
    <w:rsid w:val="00133F79"/>
    <w:rsid w:val="00194A66"/>
    <w:rsid w:val="001D6BCF"/>
    <w:rsid w:val="001E01CA"/>
    <w:rsid w:val="001E11CB"/>
    <w:rsid w:val="002007ED"/>
    <w:rsid w:val="002546D1"/>
    <w:rsid w:val="00275CF5"/>
    <w:rsid w:val="0028301F"/>
    <w:rsid w:val="00285017"/>
    <w:rsid w:val="002A04CD"/>
    <w:rsid w:val="002A2D2E"/>
    <w:rsid w:val="002C00E8"/>
    <w:rsid w:val="0032346C"/>
    <w:rsid w:val="00343749"/>
    <w:rsid w:val="003660ED"/>
    <w:rsid w:val="003B0550"/>
    <w:rsid w:val="003B694F"/>
    <w:rsid w:val="003E30AA"/>
    <w:rsid w:val="003F171C"/>
    <w:rsid w:val="00412FC5"/>
    <w:rsid w:val="00422276"/>
    <w:rsid w:val="004242F1"/>
    <w:rsid w:val="00445A00"/>
    <w:rsid w:val="00451B0F"/>
    <w:rsid w:val="00474268"/>
    <w:rsid w:val="004C2EE3"/>
    <w:rsid w:val="004C4812"/>
    <w:rsid w:val="004E4A22"/>
    <w:rsid w:val="00511968"/>
    <w:rsid w:val="00555D44"/>
    <w:rsid w:val="0055614C"/>
    <w:rsid w:val="00566D06"/>
    <w:rsid w:val="005A3217"/>
    <w:rsid w:val="005E14C2"/>
    <w:rsid w:val="00607BA5"/>
    <w:rsid w:val="0061180A"/>
    <w:rsid w:val="00626EB6"/>
    <w:rsid w:val="00655D03"/>
    <w:rsid w:val="0067463B"/>
    <w:rsid w:val="00683388"/>
    <w:rsid w:val="00683F84"/>
    <w:rsid w:val="006A6A81"/>
    <w:rsid w:val="006F7393"/>
    <w:rsid w:val="0070224F"/>
    <w:rsid w:val="007115F7"/>
    <w:rsid w:val="0072332E"/>
    <w:rsid w:val="00785689"/>
    <w:rsid w:val="0079754B"/>
    <w:rsid w:val="007A1E6D"/>
    <w:rsid w:val="007B0EB2"/>
    <w:rsid w:val="007F2558"/>
    <w:rsid w:val="00810B6F"/>
    <w:rsid w:val="00822CE0"/>
    <w:rsid w:val="00841AB1"/>
    <w:rsid w:val="008C68F1"/>
    <w:rsid w:val="00921803"/>
    <w:rsid w:val="00926503"/>
    <w:rsid w:val="009726D8"/>
    <w:rsid w:val="009D02C8"/>
    <w:rsid w:val="009D5E8E"/>
    <w:rsid w:val="009D7308"/>
    <w:rsid w:val="009F76DB"/>
    <w:rsid w:val="00A32C3B"/>
    <w:rsid w:val="00A35A37"/>
    <w:rsid w:val="00A45F4F"/>
    <w:rsid w:val="00A600A9"/>
    <w:rsid w:val="00AA55B7"/>
    <w:rsid w:val="00AA5B9E"/>
    <w:rsid w:val="00AB2407"/>
    <w:rsid w:val="00AB53DF"/>
    <w:rsid w:val="00B07E5C"/>
    <w:rsid w:val="00B811F7"/>
    <w:rsid w:val="00BA5DC6"/>
    <w:rsid w:val="00BA6196"/>
    <w:rsid w:val="00BC6D8C"/>
    <w:rsid w:val="00C34006"/>
    <w:rsid w:val="00C35831"/>
    <w:rsid w:val="00C36B4C"/>
    <w:rsid w:val="00C4039E"/>
    <w:rsid w:val="00C426B1"/>
    <w:rsid w:val="00C552ED"/>
    <w:rsid w:val="00C66160"/>
    <w:rsid w:val="00C721AC"/>
    <w:rsid w:val="00C90D6A"/>
    <w:rsid w:val="00CA247E"/>
    <w:rsid w:val="00CA6D21"/>
    <w:rsid w:val="00CB1BA6"/>
    <w:rsid w:val="00CB34AF"/>
    <w:rsid w:val="00CC03DE"/>
    <w:rsid w:val="00CC72B6"/>
    <w:rsid w:val="00CF0BDA"/>
    <w:rsid w:val="00D0218D"/>
    <w:rsid w:val="00D17789"/>
    <w:rsid w:val="00D25FB5"/>
    <w:rsid w:val="00D2667A"/>
    <w:rsid w:val="00D426DF"/>
    <w:rsid w:val="00D44223"/>
    <w:rsid w:val="00D46AC2"/>
    <w:rsid w:val="00DA2529"/>
    <w:rsid w:val="00DB130A"/>
    <w:rsid w:val="00DB2EBB"/>
    <w:rsid w:val="00DC10A1"/>
    <w:rsid w:val="00DC655F"/>
    <w:rsid w:val="00DD0B59"/>
    <w:rsid w:val="00DD7EBD"/>
    <w:rsid w:val="00DF62B6"/>
    <w:rsid w:val="00E07225"/>
    <w:rsid w:val="00E1189A"/>
    <w:rsid w:val="00E5409F"/>
    <w:rsid w:val="00EA4002"/>
    <w:rsid w:val="00EB3CD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030558"/>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AA"/>
    <w:pPr>
      <w:widowControl w:val="0"/>
    </w:pPr>
    <w:rPr>
      <w:snapToGrid w:val="0"/>
      <w:kern w:val="28"/>
      <w:sz w:val="22"/>
    </w:rPr>
  </w:style>
  <w:style w:type="paragraph" w:styleId="Heading1">
    <w:name w:val="heading 1"/>
    <w:basedOn w:val="Normal"/>
    <w:next w:val="ParaNum"/>
    <w:qFormat/>
    <w:rsid w:val="003E30A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E30AA"/>
    <w:pPr>
      <w:keepNext/>
      <w:numPr>
        <w:ilvl w:val="1"/>
        <w:numId w:val="3"/>
      </w:numPr>
      <w:spacing w:after="120"/>
      <w:outlineLvl w:val="1"/>
    </w:pPr>
    <w:rPr>
      <w:b/>
    </w:rPr>
  </w:style>
  <w:style w:type="paragraph" w:styleId="Heading3">
    <w:name w:val="heading 3"/>
    <w:basedOn w:val="Normal"/>
    <w:next w:val="ParaNum"/>
    <w:qFormat/>
    <w:rsid w:val="003E30AA"/>
    <w:pPr>
      <w:keepNext/>
      <w:numPr>
        <w:ilvl w:val="2"/>
        <w:numId w:val="3"/>
      </w:numPr>
      <w:tabs>
        <w:tab w:val="left" w:pos="2160"/>
      </w:tabs>
      <w:spacing w:after="120"/>
      <w:outlineLvl w:val="2"/>
    </w:pPr>
    <w:rPr>
      <w:b/>
    </w:rPr>
  </w:style>
  <w:style w:type="paragraph" w:styleId="Heading4">
    <w:name w:val="heading 4"/>
    <w:basedOn w:val="Normal"/>
    <w:next w:val="ParaNum"/>
    <w:qFormat/>
    <w:rsid w:val="003E30AA"/>
    <w:pPr>
      <w:keepNext/>
      <w:numPr>
        <w:ilvl w:val="3"/>
        <w:numId w:val="3"/>
      </w:numPr>
      <w:tabs>
        <w:tab w:val="left" w:pos="2880"/>
      </w:tabs>
      <w:spacing w:after="120"/>
      <w:outlineLvl w:val="3"/>
    </w:pPr>
    <w:rPr>
      <w:b/>
    </w:rPr>
  </w:style>
  <w:style w:type="paragraph" w:styleId="Heading5">
    <w:name w:val="heading 5"/>
    <w:basedOn w:val="Normal"/>
    <w:next w:val="ParaNum"/>
    <w:qFormat/>
    <w:rsid w:val="003E30A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E30AA"/>
    <w:pPr>
      <w:numPr>
        <w:ilvl w:val="5"/>
        <w:numId w:val="3"/>
      </w:numPr>
      <w:tabs>
        <w:tab w:val="left" w:pos="4320"/>
      </w:tabs>
      <w:spacing w:after="120"/>
      <w:outlineLvl w:val="5"/>
    </w:pPr>
    <w:rPr>
      <w:b/>
    </w:rPr>
  </w:style>
  <w:style w:type="paragraph" w:styleId="Heading7">
    <w:name w:val="heading 7"/>
    <w:basedOn w:val="Normal"/>
    <w:next w:val="ParaNum"/>
    <w:qFormat/>
    <w:rsid w:val="003E30A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E30A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E30A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E30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0AA"/>
  </w:style>
  <w:style w:type="paragraph" w:customStyle="1" w:styleId="ParaNum">
    <w:name w:val="ParaNum"/>
    <w:basedOn w:val="Normal"/>
    <w:link w:val="ParaNumChar"/>
    <w:rsid w:val="003E30AA"/>
    <w:pPr>
      <w:numPr>
        <w:numId w:val="2"/>
      </w:numPr>
      <w:tabs>
        <w:tab w:val="clear" w:pos="1080"/>
        <w:tab w:val="num" w:pos="1440"/>
      </w:tabs>
      <w:spacing w:after="120"/>
    </w:pPr>
  </w:style>
  <w:style w:type="paragraph" w:styleId="EndnoteText">
    <w:name w:val="endnote text"/>
    <w:basedOn w:val="Normal"/>
    <w:semiHidden/>
    <w:rsid w:val="003E30AA"/>
    <w:rPr>
      <w:sz w:val="20"/>
    </w:rPr>
  </w:style>
  <w:style w:type="character" w:styleId="EndnoteReference">
    <w:name w:val="endnote reference"/>
    <w:semiHidden/>
    <w:rsid w:val="003E30AA"/>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3E30A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E30AA"/>
    <w:rPr>
      <w:rFonts w:ascii="Times New Roman" w:hAnsi="Times New Roman"/>
      <w:dstrike w:val="0"/>
      <w:color w:val="auto"/>
      <w:sz w:val="20"/>
      <w:vertAlign w:val="superscript"/>
    </w:rPr>
  </w:style>
  <w:style w:type="paragraph" w:styleId="TOC1">
    <w:name w:val="toc 1"/>
    <w:basedOn w:val="Normal"/>
    <w:next w:val="Normal"/>
    <w:semiHidden/>
    <w:rsid w:val="003E30A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E30AA"/>
    <w:pPr>
      <w:tabs>
        <w:tab w:val="left" w:pos="720"/>
        <w:tab w:val="right" w:leader="dot" w:pos="9360"/>
      </w:tabs>
      <w:suppressAutoHyphens/>
      <w:ind w:left="720" w:right="720" w:hanging="360"/>
    </w:pPr>
    <w:rPr>
      <w:noProof/>
    </w:rPr>
  </w:style>
  <w:style w:type="paragraph" w:styleId="TOC3">
    <w:name w:val="toc 3"/>
    <w:basedOn w:val="Normal"/>
    <w:next w:val="Normal"/>
    <w:semiHidden/>
    <w:rsid w:val="003E30A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30A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30A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30A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30A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30A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30AA"/>
    <w:pPr>
      <w:tabs>
        <w:tab w:val="left" w:pos="3240"/>
        <w:tab w:val="right" w:leader="dot" w:pos="9360"/>
      </w:tabs>
      <w:suppressAutoHyphens/>
      <w:ind w:left="3240" w:hanging="360"/>
    </w:pPr>
    <w:rPr>
      <w:noProof/>
    </w:rPr>
  </w:style>
  <w:style w:type="paragraph" w:styleId="TOAHeading">
    <w:name w:val="toa heading"/>
    <w:basedOn w:val="Normal"/>
    <w:next w:val="Normal"/>
    <w:rsid w:val="003E30AA"/>
    <w:pPr>
      <w:tabs>
        <w:tab w:val="right" w:pos="9360"/>
      </w:tabs>
      <w:suppressAutoHyphens/>
    </w:pPr>
  </w:style>
  <w:style w:type="character" w:customStyle="1" w:styleId="EquationCaption">
    <w:name w:val="_Equation Caption"/>
    <w:rsid w:val="003E30AA"/>
  </w:style>
  <w:style w:type="paragraph" w:styleId="Header">
    <w:name w:val="header"/>
    <w:basedOn w:val="Normal"/>
    <w:autoRedefine/>
    <w:rsid w:val="003E30AA"/>
    <w:pPr>
      <w:tabs>
        <w:tab w:val="center" w:pos="4680"/>
        <w:tab w:val="right" w:pos="9360"/>
      </w:tabs>
    </w:pPr>
    <w:rPr>
      <w:b/>
    </w:rPr>
  </w:style>
  <w:style w:type="paragraph" w:styleId="Footer">
    <w:name w:val="footer"/>
    <w:basedOn w:val="Normal"/>
    <w:link w:val="FooterChar"/>
    <w:uiPriority w:val="99"/>
    <w:rsid w:val="003E30AA"/>
    <w:pPr>
      <w:tabs>
        <w:tab w:val="center" w:pos="4320"/>
        <w:tab w:val="right" w:pos="8640"/>
      </w:tabs>
    </w:pPr>
  </w:style>
  <w:style w:type="character" w:styleId="PageNumber">
    <w:name w:val="page number"/>
    <w:basedOn w:val="DefaultParagraphFont"/>
    <w:rsid w:val="003E30AA"/>
  </w:style>
  <w:style w:type="paragraph" w:styleId="BlockText">
    <w:name w:val="Block Text"/>
    <w:basedOn w:val="Normal"/>
    <w:rsid w:val="003E30AA"/>
    <w:pPr>
      <w:spacing w:after="240"/>
      <w:ind w:left="1440" w:right="1440"/>
    </w:pPr>
  </w:style>
  <w:style w:type="paragraph" w:customStyle="1" w:styleId="Paratitle">
    <w:name w:val="Para title"/>
    <w:basedOn w:val="Normal"/>
    <w:rsid w:val="003E30AA"/>
    <w:pPr>
      <w:tabs>
        <w:tab w:val="center" w:pos="9270"/>
      </w:tabs>
      <w:spacing w:after="240"/>
    </w:pPr>
    <w:rPr>
      <w:spacing w:val="-2"/>
    </w:rPr>
  </w:style>
  <w:style w:type="paragraph" w:customStyle="1" w:styleId="Bullet">
    <w:name w:val="Bullet"/>
    <w:basedOn w:val="Normal"/>
    <w:rsid w:val="003E30AA"/>
    <w:pPr>
      <w:tabs>
        <w:tab w:val="left" w:pos="2160"/>
      </w:tabs>
      <w:spacing w:after="220"/>
      <w:ind w:left="2160" w:hanging="720"/>
    </w:pPr>
  </w:style>
  <w:style w:type="paragraph" w:customStyle="1" w:styleId="TableFormat">
    <w:name w:val="TableFormat"/>
    <w:basedOn w:val="Bullet"/>
    <w:rsid w:val="003E30AA"/>
    <w:pPr>
      <w:tabs>
        <w:tab w:val="clear" w:pos="2160"/>
        <w:tab w:val="left" w:pos="5040"/>
      </w:tabs>
      <w:ind w:left="5040" w:hanging="3600"/>
    </w:pPr>
  </w:style>
  <w:style w:type="paragraph" w:customStyle="1" w:styleId="TOCTitle">
    <w:name w:val="TOC Title"/>
    <w:basedOn w:val="Normal"/>
    <w:rsid w:val="003E30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30AA"/>
    <w:pPr>
      <w:jc w:val="center"/>
    </w:pPr>
    <w:rPr>
      <w:rFonts w:ascii="Times New Roman Bold" w:hAnsi="Times New Roman Bold"/>
      <w:b/>
      <w:bCs/>
      <w:caps/>
      <w:szCs w:val="22"/>
    </w:rPr>
  </w:style>
  <w:style w:type="character" w:styleId="Hyperlink">
    <w:name w:val="Hyperlink"/>
    <w:rsid w:val="003E30AA"/>
    <w:rPr>
      <w:color w:val="0000FF"/>
      <w:u w:val="single"/>
    </w:rPr>
  </w:style>
  <w:style w:type="character" w:customStyle="1" w:styleId="FooterChar">
    <w:name w:val="Footer Char"/>
    <w:link w:val="Footer"/>
    <w:uiPriority w:val="99"/>
    <w:rsid w:val="003E30AA"/>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character" w:customStyle="1" w:styleId="UnresolvedMention">
    <w:name w:val="Unresolved Mention"/>
    <w:uiPriority w:val="99"/>
    <w:semiHidden/>
    <w:unhideWhenUsed/>
    <w:rsid w:val="001E11CB"/>
    <w:rPr>
      <w:color w:val="605E5C"/>
      <w:shd w:val="clear" w:color="auto" w:fill="E1DFDD"/>
    </w:rPr>
  </w:style>
  <w:style w:type="paragraph" w:styleId="BalloonText">
    <w:name w:val="Balloon Text"/>
    <w:basedOn w:val="Normal"/>
    <w:link w:val="BalloonTextChar"/>
    <w:rsid w:val="00EB3CD9"/>
    <w:rPr>
      <w:rFonts w:ascii="Segoe UI" w:hAnsi="Segoe UI" w:cs="Segoe UI"/>
      <w:sz w:val="18"/>
      <w:szCs w:val="18"/>
    </w:rPr>
  </w:style>
  <w:style w:type="character" w:customStyle="1" w:styleId="BalloonTextChar">
    <w:name w:val="Balloon Text Char"/>
    <w:link w:val="BalloonText"/>
    <w:rsid w:val="00EB3CD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