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6C31E7" w:rsidRPr="00B338A9" w:rsidP="006C31E7" w14:paraId="4B17A5AF" w14:textId="6383AF32">
      <w:pPr>
        <w:pStyle w:val="Header"/>
      </w:pPr>
      <w:r w:rsidRPr="00907BAD">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6C31E7" w:rsidP="006C31E7" w14:textId="77777777">
                            <w:pPr>
                              <w:rPr>
                                <w:rFonts w:ascii="Arial" w:hAnsi="Arial"/>
                                <w:b/>
                              </w:rPr>
                            </w:pPr>
                            <w:r>
                              <w:rPr>
                                <w:rFonts w:ascii="Arial" w:hAnsi="Arial"/>
                                <w:b/>
                              </w:rPr>
                              <w:t>Federal Communications Commission</w:t>
                            </w:r>
                          </w:p>
                          <w:p w:rsidR="006C31E7" w:rsidP="006C31E7" w14:textId="69BEE83D">
                            <w:pPr>
                              <w:rPr>
                                <w:rFonts w:ascii="Arial" w:hAnsi="Arial"/>
                                <w:b/>
                              </w:rPr>
                            </w:pPr>
                            <w:r>
                              <w:rPr>
                                <w:rFonts w:ascii="Arial" w:hAnsi="Arial"/>
                                <w:b/>
                              </w:rPr>
                              <w:t>4</w:t>
                            </w:r>
                            <w:r w:rsidR="00601512">
                              <w:rPr>
                                <w:rFonts w:ascii="Arial" w:hAnsi="Arial"/>
                                <w:b/>
                              </w:rPr>
                              <w:t>5 L Street, NE</w:t>
                            </w:r>
                          </w:p>
                          <w:p w:rsidR="006C31E7" w:rsidP="006C31E7"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6C31E7" w:rsidP="006C31E7" w14:paraId="19A51D29" w14:textId="77777777">
                      <w:pPr>
                        <w:rPr>
                          <w:rFonts w:ascii="Arial" w:hAnsi="Arial"/>
                          <w:b/>
                        </w:rPr>
                      </w:pPr>
                      <w:r>
                        <w:rPr>
                          <w:rFonts w:ascii="Arial" w:hAnsi="Arial"/>
                          <w:b/>
                        </w:rPr>
                        <w:t>Federal Communications Commission</w:t>
                      </w:r>
                    </w:p>
                    <w:p w:rsidR="006C31E7" w:rsidP="006C31E7" w14:paraId="6E5C72AD" w14:textId="69BEE83D">
                      <w:pPr>
                        <w:rPr>
                          <w:rFonts w:ascii="Arial" w:hAnsi="Arial"/>
                          <w:b/>
                        </w:rPr>
                      </w:pPr>
                      <w:r>
                        <w:rPr>
                          <w:rFonts w:ascii="Arial" w:hAnsi="Arial"/>
                          <w:b/>
                        </w:rPr>
                        <w:t>4</w:t>
                      </w:r>
                      <w:r w:rsidR="00601512">
                        <w:rPr>
                          <w:rFonts w:ascii="Arial" w:hAnsi="Arial"/>
                          <w:b/>
                        </w:rPr>
                        <w:t>5 L Street, NE</w:t>
                      </w:r>
                    </w:p>
                    <w:p w:rsidR="006C31E7" w:rsidP="006C31E7" w14:paraId="6BA84D4F" w14:textId="77777777">
                      <w:pPr>
                        <w:rPr>
                          <w:rFonts w:ascii="Arial" w:hAnsi="Arial"/>
                          <w:sz w:val="24"/>
                        </w:rPr>
                      </w:pPr>
                      <w:r>
                        <w:rPr>
                          <w:rFonts w:ascii="Arial" w:hAnsi="Arial"/>
                          <w:b/>
                        </w:rPr>
                        <w:t>Washington, D.C. 20554</w:t>
                      </w:r>
                    </w:p>
                  </w:txbxContent>
                </v:textbox>
                <w10:wrap anchorx="margin"/>
              </v:shape>
            </w:pict>
          </mc:Fallback>
        </mc:AlternateContent>
      </w:r>
      <w:r w:rsidRPr="00907BAD">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cc_logo"/>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6C31E7" w:rsidP="006C31E7" w14:paraId="653C0CA7" w14:textId="77777777">
      <w:pPr>
        <w:pStyle w:val="Header"/>
      </w:pPr>
      <w:r w:rsidRPr="00907BAD">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sidRPr="00907BAD">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6C31E7" w:rsidP="006C31E7" w14:textId="77777777">
                            <w:pPr>
                              <w:spacing w:before="40"/>
                              <w:jc w:val="right"/>
                              <w:rPr>
                                <w:rFonts w:ascii="Arial" w:hAnsi="Arial"/>
                                <w:b/>
                                <w:sz w:val="16"/>
                              </w:rPr>
                            </w:pPr>
                            <w:r>
                              <w:rPr>
                                <w:rFonts w:ascii="Arial" w:hAnsi="Arial"/>
                                <w:b/>
                                <w:sz w:val="16"/>
                              </w:rPr>
                              <w:t>News Media Information 202 / 418-0500</w:t>
                            </w:r>
                          </w:p>
                          <w:p w:rsidR="006C31E7" w:rsidP="006C31E7" w14:textId="77777777">
                            <w:pPr>
                              <w:jc w:val="right"/>
                              <w:rPr>
                                <w:rFonts w:ascii="Arial" w:hAnsi="Arial"/>
                                <w:b/>
                                <w:sz w:val="16"/>
                              </w:rPr>
                            </w:pPr>
                            <w:r>
                              <w:rPr>
                                <w:rFonts w:ascii="Arial" w:hAnsi="Arial"/>
                                <w:b/>
                                <w:sz w:val="16"/>
                              </w:rPr>
                              <w:t xml:space="preserve">Internet: </w:t>
                            </w:r>
                            <w:bookmarkStart w:id="0" w:name="_Hlt233824"/>
                            <w:hyperlink r:id="rId6"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6C31E7" w:rsidP="006C31E7"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1027"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C31E7" w:rsidP="006C31E7" w14:paraId="5939993D" w14:textId="77777777">
                      <w:pPr>
                        <w:spacing w:before="40"/>
                        <w:jc w:val="right"/>
                        <w:rPr>
                          <w:rFonts w:ascii="Arial" w:hAnsi="Arial"/>
                          <w:b/>
                          <w:sz w:val="16"/>
                        </w:rPr>
                      </w:pPr>
                      <w:r>
                        <w:rPr>
                          <w:rFonts w:ascii="Arial" w:hAnsi="Arial"/>
                          <w:b/>
                          <w:sz w:val="16"/>
                        </w:rPr>
                        <w:t>News Media Information 202 / 418-0500</w:t>
                      </w:r>
                    </w:p>
                    <w:p w:rsidR="006C31E7" w:rsidP="006C31E7" w14:paraId="11B8A642" w14:textId="77777777">
                      <w:pPr>
                        <w:jc w:val="right"/>
                        <w:rPr>
                          <w:rFonts w:ascii="Arial" w:hAnsi="Arial"/>
                          <w:b/>
                          <w:sz w:val="16"/>
                        </w:rPr>
                      </w:pPr>
                      <w:r>
                        <w:rPr>
                          <w:rFonts w:ascii="Arial" w:hAnsi="Arial"/>
                          <w:b/>
                          <w:sz w:val="16"/>
                        </w:rPr>
                        <w:t xml:space="preserve">Internet: </w:t>
                      </w:r>
                      <w:bookmarkStart w:id="0" w:name="_Hlt233824"/>
                      <w:hyperlink r:id="rId6"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6C31E7" w:rsidP="006C31E7" w14:paraId="73CEF76F" w14:textId="77777777">
                      <w:pPr>
                        <w:jc w:val="right"/>
                      </w:pPr>
                      <w:r>
                        <w:rPr>
                          <w:rFonts w:ascii="Arial" w:hAnsi="Arial"/>
                          <w:b/>
                          <w:sz w:val="16"/>
                        </w:rPr>
                        <w:t>TTY: 1-888-835-5322</w:t>
                      </w:r>
                    </w:p>
                  </w:txbxContent>
                </v:textbox>
              </v:shape>
            </w:pict>
          </mc:Fallback>
        </mc:AlternateContent>
      </w:r>
    </w:p>
    <w:p w:rsidR="006C31E7" w:rsidRPr="00B20363" w:rsidP="006C31E7" w14:paraId="4BBE59F4" w14:textId="3FF9D83B">
      <w:pPr>
        <w:jc w:val="right"/>
        <w:rPr>
          <w:b/>
          <w:sz w:val="24"/>
        </w:rPr>
      </w:pPr>
      <w:r>
        <w:rPr>
          <w:b/>
          <w:sz w:val="24"/>
        </w:rPr>
        <w:t xml:space="preserve">DA </w:t>
      </w:r>
      <w:r w:rsidR="00FD0AB7">
        <w:rPr>
          <w:b/>
          <w:sz w:val="24"/>
        </w:rPr>
        <w:t>21-420</w:t>
      </w:r>
    </w:p>
    <w:p w:rsidR="006C31E7" w:rsidRPr="00B11C05" w:rsidP="006C31E7" w14:paraId="608DC612" w14:textId="633E6FF2">
      <w:pPr>
        <w:spacing w:before="60"/>
        <w:jc w:val="right"/>
        <w:rPr>
          <w:b/>
          <w:sz w:val="24"/>
        </w:rPr>
      </w:pPr>
      <w:r>
        <w:rPr>
          <w:b/>
          <w:sz w:val="24"/>
        </w:rPr>
        <w:t xml:space="preserve">Released:  </w:t>
      </w:r>
      <w:r w:rsidR="00FD0AB7">
        <w:rPr>
          <w:b/>
          <w:sz w:val="24"/>
        </w:rPr>
        <w:t>April 13, 2021</w:t>
      </w:r>
    </w:p>
    <w:p w:rsidR="006C31E7" w:rsidRPr="00B11C05" w:rsidP="006C31E7" w14:paraId="39F497FA" w14:textId="77777777">
      <w:pPr>
        <w:jc w:val="right"/>
        <w:rPr>
          <w:sz w:val="24"/>
        </w:rPr>
      </w:pPr>
    </w:p>
    <w:p w:rsidR="006C31E7" w:rsidRPr="00B11C05" w:rsidP="006C31E7" w14:paraId="777719D3" w14:textId="5C123C79">
      <w:pPr>
        <w:spacing w:after="240"/>
        <w:jc w:val="center"/>
        <w:rPr>
          <w:rFonts w:ascii="Times New Roman Bold" w:hAnsi="Times New Roman Bold"/>
          <w:b/>
          <w:caps/>
          <w:sz w:val="24"/>
        </w:rPr>
      </w:pPr>
      <w:bookmarkStart w:id="1" w:name="_Hlk12442914"/>
      <w:r w:rsidRPr="00B11C05">
        <w:rPr>
          <w:rFonts w:ascii="Times New Roman Bold" w:hAnsi="Times New Roman Bold"/>
          <w:b/>
          <w:caps/>
          <w:sz w:val="24"/>
        </w:rPr>
        <w:t xml:space="preserve">CONSUMER AND </w:t>
      </w:r>
      <w:r w:rsidRPr="00DA1DAC">
        <w:rPr>
          <w:rFonts w:ascii="Times New Roman Bold" w:hAnsi="Times New Roman Bold"/>
          <w:b/>
          <w:caps/>
          <w:sz w:val="24"/>
        </w:rPr>
        <w:t xml:space="preserve">GOVERNMENTAL AFFAIRS BUREAU </w:t>
      </w:r>
      <w:r w:rsidR="006D6D12">
        <w:rPr>
          <w:rFonts w:ascii="Times New Roman Bold" w:hAnsi="Times New Roman Bold"/>
          <w:b/>
          <w:caps/>
          <w:sz w:val="24"/>
        </w:rPr>
        <w:t>seeks input</w:t>
      </w:r>
      <w:r w:rsidR="00CC79CF">
        <w:rPr>
          <w:rFonts w:ascii="Times New Roman Bold" w:hAnsi="Times New Roman Bold"/>
          <w:b/>
          <w:caps/>
          <w:sz w:val="24"/>
        </w:rPr>
        <w:t xml:space="preserve"> FOR </w:t>
      </w:r>
      <w:r w:rsidR="00C801BF">
        <w:rPr>
          <w:rFonts w:ascii="Times New Roman Bold" w:hAnsi="Times New Roman Bold"/>
          <w:b/>
          <w:caps/>
          <w:sz w:val="24"/>
        </w:rPr>
        <w:t>second</w:t>
      </w:r>
      <w:r w:rsidR="00CD2CAB">
        <w:rPr>
          <w:rFonts w:ascii="Times New Roman Bold" w:hAnsi="Times New Roman Bold"/>
          <w:b/>
          <w:caps/>
          <w:sz w:val="24"/>
        </w:rPr>
        <w:t xml:space="preserve"> STAFF REPORT ON </w:t>
      </w:r>
      <w:r w:rsidR="00F8179F">
        <w:rPr>
          <w:rFonts w:ascii="Times New Roman Bold" w:hAnsi="Times New Roman Bold"/>
          <w:b/>
          <w:caps/>
          <w:sz w:val="24"/>
        </w:rPr>
        <w:t>Call Blocking</w:t>
      </w:r>
      <w:bookmarkEnd w:id="1"/>
    </w:p>
    <w:p w:rsidR="006C31E7" w:rsidRPr="00B11C05" w:rsidP="006C31E7" w14:paraId="2F26A2D9" w14:textId="77777777">
      <w:pPr>
        <w:jc w:val="center"/>
        <w:rPr>
          <w:b/>
          <w:sz w:val="24"/>
        </w:rPr>
      </w:pPr>
      <w:bookmarkStart w:id="2" w:name="_Hlk12442886"/>
      <w:r>
        <w:rPr>
          <w:b/>
          <w:sz w:val="24"/>
        </w:rPr>
        <w:t>CG</w:t>
      </w:r>
      <w:r w:rsidRPr="00B11C05">
        <w:rPr>
          <w:b/>
          <w:sz w:val="24"/>
        </w:rPr>
        <w:t xml:space="preserve"> Docket No</w:t>
      </w:r>
      <w:r>
        <w:rPr>
          <w:b/>
          <w:sz w:val="24"/>
        </w:rPr>
        <w:t>. 17-59</w:t>
      </w:r>
      <w:r w:rsidR="00F8179F">
        <w:rPr>
          <w:b/>
          <w:sz w:val="24"/>
        </w:rPr>
        <w:t>, WC Docket No. 17-97</w:t>
      </w:r>
    </w:p>
    <w:bookmarkEnd w:id="2"/>
    <w:p w:rsidR="006C31E7" w:rsidRPr="00B11C05" w:rsidP="006C31E7" w14:paraId="78422796" w14:textId="77777777">
      <w:pPr>
        <w:jc w:val="center"/>
        <w:rPr>
          <w:sz w:val="24"/>
        </w:rPr>
      </w:pPr>
    </w:p>
    <w:p w:rsidR="006C31E7" w:rsidRPr="00265E69" w:rsidP="006C31E7" w14:paraId="1CF58DA5" w14:textId="0DACA7AF">
      <w:pPr>
        <w:rPr>
          <w:b/>
        </w:rPr>
      </w:pPr>
      <w:r w:rsidRPr="00B11C05">
        <w:rPr>
          <w:b/>
        </w:rPr>
        <w:t>Comment Date</w:t>
      </w:r>
      <w:r w:rsidRPr="00265E69">
        <w:rPr>
          <w:b/>
        </w:rPr>
        <w:t xml:space="preserve">: </w:t>
      </w:r>
      <w:r w:rsidRPr="000D5910" w:rsidR="001D69D1">
        <w:rPr>
          <w:b/>
        </w:rPr>
        <w:t>April 30, 2021</w:t>
      </w:r>
    </w:p>
    <w:p w:rsidR="006C31E7" w:rsidP="006C31E7" w14:paraId="41910878" w14:textId="77777777"/>
    <w:p w:rsidR="00BE3F8D" w:rsidP="005400E2" w14:paraId="57892050" w14:textId="3BEFEFC5">
      <w:pPr>
        <w:pStyle w:val="ParaNum"/>
        <w:numPr>
          <w:ilvl w:val="0"/>
          <w:numId w:val="0"/>
        </w:numPr>
        <w:ind w:firstLine="720"/>
      </w:pPr>
      <w:r>
        <w:t xml:space="preserve">On </w:t>
      </w:r>
      <w:r w:rsidR="00F04D42">
        <w:t>June 25</w:t>
      </w:r>
      <w:r w:rsidR="00443105">
        <w:t>, 20</w:t>
      </w:r>
      <w:r w:rsidR="00074451">
        <w:t>20</w:t>
      </w:r>
      <w:r>
        <w:t xml:space="preserve">, the </w:t>
      </w:r>
      <w:r w:rsidR="001438E6">
        <w:t xml:space="preserve">Consumer and Governmental Affairs Bureau </w:t>
      </w:r>
      <w:r w:rsidR="00E226B7">
        <w:t xml:space="preserve">(Bureau) </w:t>
      </w:r>
      <w:r w:rsidR="001438E6">
        <w:t>released</w:t>
      </w:r>
      <w:r w:rsidR="00F50FA7">
        <w:t xml:space="preserve"> </w:t>
      </w:r>
      <w:r w:rsidR="006D6D12">
        <w:t>its</w:t>
      </w:r>
      <w:r w:rsidR="00F50FA7">
        <w:t xml:space="preserve"> first Call Blocking Report</w:t>
      </w:r>
      <w:r w:rsidR="006D6D12">
        <w:t xml:space="preserve">, detailing the state of call blocking </w:t>
      </w:r>
      <w:r w:rsidR="00102F95">
        <w:t xml:space="preserve">products and services offered by voice service providers and data analytics companies </w:t>
      </w:r>
      <w:r w:rsidR="006D6D12">
        <w:t>in the United States</w:t>
      </w:r>
      <w:r w:rsidR="00F50FA7">
        <w:t>.</w:t>
      </w:r>
      <w:r>
        <w:rPr>
          <w:rStyle w:val="FootnoteReference"/>
        </w:rPr>
        <w:footnoteReference w:id="3"/>
      </w:r>
      <w:r w:rsidR="00F50FA7">
        <w:t xml:space="preserve">  Th</w:t>
      </w:r>
      <w:r w:rsidR="00EA41F8">
        <w:t>e</w:t>
      </w:r>
      <w:r w:rsidR="00F50FA7">
        <w:t xml:space="preserve"> </w:t>
      </w:r>
      <w:r w:rsidR="00637728">
        <w:t>first Call Blocking R</w:t>
      </w:r>
      <w:r w:rsidR="00F50FA7">
        <w:t xml:space="preserve">eport </w:t>
      </w:r>
      <w:r w:rsidR="00BC484A">
        <w:t>relied</w:t>
      </w:r>
      <w:r w:rsidR="00F50FA7">
        <w:t xml:space="preserve">, in part, on comments </w:t>
      </w:r>
      <w:r w:rsidR="00102F95">
        <w:t>submitted by</w:t>
      </w:r>
      <w:r w:rsidR="00F50FA7">
        <w:t xml:space="preserve"> the industry </w:t>
      </w:r>
      <w:r w:rsidR="009E0EDA">
        <w:t xml:space="preserve">in response to the </w:t>
      </w:r>
      <w:r w:rsidRPr="009E0EDA" w:rsidR="009E0EDA">
        <w:rPr>
          <w:i/>
          <w:iCs/>
        </w:rPr>
        <w:t>Call Blocking Public Notice</w:t>
      </w:r>
      <w:r w:rsidR="00102F95">
        <w:t>.</w:t>
      </w:r>
      <w:r>
        <w:rPr>
          <w:rStyle w:val="FootnoteReference"/>
        </w:rPr>
        <w:footnoteReference w:id="4"/>
      </w:r>
      <w:r w:rsidR="00102F95">
        <w:t xml:space="preserve">  These comments included detailed information</w:t>
      </w:r>
      <w:r w:rsidR="009E0EDA">
        <w:t xml:space="preserve"> </w:t>
      </w:r>
      <w:r w:rsidR="00102F95">
        <w:t>on a number of</w:t>
      </w:r>
      <w:r w:rsidR="00F50FA7">
        <w:t xml:space="preserve"> </w:t>
      </w:r>
      <w:r w:rsidR="008603E3">
        <w:t xml:space="preserve">call blocking </w:t>
      </w:r>
      <w:bookmarkStart w:id="3" w:name="_Toc21762267"/>
      <w:bookmarkStart w:id="4" w:name="_Toc55787787"/>
      <w:bookmarkStart w:id="5" w:name="_Toc57021199"/>
      <w:bookmarkStart w:id="6" w:name="_Toc65388449"/>
      <w:r w:rsidR="008603E3">
        <w:t xml:space="preserve">issues </w:t>
      </w:r>
      <w:r w:rsidR="00E226B7">
        <w:t>such as the availability and effectiveness of call blocking tools offered to consumers, the impact of the Commission’s actions on illegal calls, and the impact of call blocking on 911 services and public safety.</w:t>
      </w:r>
      <w:r>
        <w:rPr>
          <w:rStyle w:val="FootnoteReference"/>
        </w:rPr>
        <w:footnoteReference w:id="5"/>
      </w:r>
      <w:r w:rsidR="00E226B7">
        <w:t xml:space="preserve">  The Bureau </w:t>
      </w:r>
      <w:r w:rsidR="00F50FA7">
        <w:t xml:space="preserve">is now </w:t>
      </w:r>
      <w:r w:rsidR="009535FB">
        <w:t>preparing</w:t>
      </w:r>
      <w:r w:rsidR="00F50FA7">
        <w:t xml:space="preserve"> </w:t>
      </w:r>
      <w:r w:rsidR="00102F95">
        <w:t>a</w:t>
      </w:r>
      <w:r w:rsidR="00F50FA7">
        <w:t xml:space="preserve"> second Call Blocking Report and </w:t>
      </w:r>
      <w:r w:rsidR="00E226B7">
        <w:t>seek</w:t>
      </w:r>
      <w:r w:rsidR="00D53306">
        <w:t>s</w:t>
      </w:r>
      <w:r w:rsidR="00E226B7">
        <w:t xml:space="preserve"> </w:t>
      </w:r>
      <w:r w:rsidR="00F50FA7">
        <w:t xml:space="preserve">updated information on </w:t>
      </w:r>
      <w:r w:rsidR="00637728">
        <w:t>call blocking</w:t>
      </w:r>
      <w:r w:rsidR="00F50FA7">
        <w:t xml:space="preserve">.  </w:t>
      </w:r>
    </w:p>
    <w:p w:rsidR="00BE3F8D" w:rsidP="00A61DA9" w14:paraId="7FC04B3D" w14:textId="211B0853">
      <w:pPr>
        <w:pStyle w:val="Paranum0"/>
      </w:pPr>
      <w:r>
        <w:t xml:space="preserve">With this Public Notice, the Bureau solicits input for </w:t>
      </w:r>
      <w:r w:rsidR="006D6D12">
        <w:t xml:space="preserve">a </w:t>
      </w:r>
      <w:r>
        <w:t>second Call Blocking Report.</w:t>
      </w:r>
      <w:r w:rsidR="00A61DA9">
        <w:t xml:space="preserve">  </w:t>
      </w:r>
      <w:r w:rsidR="006D6D12">
        <w:t>We ask that commenters</w:t>
      </w:r>
      <w:r w:rsidR="00A61DA9">
        <w:t xml:space="preserve"> provide updated information</w:t>
      </w:r>
      <w:r w:rsidR="006D6D12">
        <w:t xml:space="preserve"> </w:t>
      </w:r>
      <w:r w:rsidR="00E21DEB">
        <w:t>to the questions below</w:t>
      </w:r>
      <w:r w:rsidR="00277B96">
        <w:t xml:space="preserve"> </w:t>
      </w:r>
      <w:r w:rsidR="00A61DA9">
        <w:t xml:space="preserve">from </w:t>
      </w:r>
      <w:r w:rsidR="00277B96">
        <w:t>March 1</w:t>
      </w:r>
      <w:r w:rsidR="001408DC">
        <w:t xml:space="preserve">, </w:t>
      </w:r>
      <w:r w:rsidR="00A61DA9">
        <w:t>2020 to the present.</w:t>
      </w:r>
    </w:p>
    <w:p w:rsidR="00BE3F8D" w:rsidRPr="00FB0CDA" w:rsidP="00A61DA9" w14:paraId="0F135188" w14:textId="6A5EA690">
      <w:pPr>
        <w:pStyle w:val="Paranum0"/>
      </w:pPr>
      <w:r>
        <w:rPr>
          <w:i/>
        </w:rPr>
        <w:t>Availability of Call-Blocking Tools.</w:t>
      </w:r>
      <w:r>
        <w:t xml:space="preserve">  We seek data and other information on the availability of call-blocking tools offered to consumers.  What tools are available to consumers?  Do voice service providers or others offer multiple versions of their tool from which consumers may choose?  </w:t>
      </w:r>
      <w:r w:rsidR="009A1259">
        <w:t xml:space="preserve">Are these tools available at no charge to </w:t>
      </w:r>
      <w:r w:rsidR="001D69D1">
        <w:t>consumers</w:t>
      </w:r>
      <w:r w:rsidR="009A1259">
        <w:t xml:space="preserve"> or as part of different tiers of service at different prices?  </w:t>
      </w:r>
      <w:r>
        <w:t xml:space="preserve">Are such tools offered on an opt-in basis or opt-out basis?  Do the tools block calls at the network level, the device level, or elsewhere in the call path?  Are such tools offered by a third party directly to the </w:t>
      </w:r>
      <w:r>
        <w:t>consumer or by the service provider?  What proportion of consumers subscribe to a provider that offers and/or enables call-blocking tools?  How many subscribers avail themselves of the tools?  Are new tools under development?</w:t>
      </w:r>
      <w:r w:rsidRPr="00C868FD" w:rsidR="00C868FD">
        <w:t xml:space="preserve"> </w:t>
      </w:r>
      <w:r w:rsidR="00C868FD">
        <w:t xml:space="preserve"> </w:t>
      </w:r>
      <w:r w:rsidRPr="009D010E" w:rsidR="00C868FD">
        <w:t xml:space="preserve">Did the </w:t>
      </w:r>
      <w:r w:rsidR="00457F47">
        <w:t xml:space="preserve">COVID-19 </w:t>
      </w:r>
      <w:r w:rsidRPr="009D010E" w:rsidR="00C868FD">
        <w:t xml:space="preserve">pandemic change or delay </w:t>
      </w:r>
      <w:r w:rsidRPr="009D010E" w:rsidR="00851D9A">
        <w:t xml:space="preserve">providers’ </w:t>
      </w:r>
      <w:r w:rsidRPr="009D010E" w:rsidR="00C868FD">
        <w:t xml:space="preserve">plans regarding new call blocking tools?  Did the pandemic bring about a change in robocall patterns that resulted in a change in consumers’ expectations or </w:t>
      </w:r>
      <w:r w:rsidRPr="009D010E" w:rsidR="00851D9A">
        <w:t xml:space="preserve">providers’ </w:t>
      </w:r>
      <w:r w:rsidRPr="009D010E" w:rsidR="00C868FD">
        <w:t xml:space="preserve">practices in blocking calls? </w:t>
      </w:r>
      <w:r w:rsidRPr="009D010E" w:rsidR="00851D9A">
        <w:t xml:space="preserve"> </w:t>
      </w:r>
      <w:r w:rsidRPr="009D010E" w:rsidR="00C868FD">
        <w:t>How so?</w:t>
      </w:r>
    </w:p>
    <w:p w:rsidR="00BE3F8D" w:rsidP="00A61DA9" w14:paraId="732B974F" w14:textId="68830153">
      <w:pPr>
        <w:pStyle w:val="Paranum0"/>
        <w:rPr>
          <w:i/>
        </w:rPr>
      </w:pPr>
      <w:r w:rsidRPr="009D010E">
        <w:rPr>
          <w:i/>
        </w:rPr>
        <w:t>Effectiveness of Call-Blocking Tools.</w:t>
      </w:r>
      <w:r w:rsidRPr="009D010E">
        <w:t xml:space="preserve">  We seek data and other information o</w:t>
      </w:r>
      <w:r>
        <w:t>n the effectiveness of call-blocking tools offered to consumers.  What are the most appropriate metrics to measure the effectiveness of call-blocking tools, e.g., by fraction of illegal calls blocked?  How effective are available tools at blocking illegal and unwanted calls?  What tools, if any, send an intercept message for blocked calls?  How do blocking tools define false positives?  What is the rate of false positives?  How do the tools remedy false positives?  What is the rate of false negatives (illegal or unwanted calls that reach consumers)?  What is the number of illegal robocalls transiting our phone system?  How is that number determined?</w:t>
      </w:r>
    </w:p>
    <w:p w:rsidR="00434F5B" w:rsidP="00434F5B" w14:paraId="7165DD64" w14:textId="0BECE9A4">
      <w:pPr>
        <w:autoSpaceDE w:val="0"/>
        <w:autoSpaceDN w:val="0"/>
        <w:adjustRightInd w:val="0"/>
        <w:spacing w:after="120"/>
        <w:ind w:firstLine="720"/>
      </w:pPr>
      <w:bookmarkStart w:id="7" w:name="_Hlk23843802"/>
      <w:bookmarkStart w:id="8" w:name="_Hlk23844095"/>
      <w:r>
        <w:rPr>
          <w:i/>
        </w:rPr>
        <w:t>Impact of FCC Actions.</w:t>
      </w:r>
      <w:r>
        <w:t xml:space="preserve">  The Commission enabled voice service providers to block calls from phone numbers on a Do-Not-Originate list and those that purport to be from invalid, unallocated, or unused numbers.</w:t>
      </w:r>
      <w:r>
        <w:rPr>
          <w:rStyle w:val="FootnoteReference"/>
        </w:rPr>
        <w:footnoteReference w:id="6"/>
      </w:r>
      <w:r>
        <w:t xml:space="preserve">  The Commission has also </w:t>
      </w:r>
      <w:r w:rsidR="002F1142">
        <w:t xml:space="preserve">mandated the implementation of caller ID authentication technology, has </w:t>
      </w:r>
      <w:r>
        <w:t>clarified that voice service providers may offer opt-out call-blocking programs and opt-in white-list programs</w:t>
      </w:r>
      <w:r w:rsidR="002F1142">
        <w:t>, and has established safe harbors for voice service providers to promote blocking</w:t>
      </w:r>
      <w:r>
        <w:t>.</w:t>
      </w:r>
      <w:r>
        <w:rPr>
          <w:rStyle w:val="FootnoteReference"/>
        </w:rPr>
        <w:footnoteReference w:id="7"/>
      </w:r>
      <w:r>
        <w:t xml:space="preserve"> </w:t>
      </w:r>
      <w:r w:rsidR="00BE3F8D">
        <w:t xml:space="preserve"> </w:t>
      </w:r>
      <w:r>
        <w:t>The Commission stated that these steps to empower voice service providers to protect their customers were essential to curtailing illegal calls.</w:t>
      </w:r>
      <w:r>
        <w:rPr>
          <w:rStyle w:val="FootnoteReference"/>
        </w:rPr>
        <w:footnoteReference w:id="8"/>
      </w:r>
    </w:p>
    <w:p w:rsidR="006B7A38" w:rsidRPr="00BA3F25" w:rsidP="00BA3F25" w14:paraId="76D21999" w14:textId="4E7D7A12">
      <w:pPr>
        <w:pStyle w:val="Paranum0"/>
      </w:pPr>
      <w:r>
        <w:t xml:space="preserve">How have voice service providers responded to the Commission’s actions to empower them to protect their customers from illegal calls?  What initiatives have voice service providers implemented </w:t>
      </w:r>
      <w:r>
        <w:t>as a result of</w:t>
      </w:r>
      <w:r>
        <w:t xml:space="preserve"> these and other actions by the Commission?  </w:t>
      </w:r>
      <w:r w:rsidR="007F2F62">
        <w:rPr>
          <w:szCs w:val="22"/>
        </w:rPr>
        <w:t xml:space="preserve">Do any of the blocking services now being offered incorporate STIR/SHAKEN caller ID authentication information into their analytics, consistent with the Commission’s safe harbor?  </w:t>
      </w:r>
      <w:r>
        <w:t xml:space="preserve">Do voice service providers block calls from numbers on a Do-Not-Originate list?  Have consumers seen a corresponding reduction in scam calls from numbers on the Do-Not-Originate list, such as Internal Revenue Service and Social Security Administration numbers that unauthorized callers have fraudulently spoofed?  Have voice service providers implemented the blocking </w:t>
      </w:r>
      <w:r>
        <w:t xml:space="preserve">of calls </w:t>
      </w:r>
      <w:r>
        <w:rPr>
          <w:szCs w:val="22"/>
        </w:rPr>
        <w:t xml:space="preserve">that purport to be from invalid, unallocated, or unused numbers?  Do voice service providers offer opt-out call-blocking programs?  If so, how many consumers have opted out? </w:t>
      </w:r>
      <w:r w:rsidR="007F2F62">
        <w:rPr>
          <w:szCs w:val="22"/>
        </w:rPr>
        <w:t xml:space="preserve"> </w:t>
      </w:r>
      <w:r>
        <w:rPr>
          <w:szCs w:val="22"/>
        </w:rPr>
        <w:t xml:space="preserve">Do voice service providers offer opt-in white-list blocking?  If so, how many consumers have requested such blocking?  </w:t>
      </w:r>
      <w:r w:rsidR="00E56E09">
        <w:t>How many complaints do voice service providers get from callers indicating their calls have been blocked in error?</w:t>
      </w:r>
      <w:r w:rsidR="00E56E09">
        <w:rPr>
          <w:szCs w:val="22"/>
        </w:rPr>
        <w:t xml:space="preserve"> </w:t>
      </w:r>
    </w:p>
    <w:bookmarkEnd w:id="7"/>
    <w:bookmarkEnd w:id="8"/>
    <w:p w:rsidR="00BE3F8D" w:rsidP="00A61DA9" w14:paraId="6806EF01" w14:textId="77777777">
      <w:pPr>
        <w:pStyle w:val="Paranum0"/>
        <w:rPr>
          <w:i/>
        </w:rPr>
      </w:pPr>
      <w:r>
        <w:rPr>
          <w:i/>
        </w:rPr>
        <w:t>Impact on 911 Services and Public Safety.</w:t>
      </w:r>
      <w:r>
        <w:t xml:space="preserve">  We seek data and other information on the impact of call blocking on 911 services and public safety.  Are legitimate calls to or from emergency numbers, either 911 or public safety “administrative numbers,” ever blocked?  Emergency call centers generally employ protocols by which they will call back a number when a 911 call is dropped or otherwise terminated without a resolution.  Do voice service providers or others employ call-blocking tools that may purposefully or inadvertently block a call back from a public safety answering point?  Is there a means to ensure call backs from public safety numbers are completed?  How are blocked calls reported and resolved?  Do public safety entities experience unwanted or illegal calls that interfere with their mission?  Have voice service providers or others blocked unwanted calls at the request of state or local law enforcement?  What processes, manual or automatic, do voice service providers or others use to facilitate blocking harassing calls to 911 or public safety administrative numbers?  Do voice service providers or others perceive any legal impediments in the Commission’s rules or otherwise to blocking such calls?</w:t>
      </w:r>
      <w:r>
        <w:rPr>
          <w:rStyle w:val="FootnoteReference"/>
        </w:rPr>
        <w:footnoteReference w:id="9"/>
      </w:r>
    </w:p>
    <w:p w:rsidR="00BE3F8D" w:rsidP="00A61DA9" w14:paraId="6D0BE1BC" w14:textId="77777777">
      <w:pPr>
        <w:pStyle w:val="Paranum0"/>
      </w:pPr>
      <w:r>
        <w:rPr>
          <w:i/>
        </w:rPr>
        <w:t>Other Relevant Information</w:t>
      </w:r>
      <w:r>
        <w:t>.  Finally, we seek comment on any other information that may inform the Commission’s analysis of the state of deployment of advanced methods and tools to eliminate illegal and unwanted calls.</w:t>
      </w:r>
    </w:p>
    <w:p w:rsidR="00781BB4" w:rsidP="00A61DA9" w14:paraId="09718C39" w14:textId="77777777">
      <w:pPr>
        <w:pStyle w:val="Paranum0"/>
      </w:pPr>
      <w:r>
        <w:rPr>
          <w:i/>
        </w:rPr>
        <w:t>Confidential Treatment.</w:t>
      </w:r>
      <w:r>
        <w:t xml:space="preserve">  Commenters seeking confidential treatment for all or part of their submissions should request such treatment.</w:t>
      </w:r>
      <w:r>
        <w:rPr>
          <w:rStyle w:val="FootnoteReference"/>
        </w:rPr>
        <w:footnoteReference w:id="10"/>
      </w:r>
      <w:r>
        <w:t xml:space="preserve">  Where information could be competitively sensitive or could interfere with efforts to enforce compliance with the requirements of the Act or the Commission’s rules (e.g., by allowing unlawful callers to circumvent filtering mechanisms), providers and industry groups may aggregate information without attributing practices or data to individual entities.  </w:t>
      </w:r>
    </w:p>
    <w:p w:rsidR="005400E2" w:rsidP="00933B55" w14:paraId="4EE1101D" w14:textId="76EA7CC6">
      <w:pPr>
        <w:pStyle w:val="Paranum0"/>
        <w:rPr>
          <w:rFonts w:cs="Arial"/>
          <w:color w:val="010101"/>
        </w:rPr>
      </w:pPr>
      <w:r>
        <w:t xml:space="preserve">Commenters may provide links to publicly available data or include Excel spreadsheets when they file their comments.  We request </w:t>
      </w:r>
      <w:r w:rsidR="006D6D12">
        <w:t xml:space="preserve">data </w:t>
      </w:r>
      <w:r w:rsidR="00A61DA9">
        <w:t xml:space="preserve">from </w:t>
      </w:r>
      <w:r w:rsidR="00277B96">
        <w:t xml:space="preserve">March 1, </w:t>
      </w:r>
      <w:r w:rsidR="00A61DA9">
        <w:t xml:space="preserve">2020 to the present.  </w:t>
      </w:r>
      <w:r w:rsidR="00F50FA7">
        <w:t>C</w:t>
      </w:r>
      <w:r w:rsidRPr="00265E69" w:rsidR="00D4776D">
        <w:t xml:space="preserve">omments </w:t>
      </w:r>
      <w:r w:rsidR="003F78E3">
        <w:t xml:space="preserve">are </w:t>
      </w:r>
      <w:r w:rsidRPr="00265E69" w:rsidR="00D4776D">
        <w:t>due</w:t>
      </w:r>
      <w:r w:rsidR="00866B7C">
        <w:t xml:space="preserve"> </w:t>
      </w:r>
      <w:r w:rsidR="00A268A3">
        <w:t xml:space="preserve">by </w:t>
      </w:r>
      <w:r w:rsidRPr="000D5910" w:rsidR="001D69D1">
        <w:t>April 30, 2021</w:t>
      </w:r>
      <w:r w:rsidRPr="00265E69" w:rsidR="00D4776D">
        <w:t xml:space="preserve">.  </w:t>
      </w:r>
      <w:bookmarkEnd w:id="3"/>
      <w:bookmarkEnd w:id="4"/>
      <w:bookmarkEnd w:id="5"/>
      <w:bookmarkEnd w:id="6"/>
    </w:p>
    <w:p w:rsidR="005400E2" w:rsidRPr="005400E2" w:rsidP="005400E2" w14:paraId="58A68B6B" w14:textId="7CC5E4A2">
      <w:pPr>
        <w:widowControl/>
        <w:numPr>
          <w:ilvl w:val="0"/>
          <w:numId w:val="2"/>
        </w:numPr>
        <w:rPr>
          <w:szCs w:val="22"/>
        </w:rPr>
      </w:pPr>
      <w:r w:rsidRPr="005400E2">
        <w:rPr>
          <w:szCs w:val="22"/>
        </w:rPr>
        <w:t xml:space="preserve">Electronic Filers:  Comments may be filed electronically using the Internet by accessing the ECFS:  </w:t>
      </w:r>
      <w:hyperlink r:id="rId7" w:history="1">
        <w:r w:rsidRPr="005400E2">
          <w:rPr>
            <w:color w:val="0000FF"/>
            <w:szCs w:val="22"/>
            <w:u w:val="single"/>
          </w:rPr>
          <w:t>http://apps.fcc.gov/ecfs/</w:t>
        </w:r>
      </w:hyperlink>
      <w:r w:rsidRPr="005400E2">
        <w:rPr>
          <w:szCs w:val="22"/>
        </w:rPr>
        <w:t xml:space="preserve">.  </w:t>
      </w:r>
    </w:p>
    <w:p w:rsidR="005400E2" w:rsidRPr="00905C2B" w:rsidP="005400E2" w14:paraId="083F6C6E" w14:textId="77777777">
      <w:pPr>
        <w:widowControl/>
        <w:rPr>
          <w:szCs w:val="22"/>
        </w:rPr>
      </w:pPr>
    </w:p>
    <w:p w:rsidR="005400E2" w:rsidRPr="00905C2B" w:rsidP="005400E2" w14:paraId="042F624D" w14:textId="77777777">
      <w:pPr>
        <w:widowControl/>
        <w:numPr>
          <w:ilvl w:val="0"/>
          <w:numId w:val="2"/>
        </w:numPr>
        <w:rPr>
          <w:szCs w:val="22"/>
        </w:rPr>
      </w:pPr>
      <w:r w:rsidRPr="00905C2B">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5400E2" w:rsidRPr="00905C2B" w:rsidP="005400E2" w14:paraId="28DAC924" w14:textId="77777777">
      <w:pPr>
        <w:widowControl/>
        <w:rPr>
          <w:szCs w:val="22"/>
        </w:rPr>
      </w:pPr>
    </w:p>
    <w:p w:rsidR="005400E2" w:rsidRPr="00905C2B" w:rsidP="005400E2" w14:paraId="6C632126" w14:textId="57738E50">
      <w:pPr>
        <w:widowControl/>
        <w:numPr>
          <w:ilvl w:val="0"/>
          <w:numId w:val="3"/>
        </w:numPr>
        <w:rPr>
          <w:szCs w:val="22"/>
        </w:rPr>
      </w:pPr>
      <w:r w:rsidRPr="00905C2B">
        <w:rPr>
          <w:szCs w:val="22"/>
        </w:rPr>
        <w:t>Filings can be sent by commercial overnight courier, or by first-class or overnight U.S. Postal Service mail.  All filings must be addressed to the Commission’s Secretary, Office of the Secretary, Federal Communications Commission.</w:t>
      </w:r>
    </w:p>
    <w:p w:rsidR="005400E2" w:rsidRPr="00905C2B" w:rsidP="005400E2" w14:paraId="31FB9C0D" w14:textId="77777777">
      <w:pPr>
        <w:widowControl/>
        <w:rPr>
          <w:szCs w:val="22"/>
        </w:rPr>
      </w:pPr>
    </w:p>
    <w:p w:rsidR="005400E2" w:rsidRPr="00905C2B" w:rsidP="005400E2" w14:paraId="1C9E7245" w14:textId="77777777">
      <w:pPr>
        <w:widowControl/>
        <w:numPr>
          <w:ilvl w:val="0"/>
          <w:numId w:val="3"/>
        </w:numPr>
        <w:rPr>
          <w:szCs w:val="22"/>
        </w:rPr>
      </w:pPr>
      <w:r w:rsidRPr="00905C2B">
        <w:rPr>
          <w:szCs w:val="22"/>
        </w:rPr>
        <w:t>Commercial overnight mail (other than U.S. Postal Service Express Mail and Priority Mail) must be sent to 9050 Junction Drive, Annapolis Junction, MD 20701.</w:t>
      </w:r>
    </w:p>
    <w:p w:rsidR="005400E2" w:rsidRPr="00905C2B" w:rsidP="005400E2" w14:paraId="059288DA" w14:textId="77777777">
      <w:pPr>
        <w:widowControl/>
        <w:rPr>
          <w:szCs w:val="22"/>
        </w:rPr>
      </w:pPr>
    </w:p>
    <w:p w:rsidR="005400E2" w:rsidRPr="00905C2B" w:rsidP="005400E2" w14:paraId="6198C71E" w14:textId="41DA6B63">
      <w:pPr>
        <w:widowControl/>
        <w:numPr>
          <w:ilvl w:val="0"/>
          <w:numId w:val="3"/>
        </w:numPr>
        <w:rPr>
          <w:szCs w:val="22"/>
        </w:rPr>
      </w:pPr>
      <w:r w:rsidRPr="00905C2B">
        <w:rPr>
          <w:szCs w:val="22"/>
        </w:rPr>
        <w:t>U.S. Postal Service first-class, Express, and Priority mail must be addressed to 45 L Street, NE, Washington</w:t>
      </w:r>
      <w:r w:rsidR="001731B6">
        <w:rPr>
          <w:szCs w:val="22"/>
        </w:rPr>
        <w:t>,</w:t>
      </w:r>
      <w:r w:rsidRPr="00905C2B">
        <w:rPr>
          <w:szCs w:val="22"/>
        </w:rPr>
        <w:t xml:space="preserve"> DC 20554.</w:t>
      </w:r>
    </w:p>
    <w:p w:rsidR="005400E2" w:rsidRPr="00905C2B" w:rsidP="005400E2" w14:paraId="3D1BC561" w14:textId="77777777">
      <w:pPr>
        <w:widowControl/>
        <w:ind w:left="1440"/>
        <w:rPr>
          <w:szCs w:val="22"/>
        </w:rPr>
      </w:pPr>
    </w:p>
    <w:p w:rsidR="005400E2" w:rsidRPr="00905C2B" w:rsidP="005400E2" w14:paraId="6D700143" w14:textId="6CD59493">
      <w:pPr>
        <w:widowControl/>
        <w:numPr>
          <w:ilvl w:val="0"/>
          <w:numId w:val="3"/>
        </w:numPr>
        <w:rPr>
          <w:szCs w:val="22"/>
        </w:rPr>
      </w:pPr>
      <w:r w:rsidRPr="00905C2B">
        <w:rPr>
          <w:bCs/>
          <w:szCs w:val="22"/>
        </w:rPr>
        <w:t>Effective March 19, 2020, and until further notice, the Commission no longer accepts any hand</w:t>
      </w:r>
      <w:r w:rsidR="00A268A3">
        <w:rPr>
          <w:bCs/>
          <w:szCs w:val="22"/>
        </w:rPr>
        <w:t>-</w:t>
      </w:r>
      <w:r w:rsidRPr="00905C2B">
        <w:rPr>
          <w:bCs/>
          <w:szCs w:val="22"/>
        </w:rPr>
        <w:t xml:space="preserve"> or messenger</w:t>
      </w:r>
      <w:r w:rsidR="00A268A3">
        <w:rPr>
          <w:bCs/>
          <w:szCs w:val="22"/>
        </w:rPr>
        <w:t>-</w:t>
      </w:r>
      <w:r w:rsidRPr="00905C2B">
        <w:rPr>
          <w:bCs/>
          <w:szCs w:val="22"/>
        </w:rPr>
        <w:t xml:space="preserve">delivered filings.  This is a temporary measure taken to help protect the health and safety of individuals, and to mitigate the transmission of COVID-19.  </w:t>
      </w:r>
      <w:r w:rsidRPr="004C1747">
        <w:rPr>
          <w:bCs/>
          <w:i/>
          <w:iCs/>
          <w:szCs w:val="22"/>
        </w:rPr>
        <w:t>See</w:t>
      </w:r>
      <w:r w:rsidRPr="00905C2B">
        <w:rPr>
          <w:bCs/>
          <w:szCs w:val="22"/>
        </w:rPr>
        <w:t xml:space="preserve"> </w:t>
      </w:r>
      <w:r w:rsidRPr="00905C2B">
        <w:rPr>
          <w:bCs/>
          <w:i/>
          <w:iCs/>
          <w:szCs w:val="22"/>
        </w:rPr>
        <w:t>FCC Announces Closure of FCC Headquarters Open Window and Change in Hand-Delivery Policy</w:t>
      </w:r>
      <w:r w:rsidRPr="00905C2B">
        <w:rPr>
          <w:bCs/>
          <w:szCs w:val="22"/>
        </w:rPr>
        <w:t xml:space="preserve">, Public Notice, </w:t>
      </w:r>
      <w:r w:rsidR="00CE72F6">
        <w:rPr>
          <w:bCs/>
          <w:szCs w:val="22"/>
        </w:rPr>
        <w:t xml:space="preserve">35 FCC </w:t>
      </w:r>
      <w:r w:rsidR="00CE72F6">
        <w:rPr>
          <w:bCs/>
          <w:szCs w:val="22"/>
        </w:rPr>
        <w:t>Rcd</w:t>
      </w:r>
      <w:r w:rsidR="00CE72F6">
        <w:rPr>
          <w:bCs/>
          <w:szCs w:val="22"/>
        </w:rPr>
        <w:t xml:space="preserve"> 2788</w:t>
      </w:r>
      <w:r w:rsidRPr="00905C2B">
        <w:rPr>
          <w:bCs/>
          <w:szCs w:val="22"/>
        </w:rPr>
        <w:t xml:space="preserve"> (</w:t>
      </w:r>
      <w:r w:rsidR="00CE72F6">
        <w:rPr>
          <w:bCs/>
          <w:szCs w:val="22"/>
        </w:rPr>
        <w:t xml:space="preserve">OMD </w:t>
      </w:r>
      <w:r w:rsidRPr="00905C2B">
        <w:rPr>
          <w:bCs/>
          <w:szCs w:val="22"/>
        </w:rPr>
        <w:t xml:space="preserve">2020), </w:t>
      </w:r>
      <w:hyperlink r:id="rId8" w:history="1">
        <w:r w:rsidRPr="00905C2B">
          <w:rPr>
            <w:rStyle w:val="Hyperlink"/>
            <w:bCs/>
            <w:szCs w:val="22"/>
          </w:rPr>
          <w:t>https://www.fcc.gov/document/fcc-closes-headquarters-open-window-and-changes-hand-delivery-policy</w:t>
        </w:r>
      </w:hyperlink>
      <w:r w:rsidRPr="00905C2B">
        <w:rPr>
          <w:rStyle w:val="Hyperlink"/>
          <w:bCs/>
          <w:szCs w:val="22"/>
        </w:rPr>
        <w:t>.</w:t>
      </w:r>
    </w:p>
    <w:p w:rsidR="005400E2" w:rsidRPr="00905C2B" w:rsidP="005400E2" w14:paraId="7CED5E2C" w14:textId="77777777">
      <w:pPr>
        <w:widowControl/>
        <w:ind w:left="1440"/>
        <w:rPr>
          <w:szCs w:val="22"/>
        </w:rPr>
      </w:pPr>
    </w:p>
    <w:p w:rsidR="00F50FA7" w:rsidP="00834B29" w14:paraId="6C1CEC2F" w14:textId="341A593E">
      <w:pPr>
        <w:pStyle w:val="ParaNum"/>
        <w:widowControl/>
        <w:numPr>
          <w:ilvl w:val="0"/>
          <w:numId w:val="0"/>
        </w:numPr>
        <w:ind w:firstLine="720"/>
        <w:rPr>
          <w:szCs w:val="22"/>
        </w:rPr>
      </w:pPr>
      <w:r w:rsidRPr="00905C2B">
        <w:rPr>
          <w:i/>
          <w:iCs/>
          <w:szCs w:val="22"/>
        </w:rPr>
        <w:t>People with Disabilities</w:t>
      </w:r>
      <w:r w:rsidRPr="00905C2B">
        <w:rPr>
          <w:szCs w:val="22"/>
        </w:rPr>
        <w:t xml:space="preserve">.  To request materials in accessible formats for people with disabilities (Braille, large print, electronic files, audio format), send an e-mail to </w:t>
      </w:r>
      <w:hyperlink r:id="rId9" w:history="1">
        <w:r w:rsidRPr="00905C2B">
          <w:rPr>
            <w:rStyle w:val="Hyperlink"/>
            <w:szCs w:val="22"/>
          </w:rPr>
          <w:t>fcc504@fcc.gov</w:t>
        </w:r>
      </w:hyperlink>
      <w:r w:rsidRPr="00905C2B">
        <w:rPr>
          <w:szCs w:val="22"/>
        </w:rPr>
        <w:t xml:space="preserve"> or call the Consumer and Governmental Affairs Bureau at 202-418-0530 (voice).</w:t>
      </w:r>
    </w:p>
    <w:p w:rsidR="00AE2F9C" w:rsidP="00AE2F9C" w14:paraId="7D6467A7" w14:textId="77777777">
      <w:pPr>
        <w:pStyle w:val="Paranum0"/>
        <w:rPr>
          <w:szCs w:val="22"/>
        </w:rPr>
      </w:pPr>
      <w:r>
        <w:rPr>
          <w:i/>
        </w:rPr>
        <w:t xml:space="preserve">Ex </w:t>
      </w:r>
      <w:r>
        <w:rPr>
          <w:i/>
        </w:rPr>
        <w:t>Parte</w:t>
      </w:r>
      <w:r>
        <w:rPr>
          <w:i/>
        </w:rPr>
        <w:t xml:space="preserve"> Rules.</w:t>
      </w:r>
      <w:r w:rsidRPr="00C8587F">
        <w:t xml:space="preserve">  </w:t>
      </w:r>
      <w:r w:rsidRPr="001376F0">
        <w:t xml:space="preserve">This proceeding shall be treated as a “permit-but-disclose” proceeding in accordance with the Commission’s </w:t>
      </w:r>
      <w:r w:rsidRPr="001376F0">
        <w:rPr>
          <w:i/>
        </w:rPr>
        <w:t xml:space="preserve">ex </w:t>
      </w:r>
      <w:r w:rsidRPr="001376F0">
        <w:rPr>
          <w:i/>
        </w:rPr>
        <w:t>parte</w:t>
      </w:r>
      <w:r w:rsidRPr="001376F0">
        <w:rPr>
          <w:i/>
        </w:rPr>
        <w:t xml:space="preserve"> </w:t>
      </w:r>
      <w:r w:rsidRPr="001376F0">
        <w:t>rules.</w:t>
      </w:r>
      <w:r>
        <w:rPr>
          <w:rStyle w:val="FootnoteReference"/>
        </w:rPr>
        <w:footnoteReference w:id="11"/>
      </w:r>
      <w:r w:rsidRPr="001376F0">
        <w:t xml:space="preserve">  Persons making </w:t>
      </w:r>
      <w:r w:rsidRPr="001376F0">
        <w:rPr>
          <w:i/>
        </w:rPr>
        <w:t xml:space="preserve">ex </w:t>
      </w:r>
      <w:r w:rsidRPr="001376F0">
        <w:rPr>
          <w:i/>
        </w:rPr>
        <w:t>parte</w:t>
      </w:r>
      <w:r w:rsidRPr="001376F0">
        <w:rPr>
          <w:i/>
        </w:rPr>
        <w:t xml:space="preserve"> </w:t>
      </w:r>
      <w:r w:rsidRPr="001376F0">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376F0">
        <w:rPr>
          <w:i/>
        </w:rPr>
        <w:t xml:space="preserve">ex </w:t>
      </w:r>
      <w:r w:rsidRPr="001376F0">
        <w:rPr>
          <w:i/>
        </w:rPr>
        <w:t>parte</w:t>
      </w:r>
      <w:r w:rsidRPr="001376F0">
        <w:rPr>
          <w:i/>
        </w:rPr>
        <w:t xml:space="preserve"> </w:t>
      </w:r>
      <w:r w:rsidRPr="001376F0">
        <w:t xml:space="preserve">presentations are reminded that memoranda summarizing the presentation must (1) list all persons attending or otherwise participating in the meeting at which the </w:t>
      </w:r>
      <w:r w:rsidRPr="001376F0">
        <w:rPr>
          <w:i/>
        </w:rPr>
        <w:t xml:space="preserve">ex </w:t>
      </w:r>
      <w:r w:rsidRPr="001376F0">
        <w:rPr>
          <w:i/>
        </w:rPr>
        <w:t>parte</w:t>
      </w:r>
      <w:r w:rsidRPr="001376F0">
        <w:rPr>
          <w:i/>
        </w:rPr>
        <w:t xml:space="preserve"> </w:t>
      </w:r>
      <w:r w:rsidRPr="001376F0">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376F0">
        <w:rPr>
          <w:i/>
        </w:rPr>
        <w:t xml:space="preserve">ex </w:t>
      </w:r>
      <w:r w:rsidRPr="001376F0">
        <w:rPr>
          <w:i/>
        </w:rPr>
        <w:t>parte</w:t>
      </w:r>
      <w:r w:rsidRPr="001376F0">
        <w:rPr>
          <w:i/>
        </w:rPr>
        <w:t xml:space="preserve"> </w:t>
      </w:r>
      <w:r w:rsidRPr="001376F0">
        <w:t xml:space="preserve">meetings are deemed to be written </w:t>
      </w:r>
      <w:r w:rsidRPr="001376F0">
        <w:rPr>
          <w:i/>
        </w:rPr>
        <w:t xml:space="preserve">ex </w:t>
      </w:r>
      <w:r w:rsidRPr="001376F0">
        <w:rPr>
          <w:i/>
        </w:rPr>
        <w:t>parte</w:t>
      </w:r>
      <w:r w:rsidRPr="001376F0">
        <w:t xml:space="preserve"> presentations and must be filed consistent with rule 1.1206(b).  In proceedings governed by rule 1.49(f) or for which the Commission has made available a method of electronic filing, written </w:t>
      </w:r>
      <w:r w:rsidRPr="001376F0">
        <w:rPr>
          <w:i/>
        </w:rPr>
        <w:t xml:space="preserve">ex </w:t>
      </w:r>
      <w:r w:rsidRPr="001376F0">
        <w:rPr>
          <w:i/>
        </w:rPr>
        <w:t>parte</w:t>
      </w:r>
      <w:r w:rsidRPr="001376F0">
        <w:rPr>
          <w:i/>
        </w:rPr>
        <w:t xml:space="preserve"> </w:t>
      </w:r>
      <w:r w:rsidRPr="001376F0">
        <w:t xml:space="preserve">presentations and memoranda summarizing oral </w:t>
      </w:r>
      <w:r w:rsidRPr="001376F0">
        <w:rPr>
          <w:i/>
        </w:rPr>
        <w:t xml:space="preserve">ex </w:t>
      </w:r>
      <w:r w:rsidRPr="001376F0">
        <w:rPr>
          <w:i/>
        </w:rPr>
        <w:t>parte</w:t>
      </w:r>
      <w:r w:rsidRPr="001376F0">
        <w:rPr>
          <w:i/>
        </w:rPr>
        <w:t xml:space="preserve"> </w:t>
      </w:r>
      <w:r w:rsidRPr="001376F0">
        <w:t>presentations, and all attachments thereto, must be filed through the electronic comment filing system available for that proceeding, and must be filed in their native format (</w:t>
      </w:r>
      <w:r w:rsidRPr="00F7479D">
        <w:t>e.g., .</w:t>
      </w:r>
      <w:r w:rsidRPr="001376F0">
        <w:t xml:space="preserve">doc, .xml, .ppt, searchable .pdf).  Participants in this proceeding should familiarize themselves with the Commission’s </w:t>
      </w:r>
      <w:r w:rsidRPr="001376F0">
        <w:rPr>
          <w:i/>
        </w:rPr>
        <w:t xml:space="preserve">ex </w:t>
      </w:r>
      <w:r w:rsidRPr="001376F0">
        <w:rPr>
          <w:i/>
        </w:rPr>
        <w:t>parte</w:t>
      </w:r>
      <w:r w:rsidRPr="001376F0">
        <w:rPr>
          <w:i/>
        </w:rPr>
        <w:t xml:space="preserve"> </w:t>
      </w:r>
      <w:r w:rsidRPr="001376F0">
        <w:t>rules.</w:t>
      </w:r>
    </w:p>
    <w:p w:rsidR="00D641D3" w14:paraId="2878DC91" w14:textId="36D0BEBC">
      <w:r>
        <w:tab/>
      </w:r>
      <w:r w:rsidRPr="00265E69">
        <w:t>Fo</w:t>
      </w:r>
      <w:r w:rsidRPr="00265E69" w:rsidR="00EC50C7">
        <w:t>r further information, contact</w:t>
      </w:r>
      <w:r w:rsidR="00866B7C">
        <w:t xml:space="preserve"> Mika Savir</w:t>
      </w:r>
      <w:r w:rsidRPr="00265E69" w:rsidR="00EC50C7">
        <w:t xml:space="preserve">, </w:t>
      </w:r>
      <w:r w:rsidRPr="00265E69">
        <w:t>Consumer Policy Division, Consumer and Governmental A</w:t>
      </w:r>
      <w:r w:rsidRPr="00265E69" w:rsidR="00EC50C7">
        <w:t>ffairs Bureau, at (202) 418-0</w:t>
      </w:r>
      <w:r w:rsidR="00866B7C">
        <w:t>384</w:t>
      </w:r>
      <w:r w:rsidRPr="00265E69">
        <w:t xml:space="preserve"> or </w:t>
      </w:r>
      <w:r w:rsidR="00866B7C">
        <w:t>mika.savir</w:t>
      </w:r>
      <w:r w:rsidRPr="00265E69">
        <w:t>@fcc.gov</w:t>
      </w:r>
      <w:r w:rsidRPr="00265E69" w:rsidR="00EC50C7">
        <w:t>.</w:t>
      </w:r>
    </w:p>
    <w:sectPr w:rsidSect="00872C6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imesNewRoman,Italic">
    <w:altName w:val="Times New Roman"/>
    <w:charset w:val="00"/>
    <w:family w:val="auto"/>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300FF" w:rsidP="006C31E7" w14:paraId="5D50F4DF" w14:textId="77777777">
      <w:r>
        <w:separator/>
      </w:r>
    </w:p>
  </w:footnote>
  <w:footnote w:type="continuationSeparator" w:id="1">
    <w:p w:rsidR="000300FF" w:rsidP="006C31E7" w14:paraId="6D68F499" w14:textId="77777777">
      <w:r>
        <w:continuationSeparator/>
      </w:r>
    </w:p>
  </w:footnote>
  <w:footnote w:type="continuationNotice" w:id="2">
    <w:p w:rsidR="000300FF" w14:paraId="380F0A84" w14:textId="77777777"/>
  </w:footnote>
  <w:footnote w:id="3">
    <w:p w:rsidR="00F44AD9" w:rsidRPr="0079074E" w14:paraId="5F5C9014" w14:textId="660BEEA8">
      <w:pPr>
        <w:pStyle w:val="FootnoteText"/>
      </w:pPr>
      <w:r>
        <w:rPr>
          <w:rStyle w:val="FootnoteReference"/>
        </w:rPr>
        <w:footnoteRef/>
      </w:r>
      <w:r>
        <w:t xml:space="preserve"> </w:t>
      </w:r>
      <w:r w:rsidRPr="00332026" w:rsidR="008E473F">
        <w:rPr>
          <w:i/>
          <w:iCs/>
        </w:rPr>
        <w:t>Call Blocking Tools Now Substantially Available to Consumers: Report on Call Blocking</w:t>
      </w:r>
      <w:r w:rsidR="008E473F">
        <w:t xml:space="preserve">, CG Docket No. 17-59, A Report of the Consumer and Governmental Affairs Bureau, Federal Communications Commission, June 2020 (Call Blocking Report). </w:t>
      </w:r>
      <w:r w:rsidR="00102F95">
        <w:t xml:space="preserve"> </w:t>
      </w:r>
      <w:r>
        <w:t xml:space="preserve">The Bureau’s </w:t>
      </w:r>
      <w:r w:rsidR="00102F95">
        <w:t>f</w:t>
      </w:r>
      <w:r>
        <w:t xml:space="preserve">irst </w:t>
      </w:r>
      <w:r w:rsidRPr="001B48CF" w:rsidR="001B48CF">
        <w:t>Call Blocking Report</w:t>
      </w:r>
      <w:r>
        <w:t xml:space="preserve"> </w:t>
      </w:r>
      <w:r w:rsidR="00BC484A">
        <w:t xml:space="preserve">was released pursuant to </w:t>
      </w:r>
      <w:r w:rsidR="00F10D83">
        <w:t xml:space="preserve">a </w:t>
      </w:r>
      <w:r w:rsidR="00BC484A">
        <w:t>direct</w:t>
      </w:r>
      <w:r w:rsidR="00F10D83">
        <w:t>ive</w:t>
      </w:r>
      <w:r w:rsidR="00BC484A">
        <w:t xml:space="preserve"> in </w:t>
      </w:r>
      <w:r w:rsidRPr="00174881" w:rsidR="00AC3F7D">
        <w:rPr>
          <w:rFonts w:ascii="TimesNewRoman,Italic" w:eastAsia="Calibri" w:hAnsi="TimesNewRoman,Italic" w:cs="TimesNewRoman,Italic"/>
          <w:i/>
          <w:iCs/>
        </w:rPr>
        <w:t>Advanced Methods to</w:t>
      </w:r>
      <w:r w:rsidR="00AC3F7D">
        <w:rPr>
          <w:rFonts w:ascii="TimesNewRoman,Italic" w:eastAsia="Calibri" w:hAnsi="TimesNewRoman,Italic" w:cs="TimesNewRoman,Italic"/>
          <w:i/>
          <w:iCs/>
        </w:rPr>
        <w:t xml:space="preserve"> </w:t>
      </w:r>
      <w:r w:rsidRPr="00174881" w:rsidR="00AC3F7D">
        <w:rPr>
          <w:rFonts w:ascii="TimesNewRoman,Italic" w:eastAsia="Calibri" w:hAnsi="TimesNewRoman,Italic" w:cs="TimesNewRoman,Italic"/>
          <w:i/>
          <w:iCs/>
        </w:rPr>
        <w:t>Target and Eliminate Unlawful Robocalls</w:t>
      </w:r>
      <w:r w:rsidRPr="00174881" w:rsidR="00AC3F7D">
        <w:rPr>
          <w:rFonts w:eastAsia="Calibri"/>
        </w:rPr>
        <w:t xml:space="preserve">, </w:t>
      </w:r>
      <w:r w:rsidRPr="003F20BB" w:rsidR="00AC3F7D">
        <w:rPr>
          <w:rFonts w:eastAsia="Calibri"/>
          <w:i/>
        </w:rPr>
        <w:t>Call Authentication Trust Anchor</w:t>
      </w:r>
      <w:r w:rsidR="00AC3F7D">
        <w:rPr>
          <w:rFonts w:eastAsia="Calibri"/>
        </w:rPr>
        <w:t>,</w:t>
      </w:r>
      <w:r w:rsidRPr="00314531" w:rsidR="00AC3F7D">
        <w:rPr>
          <w:rFonts w:eastAsia="Calibri"/>
        </w:rPr>
        <w:t xml:space="preserve"> </w:t>
      </w:r>
      <w:r w:rsidR="00AC3F7D">
        <w:rPr>
          <w:rFonts w:eastAsia="Calibri"/>
        </w:rPr>
        <w:t xml:space="preserve">CG Docket No. 17-59, WC Docket No. 17-97, Declaratory Ruling and Third Further </w:t>
      </w:r>
      <w:r w:rsidRPr="00174881" w:rsidR="00AC3F7D">
        <w:rPr>
          <w:rFonts w:eastAsia="Calibri"/>
        </w:rPr>
        <w:t>Notice of Proposed Rulemakin</w:t>
      </w:r>
      <w:r w:rsidR="00AC3F7D">
        <w:rPr>
          <w:rFonts w:eastAsia="Calibri"/>
        </w:rPr>
        <w:t xml:space="preserve">g, 34 FCC </w:t>
      </w:r>
      <w:r w:rsidR="00AC3F7D">
        <w:rPr>
          <w:rFonts w:eastAsia="Calibri"/>
        </w:rPr>
        <w:t>Rcd</w:t>
      </w:r>
      <w:r w:rsidR="00AC3F7D">
        <w:rPr>
          <w:rFonts w:eastAsia="Calibri"/>
        </w:rPr>
        <w:t xml:space="preserve"> 4876, 4904, para. 87 (2019) (</w:t>
      </w:r>
      <w:r w:rsidRPr="00D1765C" w:rsidR="00AC3F7D">
        <w:rPr>
          <w:rFonts w:eastAsia="Calibri"/>
          <w:i/>
          <w:iCs/>
        </w:rPr>
        <w:t>2019</w:t>
      </w:r>
      <w:r w:rsidR="00AC3F7D">
        <w:rPr>
          <w:rFonts w:eastAsia="Calibri"/>
        </w:rPr>
        <w:t xml:space="preserve"> </w:t>
      </w:r>
      <w:r w:rsidRPr="00C16A5B" w:rsidR="00AC3F7D">
        <w:rPr>
          <w:rFonts w:eastAsia="Calibri"/>
          <w:i/>
        </w:rPr>
        <w:t xml:space="preserve">Call Blocking </w:t>
      </w:r>
      <w:r w:rsidR="00AC3F7D">
        <w:rPr>
          <w:rFonts w:eastAsia="Calibri"/>
          <w:i/>
        </w:rPr>
        <w:t>Declaratory Ruling</w:t>
      </w:r>
      <w:r w:rsidR="00AC3F7D">
        <w:rPr>
          <w:rFonts w:eastAsia="Calibri"/>
        </w:rPr>
        <w:t>)</w:t>
      </w:r>
      <w:r w:rsidR="00102F95">
        <w:t>.</w:t>
      </w:r>
      <w:r w:rsidRPr="00330E7F" w:rsidR="00BC484A">
        <w:rPr>
          <w:i/>
          <w:iCs/>
        </w:rPr>
        <w:t xml:space="preserve"> </w:t>
      </w:r>
      <w:r w:rsidR="001B48CF">
        <w:rPr>
          <w:i/>
          <w:iCs/>
        </w:rPr>
        <w:t xml:space="preserve"> </w:t>
      </w:r>
      <w:r w:rsidR="006D6D12">
        <w:t>There, the Commission instructed</w:t>
      </w:r>
      <w:r w:rsidR="00BC484A">
        <w:t xml:space="preserve"> the Bureau, </w:t>
      </w:r>
      <w:r w:rsidRPr="00330E7F" w:rsidR="00BC484A">
        <w:rPr>
          <w:iCs/>
        </w:rPr>
        <w:t xml:space="preserve">in consultation with </w:t>
      </w:r>
      <w:r w:rsidR="006064FF">
        <w:rPr>
          <w:iCs/>
        </w:rPr>
        <w:t>the Wireline Competition Bureau</w:t>
      </w:r>
      <w:r w:rsidRPr="00330E7F" w:rsidR="00BC484A">
        <w:rPr>
          <w:iCs/>
        </w:rPr>
        <w:t xml:space="preserve"> and </w:t>
      </w:r>
      <w:r w:rsidR="006064FF">
        <w:rPr>
          <w:iCs/>
        </w:rPr>
        <w:t>the Public Safety and Homeland Security Bureau</w:t>
      </w:r>
      <w:r w:rsidRPr="00330E7F" w:rsidR="00BC484A">
        <w:rPr>
          <w:iCs/>
        </w:rPr>
        <w:t xml:space="preserve">, to </w:t>
      </w:r>
      <w:r w:rsidR="00BC484A">
        <w:t>prepare two reports “on the state of deployment of advanced methods and tools to eliminate [illegal robocalls], including the impact of call blocking on 911 and public safety.”</w:t>
      </w:r>
      <w:r w:rsidR="00AC3F7D">
        <w:t xml:space="preserve">  </w:t>
      </w:r>
      <w:r w:rsidRPr="00AC3F7D" w:rsidR="00AC3F7D">
        <w:rPr>
          <w:i/>
          <w:iCs/>
        </w:rPr>
        <w:t>Id</w:t>
      </w:r>
      <w:r w:rsidR="00102F95">
        <w:t>.</w:t>
      </w:r>
      <w:r w:rsidR="0079074E">
        <w:t xml:space="preserve">  The two reports were to be submitted to the Commission 12 and 24 months after release of the </w:t>
      </w:r>
      <w:r w:rsidRPr="00D1765C" w:rsidR="0079074E">
        <w:rPr>
          <w:rFonts w:eastAsia="Calibri"/>
          <w:i/>
          <w:iCs/>
        </w:rPr>
        <w:t>2019</w:t>
      </w:r>
      <w:r w:rsidR="0079074E">
        <w:rPr>
          <w:rFonts w:eastAsia="Calibri"/>
        </w:rPr>
        <w:t xml:space="preserve"> </w:t>
      </w:r>
      <w:r w:rsidRPr="00C16A5B" w:rsidR="0079074E">
        <w:rPr>
          <w:rFonts w:eastAsia="Calibri"/>
          <w:i/>
        </w:rPr>
        <w:t xml:space="preserve">Call Blocking </w:t>
      </w:r>
      <w:r w:rsidR="0079074E">
        <w:rPr>
          <w:rFonts w:eastAsia="Calibri"/>
          <w:i/>
        </w:rPr>
        <w:t>Declaratory Ruling</w:t>
      </w:r>
      <w:r w:rsidR="0079074E">
        <w:rPr>
          <w:rFonts w:eastAsia="Calibri"/>
        </w:rPr>
        <w:t>, respectively.</w:t>
      </w:r>
    </w:p>
  </w:footnote>
  <w:footnote w:id="4">
    <w:p w:rsidR="00102F95" w14:paraId="54B265B9" w14:textId="49056FE2">
      <w:pPr>
        <w:pStyle w:val="FootnoteText"/>
      </w:pPr>
      <w:r>
        <w:rPr>
          <w:rStyle w:val="FootnoteReference"/>
        </w:rPr>
        <w:footnoteRef/>
      </w:r>
      <w:r>
        <w:t xml:space="preserve"> “Consumer </w:t>
      </w:r>
      <w:r>
        <w:t>And</w:t>
      </w:r>
      <w:r>
        <w:t xml:space="preserve"> Governmental Affairs Bureau Seeks Input For Report On Call Blocking,” CG Docket No. 17-59, WC Docket No. 17-97, Public Notice, 34 FCC </w:t>
      </w:r>
      <w:r>
        <w:t>Rcd</w:t>
      </w:r>
      <w:r>
        <w:t xml:space="preserve"> 12470 (CGB 2019) (</w:t>
      </w:r>
      <w:r w:rsidRPr="001B48CF" w:rsidR="001B48CF">
        <w:rPr>
          <w:i/>
          <w:iCs/>
        </w:rPr>
        <w:t>Call Blocking Public Notice</w:t>
      </w:r>
      <w:r>
        <w:t>).</w:t>
      </w:r>
    </w:p>
  </w:footnote>
  <w:footnote w:id="5">
    <w:p w:rsidR="00BC484A" w:rsidP="009E0EDA" w14:paraId="55CCB51F" w14:textId="1E7D3719">
      <w:pPr>
        <w:pStyle w:val="FootnoteText"/>
      </w:pPr>
      <w:r>
        <w:rPr>
          <w:rStyle w:val="FootnoteReference"/>
        </w:rPr>
        <w:footnoteRef/>
      </w:r>
      <w:r>
        <w:t xml:space="preserve"> </w:t>
      </w:r>
      <w:r w:rsidR="00102F95">
        <w:rPr>
          <w:i/>
          <w:iCs/>
        </w:rPr>
        <w:t>Id.</w:t>
      </w:r>
    </w:p>
  </w:footnote>
  <w:footnote w:id="6">
    <w:p w:rsidR="006B7A38" w:rsidP="006B7A38" w14:paraId="2B866764" w14:textId="77777777">
      <w:pPr>
        <w:pStyle w:val="FootnoteText"/>
      </w:pPr>
      <w:r>
        <w:rPr>
          <w:rStyle w:val="FootnoteReference"/>
        </w:rPr>
        <w:footnoteRef/>
      </w:r>
      <w:r>
        <w:t xml:space="preserve"> </w:t>
      </w:r>
      <w:r>
        <w:rPr>
          <w:rFonts w:ascii="TimesNewRoman,Italic" w:hAnsi="TimesNewRoman,Italic" w:cs="TimesNewRoman,Italic"/>
          <w:i/>
          <w:iCs/>
        </w:rPr>
        <w:t>Advanced Methods to Target and Eliminate Unlawful Robocalls</w:t>
      </w:r>
      <w:r>
        <w:t xml:space="preserve">, CG Docket No. 17-59, Report and Order and Further Notice of Proposed Rulemaking, 32 FCC </w:t>
      </w:r>
      <w:r>
        <w:t>Rcd</w:t>
      </w:r>
      <w:r>
        <w:t xml:space="preserve"> 9706, 9731 (2018) (</w:t>
      </w:r>
      <w:r>
        <w:rPr>
          <w:rFonts w:ascii="TimesNewRoman,Italic" w:hAnsi="TimesNewRoman,Italic" w:cs="TimesNewRoman,Italic"/>
          <w:i/>
          <w:iCs/>
        </w:rPr>
        <w:t>Call Blocking Order</w:t>
      </w:r>
      <w:r>
        <w:t>)</w:t>
      </w:r>
      <w:r w:rsidRPr="001B58B4">
        <w:t>.</w:t>
      </w:r>
    </w:p>
  </w:footnote>
  <w:footnote w:id="7">
    <w:p w:rsidR="006B7A38" w:rsidP="006B7A38" w14:paraId="5E3938EC" w14:textId="6B4D48B4">
      <w:pPr>
        <w:pStyle w:val="FootnoteText"/>
      </w:pPr>
      <w:r>
        <w:rPr>
          <w:rStyle w:val="FootnoteReference"/>
        </w:rPr>
        <w:footnoteRef/>
      </w:r>
      <w:r>
        <w:t xml:space="preserve"> </w:t>
      </w:r>
      <w:r w:rsidRPr="00CE72F6" w:rsidR="00B402CA">
        <w:rPr>
          <w:i/>
          <w:iCs/>
        </w:rPr>
        <w:t>See, e.g</w:t>
      </w:r>
      <w:r w:rsidR="00B402CA">
        <w:t xml:space="preserve">., </w:t>
      </w:r>
      <w:r w:rsidRPr="00045159" w:rsidR="001E5DB3">
        <w:rPr>
          <w:i/>
          <w:iCs/>
        </w:rPr>
        <w:t xml:space="preserve">2019 </w:t>
      </w:r>
      <w:r w:rsidRPr="001E5DB3">
        <w:rPr>
          <w:rFonts w:ascii="TimesNewRomanPS-ItalicMT" w:hAnsi="TimesNewRomanPS-ItalicMT" w:cs="TimesNewRomanPS-ItalicMT"/>
          <w:i/>
          <w:iCs/>
        </w:rPr>
        <w:t>Call Blocking Declaratory Ruling</w:t>
      </w:r>
      <w:r w:rsidRPr="001E5DB3">
        <w:rPr>
          <w:rFonts w:ascii="TimesNewRomanPS-ItalicMT" w:hAnsi="TimesNewRomanPS-ItalicMT" w:cs="TimesNewRomanPS-ItalicMT"/>
          <w:iCs/>
        </w:rPr>
        <w:t xml:space="preserve">, 34 FCC </w:t>
      </w:r>
      <w:r w:rsidRPr="001E5DB3">
        <w:rPr>
          <w:rFonts w:ascii="TimesNewRomanPS-ItalicMT" w:hAnsi="TimesNewRomanPS-ItalicMT" w:cs="TimesNewRomanPS-ItalicMT"/>
          <w:iCs/>
        </w:rPr>
        <w:t>Rcd</w:t>
      </w:r>
      <w:r w:rsidRPr="001E5DB3">
        <w:rPr>
          <w:rFonts w:ascii="TimesNewRomanPS-ItalicMT" w:hAnsi="TimesNewRomanPS-ItalicMT" w:cs="TimesNewRomanPS-ItalicMT"/>
          <w:iCs/>
        </w:rPr>
        <w:t xml:space="preserve"> at 4</w:t>
      </w:r>
      <w:r w:rsidRPr="001E5DB3" w:rsidR="001E5DB3">
        <w:rPr>
          <w:rFonts w:ascii="TimesNewRomanPS-ItalicMT" w:hAnsi="TimesNewRomanPS-ItalicMT" w:cs="TimesNewRomanPS-ItalicMT"/>
          <w:iCs/>
        </w:rPr>
        <w:t>883-4891</w:t>
      </w:r>
      <w:r w:rsidRPr="001E5DB3">
        <w:rPr>
          <w:rFonts w:ascii="TimesNewRomanPS-ItalicMT" w:hAnsi="TimesNewRomanPS-ItalicMT" w:cs="TimesNewRomanPS-ItalicMT"/>
          <w:iCs/>
        </w:rPr>
        <w:t>, paras. 22-4</w:t>
      </w:r>
      <w:r w:rsidRPr="001E5DB3" w:rsidR="001E5DB3">
        <w:rPr>
          <w:rFonts w:ascii="TimesNewRomanPS-ItalicMT" w:hAnsi="TimesNewRomanPS-ItalicMT" w:cs="TimesNewRomanPS-ItalicMT"/>
          <w:iCs/>
        </w:rPr>
        <w:t>6</w:t>
      </w:r>
      <w:r w:rsidR="00B11849">
        <w:rPr>
          <w:iCs/>
        </w:rPr>
        <w:t xml:space="preserve">; </w:t>
      </w:r>
      <w:bookmarkStart w:id="9" w:name="_Hlk66802152"/>
      <w:r w:rsidRPr="00174881" w:rsidR="0025689B">
        <w:rPr>
          <w:rFonts w:ascii="TimesNewRoman,Italic" w:hAnsi="TimesNewRoman,Italic" w:cs="TimesNewRoman,Italic"/>
          <w:i/>
          <w:iCs/>
        </w:rPr>
        <w:t>Advanced Methods to Target and Eliminate Unlawful Robocalls</w:t>
      </w:r>
      <w:r w:rsidR="0025689B">
        <w:t xml:space="preserve">, CG Docket No. 17-59, </w:t>
      </w:r>
      <w:r w:rsidRPr="00D1506F" w:rsidR="0025689B">
        <w:t>T</w:t>
      </w:r>
      <w:r w:rsidR="0025689B">
        <w:t>hird</w:t>
      </w:r>
      <w:r w:rsidRPr="00D1506F" w:rsidR="0025689B">
        <w:t xml:space="preserve"> R</w:t>
      </w:r>
      <w:r w:rsidR="0025689B">
        <w:t>eport</w:t>
      </w:r>
      <w:r w:rsidRPr="00D1506F" w:rsidR="0025689B">
        <w:t xml:space="preserve"> </w:t>
      </w:r>
      <w:r w:rsidR="0025689B">
        <w:t>and</w:t>
      </w:r>
      <w:r w:rsidRPr="00D1506F" w:rsidR="0025689B">
        <w:t xml:space="preserve"> </w:t>
      </w:r>
      <w:r w:rsidR="0025689B">
        <w:t>Order</w:t>
      </w:r>
      <w:r w:rsidRPr="00D1506F" w:rsidR="0025689B">
        <w:t>, O</w:t>
      </w:r>
      <w:r w:rsidR="0025689B">
        <w:t>rder</w:t>
      </w:r>
      <w:r w:rsidRPr="00D1506F" w:rsidR="0025689B">
        <w:t xml:space="preserve"> </w:t>
      </w:r>
      <w:r w:rsidR="0025689B">
        <w:t>on</w:t>
      </w:r>
      <w:r w:rsidRPr="00D1506F" w:rsidR="0025689B">
        <w:t xml:space="preserve"> R</w:t>
      </w:r>
      <w:r w:rsidR="0025689B">
        <w:t>econsideration</w:t>
      </w:r>
      <w:r w:rsidRPr="00D1506F" w:rsidR="0025689B">
        <w:t xml:space="preserve">, </w:t>
      </w:r>
      <w:r w:rsidR="0025689B">
        <w:t xml:space="preserve">and Fourth Further </w:t>
      </w:r>
      <w:r w:rsidRPr="00174881" w:rsidR="0025689B">
        <w:t>Notice of Proposed Rulemakin</w:t>
      </w:r>
      <w:r w:rsidR="0025689B">
        <w:t xml:space="preserve">g, 35 FCC </w:t>
      </w:r>
      <w:r w:rsidR="0025689B">
        <w:t>Rcd</w:t>
      </w:r>
      <w:r w:rsidR="0025689B">
        <w:t xml:space="preserve"> 7614, 7623-37, paras. 20-60 (2020) (</w:t>
      </w:r>
      <w:r w:rsidR="0025689B">
        <w:rPr>
          <w:i/>
          <w:iCs/>
        </w:rPr>
        <w:t>Call Blocking Safe Harbor Report and Order</w:t>
      </w:r>
      <w:r w:rsidR="0025689B">
        <w:t>)</w:t>
      </w:r>
      <w:bookmarkEnd w:id="9"/>
      <w:r w:rsidRPr="0025689B" w:rsidR="0025689B">
        <w:t xml:space="preserve"> </w:t>
      </w:r>
      <w:r w:rsidR="0025689B">
        <w:t>(</w:t>
      </w:r>
      <w:r w:rsidR="00DF1E28">
        <w:t>granting</w:t>
      </w:r>
      <w:r w:rsidR="0025689B">
        <w:t xml:space="preserve"> voice service providers more incentive to block illegal calls by protecting them from liability resulting from the inadvertent blocking of wanted calls in certain cases); </w:t>
      </w:r>
      <w:r w:rsidRPr="008C3A4E">
        <w:rPr>
          <w:i/>
          <w:iCs/>
        </w:rPr>
        <w:t>Call Authentication Trust Anchor, Implementation of TRACED Act Section 6(a)—Knowledge of Customers by Entities with Access to Numbering Resources</w:t>
      </w:r>
      <w:r>
        <w:t xml:space="preserve">, WC Docket Nos. 17-97, 20-67, Report and Order and Further Notice of Proposed Rulemaking, 35 FCC </w:t>
      </w:r>
      <w:r>
        <w:t>Rcd</w:t>
      </w:r>
      <w:r>
        <w:t xml:space="preserve"> 3241 (2020) (</w:t>
      </w:r>
      <w:r w:rsidRPr="00252D81">
        <w:rPr>
          <w:i/>
          <w:iCs/>
        </w:rPr>
        <w:t>STIR/SHAKEN Order</w:t>
      </w:r>
      <w:r>
        <w:t>)</w:t>
      </w:r>
      <w:r w:rsidRPr="00806934" w:rsidR="00806934">
        <w:t xml:space="preserve"> </w:t>
      </w:r>
      <w:r w:rsidR="00806934">
        <w:t>(requir</w:t>
      </w:r>
      <w:r w:rsidR="00DF1E28">
        <w:t>ing</w:t>
      </w:r>
      <w:r w:rsidR="00806934">
        <w:t xml:space="preserve"> voice service providers to implement caller ID authentication technology on </w:t>
      </w:r>
      <w:r w:rsidR="002B5B25">
        <w:t xml:space="preserve">the Internet Protocol (IP) portions of </w:t>
      </w:r>
      <w:r w:rsidR="00806934">
        <w:t>their networks by June 30, 2021)</w:t>
      </w:r>
      <w:r>
        <w:t>;</w:t>
      </w:r>
      <w:r>
        <w:rPr>
          <w:spacing w:val="-2"/>
        </w:rPr>
        <w:t xml:space="preserve"> </w:t>
      </w:r>
      <w:r w:rsidRPr="00CD5FBC" w:rsidR="00CD5FBC">
        <w:rPr>
          <w:i/>
          <w:iCs/>
          <w:spacing w:val="-2"/>
        </w:rPr>
        <w:t>see also</w:t>
      </w:r>
      <w:r w:rsidR="00CD5FBC">
        <w:rPr>
          <w:spacing w:val="-2"/>
        </w:rPr>
        <w:t xml:space="preserve"> </w:t>
      </w:r>
      <w:r>
        <w:rPr>
          <w:i/>
          <w:iCs/>
          <w:spacing w:val="-2"/>
        </w:rPr>
        <w:t>Implementing Section 13(d) of the Pallone-Thune Telephone Robocall Abuse Criminal Enforcement and Deterrence Act (TRACED Act)</w:t>
      </w:r>
      <w:r>
        <w:rPr>
          <w:spacing w:val="-2"/>
        </w:rPr>
        <w:t xml:space="preserve">, EB Docket No. 20-22, Report and Order and Further Notice of Proposed Rulemaking, 35 </w:t>
      </w:r>
      <w:r w:rsidRPr="006A2D18">
        <w:rPr>
          <w:spacing w:val="-2"/>
        </w:rPr>
        <w:t xml:space="preserve">FCC </w:t>
      </w:r>
      <w:r>
        <w:rPr>
          <w:spacing w:val="-2"/>
        </w:rPr>
        <w:t>Rcd</w:t>
      </w:r>
      <w:r>
        <w:rPr>
          <w:spacing w:val="-2"/>
        </w:rPr>
        <w:t xml:space="preserve"> 3113 (2020) (</w:t>
      </w:r>
      <w:r>
        <w:rPr>
          <w:i/>
          <w:iCs/>
          <w:spacing w:val="-2"/>
        </w:rPr>
        <w:t>Traceback Consortium Order</w:t>
      </w:r>
      <w:r>
        <w:rPr>
          <w:spacing w:val="-2"/>
        </w:rPr>
        <w:t>)</w:t>
      </w:r>
      <w:r w:rsidRPr="006B7A38">
        <w:rPr>
          <w:spacing w:val="-2"/>
        </w:rPr>
        <w:t xml:space="preserve"> </w:t>
      </w:r>
      <w:r>
        <w:rPr>
          <w:spacing w:val="-2"/>
        </w:rPr>
        <w:t>(</w:t>
      </w:r>
      <w:r w:rsidRPr="00FB4357">
        <w:rPr>
          <w:spacing w:val="-2"/>
        </w:rPr>
        <w:t>adopt</w:t>
      </w:r>
      <w:r w:rsidR="00DF1E28">
        <w:rPr>
          <w:spacing w:val="-2"/>
        </w:rPr>
        <w:t>ing</w:t>
      </w:r>
      <w:r w:rsidRPr="00FB4357">
        <w:rPr>
          <w:spacing w:val="-2"/>
        </w:rPr>
        <w:t xml:space="preserve"> rules for a registration process for a consortium to conduct private-led traceback initiatives</w:t>
      </w:r>
      <w:r>
        <w:rPr>
          <w:spacing w:val="-2"/>
        </w:rPr>
        <w:t>);</w:t>
      </w:r>
      <w:r>
        <w:t xml:space="preserve"> </w:t>
      </w:r>
      <w:r w:rsidRPr="0034560B">
        <w:rPr>
          <w:i/>
          <w:iCs/>
        </w:rPr>
        <w:t>Protecting Consumers from One-Ring Scams</w:t>
      </w:r>
      <w:r>
        <w:t xml:space="preserve">, CG Docket No. 20-93, Report and Order, 35 FCC </w:t>
      </w:r>
      <w:r>
        <w:t>Rcd</w:t>
      </w:r>
      <w:r>
        <w:t xml:space="preserve"> 14236 (2020) (</w:t>
      </w:r>
      <w:r w:rsidRPr="0034560B">
        <w:rPr>
          <w:i/>
          <w:iCs/>
        </w:rPr>
        <w:t xml:space="preserve">One-Ring Scam </w:t>
      </w:r>
      <w:r>
        <w:rPr>
          <w:i/>
          <w:iCs/>
        </w:rPr>
        <w:t>Report and Order</w:t>
      </w:r>
      <w:r>
        <w:t>)</w:t>
      </w:r>
      <w:r w:rsidR="00BA3F25">
        <w:t xml:space="preserve"> (adopt</w:t>
      </w:r>
      <w:r w:rsidR="00DF1E28">
        <w:t>ing</w:t>
      </w:r>
      <w:r w:rsidR="00BA3F25">
        <w:t xml:space="preserve"> a rule to enable voice service providers to block calls from numbers associated with a one-ring scam)</w:t>
      </w:r>
      <w:r>
        <w:t>.</w:t>
      </w:r>
    </w:p>
  </w:footnote>
  <w:footnote w:id="8">
    <w:p w:rsidR="006B7A38" w:rsidP="006B7A38" w14:paraId="5449AE85" w14:textId="6C8206E1">
      <w:pPr>
        <w:pStyle w:val="FootnoteText"/>
      </w:pPr>
      <w:r>
        <w:rPr>
          <w:rStyle w:val="FootnoteReference"/>
        </w:rPr>
        <w:footnoteRef/>
      </w:r>
      <w:r>
        <w:t xml:space="preserve"> </w:t>
      </w:r>
      <w:r w:rsidRPr="00434F5B" w:rsidR="00434F5B">
        <w:rPr>
          <w:i/>
          <w:iCs/>
        </w:rPr>
        <w:t>See, e.g</w:t>
      </w:r>
      <w:r w:rsidR="00434F5B">
        <w:t xml:space="preserve">., </w:t>
      </w:r>
      <w:r w:rsidRPr="00174881" w:rsidR="00DA1DB0">
        <w:rPr>
          <w:rFonts w:ascii="TimesNewRoman,Italic" w:hAnsi="TimesNewRoman,Italic" w:cs="TimesNewRoman,Italic"/>
          <w:i/>
          <w:iCs/>
        </w:rPr>
        <w:t>Advanced Methods to Target and Eliminate Unlawful Robocalls</w:t>
      </w:r>
      <w:r w:rsidR="00DA1DB0">
        <w:t>, CG Docket No. 17-59, Fourth</w:t>
      </w:r>
      <w:r w:rsidRPr="00D1506F" w:rsidR="00DA1DB0">
        <w:t xml:space="preserve"> R</w:t>
      </w:r>
      <w:r w:rsidR="00DA1DB0">
        <w:t>eport</w:t>
      </w:r>
      <w:r w:rsidRPr="00D1506F" w:rsidR="00DA1DB0">
        <w:t xml:space="preserve"> </w:t>
      </w:r>
      <w:r w:rsidR="00DA1DB0">
        <w:t>and</w:t>
      </w:r>
      <w:r w:rsidRPr="00D1506F" w:rsidR="00DA1DB0">
        <w:t xml:space="preserve"> </w:t>
      </w:r>
      <w:r w:rsidR="00DA1DB0">
        <w:t>Order</w:t>
      </w:r>
      <w:r w:rsidRPr="00D1506F" w:rsidR="00DA1DB0">
        <w:t xml:space="preserve">, </w:t>
      </w:r>
      <w:r w:rsidR="00DA1DB0">
        <w:t xml:space="preserve">35 FCC </w:t>
      </w:r>
      <w:r w:rsidR="00DA1DB0">
        <w:t>Rcd</w:t>
      </w:r>
      <w:r w:rsidR="00DA1DB0">
        <w:t xml:space="preserve"> 15221, 15226-27, para. 27 (2020); </w:t>
      </w:r>
      <w:r w:rsidRPr="00045159" w:rsidR="00045159">
        <w:rPr>
          <w:i/>
          <w:iCs/>
        </w:rPr>
        <w:t xml:space="preserve">2019 </w:t>
      </w:r>
      <w:r w:rsidRPr="00045159">
        <w:rPr>
          <w:rFonts w:ascii="TimesNewRomanPS-ItalicMT" w:hAnsi="TimesNewRomanPS-ItalicMT" w:cs="TimesNewRomanPS-ItalicMT"/>
          <w:i/>
          <w:iCs/>
        </w:rPr>
        <w:t>Call Blocking Declaratory Rulin</w:t>
      </w:r>
      <w:r w:rsidRPr="00045159" w:rsidR="00045159">
        <w:rPr>
          <w:rFonts w:ascii="TimesNewRomanPS-ItalicMT" w:hAnsi="TimesNewRomanPS-ItalicMT" w:cs="TimesNewRomanPS-ItalicMT"/>
          <w:i/>
          <w:iCs/>
        </w:rPr>
        <w:t>g</w:t>
      </w:r>
      <w:r>
        <w:rPr>
          <w:rFonts w:ascii="TimesNewRomanPS-ItalicMT" w:hAnsi="TimesNewRomanPS-ItalicMT" w:cs="TimesNewRomanPS-ItalicMT"/>
          <w:iCs/>
        </w:rPr>
        <w:t xml:space="preserve">, 34 FCC </w:t>
      </w:r>
      <w:r>
        <w:rPr>
          <w:rFonts w:ascii="TimesNewRomanPS-ItalicMT" w:hAnsi="TimesNewRomanPS-ItalicMT" w:cs="TimesNewRomanPS-ItalicMT"/>
          <w:iCs/>
        </w:rPr>
        <w:t>Rcd</w:t>
      </w:r>
      <w:r>
        <w:t xml:space="preserve"> at 4877, para. 2</w:t>
      </w:r>
      <w:r w:rsidR="00DA1DB0">
        <w:t xml:space="preserve">; </w:t>
      </w:r>
      <w:r w:rsidRPr="00174881" w:rsidR="00DA1DB0">
        <w:rPr>
          <w:rFonts w:ascii="TimesNewRoman,Italic" w:eastAsia="Calibri" w:hAnsi="TimesNewRoman,Italic" w:cs="TimesNewRoman,Italic"/>
          <w:i/>
          <w:iCs/>
        </w:rPr>
        <w:t>Advanced Methods to Target and Eliminate Unlawful Robocalls</w:t>
      </w:r>
      <w:r w:rsidRPr="00174881" w:rsidR="00DA1DB0">
        <w:rPr>
          <w:rFonts w:eastAsia="Calibri"/>
        </w:rPr>
        <w:t xml:space="preserve">, </w:t>
      </w:r>
      <w:r w:rsidR="00DA1DB0">
        <w:rPr>
          <w:rFonts w:eastAsia="Calibri"/>
        </w:rPr>
        <w:t xml:space="preserve">CG Docket No. 17-59, WC Docket No. 17-97, Report and Order and Further </w:t>
      </w:r>
      <w:r w:rsidRPr="00174881" w:rsidR="00DA1DB0">
        <w:rPr>
          <w:rFonts w:eastAsia="Calibri"/>
        </w:rPr>
        <w:t>Notice of Proposed Rulemakin</w:t>
      </w:r>
      <w:r w:rsidR="00DA1DB0">
        <w:rPr>
          <w:rFonts w:eastAsia="Calibri"/>
        </w:rPr>
        <w:t xml:space="preserve">g, 32 FCC </w:t>
      </w:r>
      <w:r w:rsidR="00DA1DB0">
        <w:rPr>
          <w:rFonts w:eastAsia="Calibri"/>
        </w:rPr>
        <w:t>Rcd</w:t>
      </w:r>
      <w:r w:rsidR="00DA1DB0">
        <w:rPr>
          <w:rFonts w:eastAsia="Calibri"/>
        </w:rPr>
        <w:t xml:space="preserve"> 9706</w:t>
      </w:r>
      <w:r w:rsidR="001068F9">
        <w:rPr>
          <w:rFonts w:eastAsia="Calibri"/>
        </w:rPr>
        <w:t>, 9709, para. 9</w:t>
      </w:r>
      <w:r w:rsidR="00DA1DB0">
        <w:rPr>
          <w:rFonts w:eastAsia="Calibri"/>
        </w:rPr>
        <w:t xml:space="preserve"> (2017).</w:t>
      </w:r>
    </w:p>
  </w:footnote>
  <w:footnote w:id="9">
    <w:p w:rsidR="00BE3F8D" w:rsidP="00BE3F8D" w14:paraId="609ED67D" w14:textId="316E0D81">
      <w:pPr>
        <w:pStyle w:val="FootnoteText"/>
        <w:tabs>
          <w:tab w:val="left" w:pos="1225"/>
        </w:tabs>
      </w:pPr>
      <w:r>
        <w:rPr>
          <w:rStyle w:val="FootnoteReference"/>
        </w:rPr>
        <w:t>10</w:t>
      </w:r>
      <w:r>
        <w:t xml:space="preserve"> </w:t>
      </w:r>
      <w:r>
        <w:rPr>
          <w:i/>
        </w:rPr>
        <w:t>See</w:t>
      </w:r>
      <w:r>
        <w:t>,</w:t>
      </w:r>
      <w:r>
        <w:rPr>
          <w:i/>
        </w:rPr>
        <w:t xml:space="preserve"> e.g.</w:t>
      </w:r>
      <w:r>
        <w:t>,</w:t>
      </w:r>
      <w:r>
        <w:rPr>
          <w:i/>
        </w:rPr>
        <w:t xml:space="preserve"> FCC Clarifies That 911 Call-Forwarding Rule Does Not Preclude Wireless Carriers </w:t>
      </w:r>
      <w:r>
        <w:rPr>
          <w:i/>
        </w:rPr>
        <w:t>From</w:t>
      </w:r>
      <w:r>
        <w:rPr>
          <w:i/>
        </w:rPr>
        <w:t xml:space="preserve"> Blocking Fraudulent 911 Calls</w:t>
      </w:r>
      <w:r>
        <w:t xml:space="preserve">, Public Notice, </w:t>
      </w:r>
      <w:r w:rsidR="00045159">
        <w:t xml:space="preserve">17 FCC </w:t>
      </w:r>
      <w:r w:rsidR="00045159">
        <w:t>Rcd</w:t>
      </w:r>
      <w:r w:rsidR="00045159">
        <w:t xml:space="preserve"> 21877</w:t>
      </w:r>
      <w:r>
        <w:t xml:space="preserve"> (2002).</w:t>
      </w:r>
    </w:p>
  </w:footnote>
  <w:footnote w:id="10">
    <w:p w:rsidR="00BE3F8D" w:rsidP="00BE3F8D" w14:paraId="48976F1F" w14:textId="52EB09A1">
      <w:pPr>
        <w:pStyle w:val="FootnoteText"/>
        <w:jc w:val="both"/>
      </w:pPr>
      <w:r>
        <w:rPr>
          <w:rStyle w:val="FootnoteReference"/>
        </w:rPr>
        <w:footnoteRef/>
      </w:r>
      <w:r>
        <w:rPr>
          <w:rStyle w:val="FootnoteReference"/>
        </w:rPr>
        <w:t xml:space="preserve"> </w:t>
      </w:r>
      <w:r>
        <w:t>47 CFR § 0.459.</w:t>
      </w:r>
    </w:p>
  </w:footnote>
  <w:footnote w:id="11">
    <w:p w:rsidR="00AE2F9C" w:rsidRPr="00D94448" w:rsidP="00AE2F9C" w14:paraId="0FE97C83" w14:textId="77777777">
      <w:pPr>
        <w:pStyle w:val="FootnoteText"/>
        <w:rPr>
          <w:i/>
        </w:rPr>
      </w:pPr>
      <w:r w:rsidRPr="00D94448">
        <w:rPr>
          <w:rStyle w:val="FootnoteReference"/>
        </w:rPr>
        <w:footnoteRef/>
      </w:r>
      <w:r>
        <w:t xml:space="preserve"> </w:t>
      </w:r>
      <w:r>
        <w:rPr>
          <w:i/>
        </w:rPr>
        <w:t>Id.</w:t>
      </w:r>
      <w:r>
        <w:t xml:space="preserve"> § </w:t>
      </w:r>
      <w:r w:rsidRPr="00D94448">
        <w:t xml:space="preserve">1.1200 </w:t>
      </w:r>
      <w:r w:rsidRPr="00D94448">
        <w:rPr>
          <w:i/>
        </w:rPr>
        <w:t>et seq.</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1AF26438"/>
    <w:multiLevelType w:val="hybridMultilevel"/>
    <w:tmpl w:val="F35229D4"/>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
    <w:nsid w:val="27E06CBB"/>
    <w:multiLevelType w:val="multilevel"/>
    <w:tmpl w:val="5134A304"/>
    <w:lvl w:ilvl="0">
      <w:start w:val="1"/>
      <w:numFmt w:val="upperRoman"/>
      <w:pStyle w:val="Heading1"/>
      <w:lvlText w:val="%1."/>
      <w:lvlJc w:val="left"/>
      <w:pPr>
        <w:tabs>
          <w:tab w:val="num" w:pos="2610"/>
        </w:tabs>
        <w:ind w:left="2610" w:hanging="720"/>
      </w:pPr>
      <w:rPr>
        <w:rFonts w:cs="Times New Roman"/>
      </w:rPr>
    </w:lvl>
    <w:lvl w:ilvl="1">
      <w:start w:val="1"/>
      <w:numFmt w:val="upperLetter"/>
      <w:pStyle w:val="Heading2"/>
      <w:lvlText w:val="%2."/>
      <w:lvlJc w:val="left"/>
      <w:pPr>
        <w:tabs>
          <w:tab w:val="num" w:pos="-2070"/>
        </w:tabs>
        <w:ind w:left="-2070" w:hanging="720"/>
      </w:pPr>
      <w:rPr>
        <w:rFonts w:cs="Times New Roman"/>
      </w:rPr>
    </w:lvl>
    <w:lvl w:ilvl="2">
      <w:start w:val="1"/>
      <w:numFmt w:val="upperLetter"/>
      <w:pStyle w:val="Heading3"/>
      <w:lvlText w:val="%3."/>
      <w:lvlJc w:val="left"/>
      <w:pPr>
        <w:tabs>
          <w:tab w:val="num" w:pos="-1350"/>
        </w:tabs>
        <w:ind w:left="-1350" w:hanging="720"/>
      </w:pPr>
      <w:rPr>
        <w:rFonts w:cs="Times New Roman"/>
      </w:rPr>
    </w:lvl>
    <w:lvl w:ilvl="3">
      <w:start w:val="1"/>
      <w:numFmt w:val="lowerLetter"/>
      <w:pStyle w:val="Heading4"/>
      <w:lvlText w:val="%4."/>
      <w:lvlJc w:val="left"/>
      <w:pPr>
        <w:tabs>
          <w:tab w:val="num" w:pos="-630"/>
        </w:tabs>
        <w:ind w:left="-630" w:hanging="720"/>
      </w:pPr>
      <w:rPr>
        <w:rFonts w:cs="Times New Roman"/>
      </w:rPr>
    </w:lvl>
    <w:lvl w:ilvl="4">
      <w:start w:val="1"/>
      <w:numFmt w:val="lowerRoman"/>
      <w:pStyle w:val="Heading5"/>
      <w:lvlText w:val="(%5)"/>
      <w:lvlJc w:val="left"/>
      <w:pPr>
        <w:tabs>
          <w:tab w:val="num" w:pos="90"/>
        </w:tabs>
        <w:ind w:left="90" w:hanging="720"/>
      </w:pPr>
      <w:rPr>
        <w:rFonts w:cs="Times New Roman"/>
      </w:rPr>
    </w:lvl>
    <w:lvl w:ilvl="5">
      <w:start w:val="1"/>
      <w:numFmt w:val="lowerLetter"/>
      <w:pStyle w:val="Heading6"/>
      <w:lvlText w:val="(%6)"/>
      <w:lvlJc w:val="left"/>
      <w:pPr>
        <w:tabs>
          <w:tab w:val="num" w:pos="810"/>
        </w:tabs>
        <w:ind w:left="810" w:hanging="720"/>
      </w:pPr>
      <w:rPr>
        <w:rFonts w:cs="Times New Roman"/>
      </w:rPr>
    </w:lvl>
    <w:lvl w:ilvl="6">
      <w:start w:val="1"/>
      <w:numFmt w:val="lowerRoman"/>
      <w:pStyle w:val="Heading7"/>
      <w:lvlText w:val="(%7)"/>
      <w:lvlJc w:val="left"/>
      <w:pPr>
        <w:tabs>
          <w:tab w:val="num" w:pos="1530"/>
        </w:tabs>
        <w:ind w:left="810"/>
      </w:pPr>
      <w:rPr>
        <w:rFonts w:cs="Times New Roman"/>
      </w:rPr>
    </w:lvl>
    <w:lvl w:ilvl="7">
      <w:start w:val="1"/>
      <w:numFmt w:val="lowerLetter"/>
      <w:pStyle w:val="Heading8"/>
      <w:lvlText w:val="(%8)"/>
      <w:lvlJc w:val="left"/>
      <w:pPr>
        <w:tabs>
          <w:tab w:val="num" w:pos="1890"/>
        </w:tabs>
        <w:ind w:left="1530"/>
      </w:pPr>
      <w:rPr>
        <w:rFonts w:cs="Times New Roman"/>
      </w:rPr>
    </w:lvl>
    <w:lvl w:ilvl="8">
      <w:start w:val="1"/>
      <w:numFmt w:val="lowerRoman"/>
      <w:pStyle w:val="Heading9"/>
      <w:lvlText w:val="(%9)"/>
      <w:lvlJc w:val="left"/>
      <w:pPr>
        <w:tabs>
          <w:tab w:val="num" w:pos="2610"/>
        </w:tabs>
        <w:ind w:left="2250"/>
      </w:pPr>
      <w:rPr>
        <w:rFonts w:cs="Times New Roman"/>
      </w:rPr>
    </w:lvl>
  </w:abstractNum>
  <w:abstractNum w:abstractNumId="3">
    <w:nsid w:val="2B3306D8"/>
    <w:multiLevelType w:val="hybridMultilevel"/>
    <w:tmpl w:val="7DFE189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4"/>
  </w:num>
  <w:num w:numId="2">
    <w:abstractNumId w:val="0"/>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1E7"/>
    <w:rsid w:val="00001C01"/>
    <w:rsid w:val="000033EB"/>
    <w:rsid w:val="00004F71"/>
    <w:rsid w:val="00007E7C"/>
    <w:rsid w:val="00017D61"/>
    <w:rsid w:val="00027D27"/>
    <w:rsid w:val="000300FF"/>
    <w:rsid w:val="00035710"/>
    <w:rsid w:val="0004245A"/>
    <w:rsid w:val="0004476B"/>
    <w:rsid w:val="00045159"/>
    <w:rsid w:val="000476E0"/>
    <w:rsid w:val="000510BB"/>
    <w:rsid w:val="000569CE"/>
    <w:rsid w:val="0006222C"/>
    <w:rsid w:val="00074451"/>
    <w:rsid w:val="00075FC3"/>
    <w:rsid w:val="00080873"/>
    <w:rsid w:val="0008117B"/>
    <w:rsid w:val="000849CD"/>
    <w:rsid w:val="000938CE"/>
    <w:rsid w:val="00094032"/>
    <w:rsid w:val="00095A9E"/>
    <w:rsid w:val="0009694C"/>
    <w:rsid w:val="000A194C"/>
    <w:rsid w:val="000A1D4C"/>
    <w:rsid w:val="000A3846"/>
    <w:rsid w:val="000A6C7F"/>
    <w:rsid w:val="000A7540"/>
    <w:rsid w:val="000B1A7D"/>
    <w:rsid w:val="000B3494"/>
    <w:rsid w:val="000B4101"/>
    <w:rsid w:val="000C2ABA"/>
    <w:rsid w:val="000C73B9"/>
    <w:rsid w:val="000C7A71"/>
    <w:rsid w:val="000D438C"/>
    <w:rsid w:val="000D5910"/>
    <w:rsid w:val="000D6944"/>
    <w:rsid w:val="000F2C4B"/>
    <w:rsid w:val="000F3176"/>
    <w:rsid w:val="000F3662"/>
    <w:rsid w:val="000F424D"/>
    <w:rsid w:val="00102F95"/>
    <w:rsid w:val="001068F9"/>
    <w:rsid w:val="00113121"/>
    <w:rsid w:val="00116829"/>
    <w:rsid w:val="00125D9C"/>
    <w:rsid w:val="00135907"/>
    <w:rsid w:val="001374D8"/>
    <w:rsid w:val="001376F0"/>
    <w:rsid w:val="001408DC"/>
    <w:rsid w:val="00141682"/>
    <w:rsid w:val="001434F1"/>
    <w:rsid w:val="001438E6"/>
    <w:rsid w:val="00147CA6"/>
    <w:rsid w:val="00150850"/>
    <w:rsid w:val="0015365B"/>
    <w:rsid w:val="001551C2"/>
    <w:rsid w:val="00161CAF"/>
    <w:rsid w:val="001625F1"/>
    <w:rsid w:val="001633A4"/>
    <w:rsid w:val="0016669D"/>
    <w:rsid w:val="001731B6"/>
    <w:rsid w:val="00174442"/>
    <w:rsid w:val="00174881"/>
    <w:rsid w:val="001821BA"/>
    <w:rsid w:val="00186378"/>
    <w:rsid w:val="00194D7C"/>
    <w:rsid w:val="001A2AA2"/>
    <w:rsid w:val="001A3D3A"/>
    <w:rsid w:val="001A4A14"/>
    <w:rsid w:val="001B3DE6"/>
    <w:rsid w:val="001B3F3C"/>
    <w:rsid w:val="001B417A"/>
    <w:rsid w:val="001B48CF"/>
    <w:rsid w:val="001B58B4"/>
    <w:rsid w:val="001B617A"/>
    <w:rsid w:val="001B7777"/>
    <w:rsid w:val="001C20E9"/>
    <w:rsid w:val="001C2DD7"/>
    <w:rsid w:val="001C306A"/>
    <w:rsid w:val="001C317F"/>
    <w:rsid w:val="001C43AE"/>
    <w:rsid w:val="001C6E00"/>
    <w:rsid w:val="001C7815"/>
    <w:rsid w:val="001D0F47"/>
    <w:rsid w:val="001D3CA2"/>
    <w:rsid w:val="001D69D1"/>
    <w:rsid w:val="001D771D"/>
    <w:rsid w:val="001E086C"/>
    <w:rsid w:val="001E09E5"/>
    <w:rsid w:val="001E5DB3"/>
    <w:rsid w:val="001E6D8C"/>
    <w:rsid w:val="001F25AD"/>
    <w:rsid w:val="001F2CE9"/>
    <w:rsid w:val="001F44BF"/>
    <w:rsid w:val="001F5C21"/>
    <w:rsid w:val="002038C7"/>
    <w:rsid w:val="00206A01"/>
    <w:rsid w:val="00215BE4"/>
    <w:rsid w:val="00217982"/>
    <w:rsid w:val="00221D7C"/>
    <w:rsid w:val="00221EE5"/>
    <w:rsid w:val="00222647"/>
    <w:rsid w:val="00225AA5"/>
    <w:rsid w:val="00232063"/>
    <w:rsid w:val="002331AC"/>
    <w:rsid w:val="002344ED"/>
    <w:rsid w:val="00235F5A"/>
    <w:rsid w:val="00244438"/>
    <w:rsid w:val="0024797C"/>
    <w:rsid w:val="0025123A"/>
    <w:rsid w:val="00251D45"/>
    <w:rsid w:val="00252D81"/>
    <w:rsid w:val="0025689B"/>
    <w:rsid w:val="00261F4A"/>
    <w:rsid w:val="00265E69"/>
    <w:rsid w:val="00272261"/>
    <w:rsid w:val="00277B96"/>
    <w:rsid w:val="0028008F"/>
    <w:rsid w:val="00280994"/>
    <w:rsid w:val="002820B6"/>
    <w:rsid w:val="0028213E"/>
    <w:rsid w:val="002918C5"/>
    <w:rsid w:val="0029306C"/>
    <w:rsid w:val="0029430B"/>
    <w:rsid w:val="00297A2A"/>
    <w:rsid w:val="002A011B"/>
    <w:rsid w:val="002A29E9"/>
    <w:rsid w:val="002A66B2"/>
    <w:rsid w:val="002B0DDF"/>
    <w:rsid w:val="002B0F51"/>
    <w:rsid w:val="002B4D5B"/>
    <w:rsid w:val="002B5872"/>
    <w:rsid w:val="002B5B25"/>
    <w:rsid w:val="002D0C0E"/>
    <w:rsid w:val="002D25F4"/>
    <w:rsid w:val="002D577D"/>
    <w:rsid w:val="002D7D70"/>
    <w:rsid w:val="002E41AA"/>
    <w:rsid w:val="002E55FD"/>
    <w:rsid w:val="002E5B09"/>
    <w:rsid w:val="002E6ECF"/>
    <w:rsid w:val="002F085F"/>
    <w:rsid w:val="002F1142"/>
    <w:rsid w:val="002F2873"/>
    <w:rsid w:val="002F545B"/>
    <w:rsid w:val="00300FF1"/>
    <w:rsid w:val="003014ED"/>
    <w:rsid w:val="003026FB"/>
    <w:rsid w:val="00311E26"/>
    <w:rsid w:val="00314531"/>
    <w:rsid w:val="00314B82"/>
    <w:rsid w:val="00314DA6"/>
    <w:rsid w:val="0031511D"/>
    <w:rsid w:val="00317ADE"/>
    <w:rsid w:val="00320410"/>
    <w:rsid w:val="00321983"/>
    <w:rsid w:val="00321CC1"/>
    <w:rsid w:val="00324DED"/>
    <w:rsid w:val="00325ACB"/>
    <w:rsid w:val="00330E7F"/>
    <w:rsid w:val="00332026"/>
    <w:rsid w:val="00332D28"/>
    <w:rsid w:val="00334507"/>
    <w:rsid w:val="00334A23"/>
    <w:rsid w:val="003364A0"/>
    <w:rsid w:val="003364D2"/>
    <w:rsid w:val="0034560B"/>
    <w:rsid w:val="00352A0C"/>
    <w:rsid w:val="00353DE1"/>
    <w:rsid w:val="00354281"/>
    <w:rsid w:val="003562C2"/>
    <w:rsid w:val="0035756C"/>
    <w:rsid w:val="003606A7"/>
    <w:rsid w:val="00365044"/>
    <w:rsid w:val="003650BF"/>
    <w:rsid w:val="0037291D"/>
    <w:rsid w:val="0037744B"/>
    <w:rsid w:val="00390A1A"/>
    <w:rsid w:val="00390C1D"/>
    <w:rsid w:val="003946DB"/>
    <w:rsid w:val="003B0CB5"/>
    <w:rsid w:val="003B435E"/>
    <w:rsid w:val="003C0129"/>
    <w:rsid w:val="003C3AEF"/>
    <w:rsid w:val="003D314D"/>
    <w:rsid w:val="003E0D22"/>
    <w:rsid w:val="003E6F75"/>
    <w:rsid w:val="003F0216"/>
    <w:rsid w:val="003F0C1F"/>
    <w:rsid w:val="003F16B1"/>
    <w:rsid w:val="003F1CBE"/>
    <w:rsid w:val="003F20BB"/>
    <w:rsid w:val="003F4D3D"/>
    <w:rsid w:val="003F5CA8"/>
    <w:rsid w:val="003F78E3"/>
    <w:rsid w:val="003F7C1E"/>
    <w:rsid w:val="004101CB"/>
    <w:rsid w:val="0041392A"/>
    <w:rsid w:val="00415E35"/>
    <w:rsid w:val="00416CEB"/>
    <w:rsid w:val="004216B8"/>
    <w:rsid w:val="00422BEE"/>
    <w:rsid w:val="00423B52"/>
    <w:rsid w:val="00426766"/>
    <w:rsid w:val="00432F78"/>
    <w:rsid w:val="004334BA"/>
    <w:rsid w:val="00434DCB"/>
    <w:rsid w:val="00434F5B"/>
    <w:rsid w:val="004403A2"/>
    <w:rsid w:val="00443105"/>
    <w:rsid w:val="00444ED9"/>
    <w:rsid w:val="00446EDC"/>
    <w:rsid w:val="004474EE"/>
    <w:rsid w:val="0044772F"/>
    <w:rsid w:val="00447F32"/>
    <w:rsid w:val="00450A22"/>
    <w:rsid w:val="004516D1"/>
    <w:rsid w:val="00453B42"/>
    <w:rsid w:val="00457F47"/>
    <w:rsid w:val="00461468"/>
    <w:rsid w:val="00461AD3"/>
    <w:rsid w:val="0046542A"/>
    <w:rsid w:val="00474CBE"/>
    <w:rsid w:val="00475710"/>
    <w:rsid w:val="00476BD9"/>
    <w:rsid w:val="00477B68"/>
    <w:rsid w:val="00485E81"/>
    <w:rsid w:val="00485F54"/>
    <w:rsid w:val="0048680E"/>
    <w:rsid w:val="004932D1"/>
    <w:rsid w:val="00496E97"/>
    <w:rsid w:val="004A0CD9"/>
    <w:rsid w:val="004A171C"/>
    <w:rsid w:val="004A1CD0"/>
    <w:rsid w:val="004A6B57"/>
    <w:rsid w:val="004A7383"/>
    <w:rsid w:val="004A7679"/>
    <w:rsid w:val="004B1068"/>
    <w:rsid w:val="004C06F9"/>
    <w:rsid w:val="004C1747"/>
    <w:rsid w:val="004C4301"/>
    <w:rsid w:val="004C631D"/>
    <w:rsid w:val="004D2121"/>
    <w:rsid w:val="004D5EB5"/>
    <w:rsid w:val="004D75D2"/>
    <w:rsid w:val="004E1882"/>
    <w:rsid w:val="004E1BA7"/>
    <w:rsid w:val="004E2521"/>
    <w:rsid w:val="004E2DA1"/>
    <w:rsid w:val="004E531C"/>
    <w:rsid w:val="004E6B9A"/>
    <w:rsid w:val="004E70A0"/>
    <w:rsid w:val="004E7FC1"/>
    <w:rsid w:val="005008EB"/>
    <w:rsid w:val="00504949"/>
    <w:rsid w:val="0050646F"/>
    <w:rsid w:val="00512BCA"/>
    <w:rsid w:val="00513FB3"/>
    <w:rsid w:val="00515EA0"/>
    <w:rsid w:val="005170DB"/>
    <w:rsid w:val="00517449"/>
    <w:rsid w:val="00527DB8"/>
    <w:rsid w:val="005304B1"/>
    <w:rsid w:val="00530C89"/>
    <w:rsid w:val="0054004B"/>
    <w:rsid w:val="005400E2"/>
    <w:rsid w:val="005448DE"/>
    <w:rsid w:val="00546BFB"/>
    <w:rsid w:val="00546E35"/>
    <w:rsid w:val="00551C29"/>
    <w:rsid w:val="00553126"/>
    <w:rsid w:val="00556542"/>
    <w:rsid w:val="005603AB"/>
    <w:rsid w:val="00561A24"/>
    <w:rsid w:val="00561E8B"/>
    <w:rsid w:val="00562429"/>
    <w:rsid w:val="00562C2A"/>
    <w:rsid w:val="00562E04"/>
    <w:rsid w:val="00573755"/>
    <w:rsid w:val="0057438A"/>
    <w:rsid w:val="005759E8"/>
    <w:rsid w:val="00575B4A"/>
    <w:rsid w:val="00576A37"/>
    <w:rsid w:val="00576E08"/>
    <w:rsid w:val="005819DC"/>
    <w:rsid w:val="00583AAA"/>
    <w:rsid w:val="005853B6"/>
    <w:rsid w:val="005901D4"/>
    <w:rsid w:val="00595293"/>
    <w:rsid w:val="005A0EF9"/>
    <w:rsid w:val="005A3F05"/>
    <w:rsid w:val="005A3FFD"/>
    <w:rsid w:val="005A4784"/>
    <w:rsid w:val="005C2487"/>
    <w:rsid w:val="005C3DD3"/>
    <w:rsid w:val="005C40F7"/>
    <w:rsid w:val="005C4961"/>
    <w:rsid w:val="005C7F12"/>
    <w:rsid w:val="005D052A"/>
    <w:rsid w:val="005D331F"/>
    <w:rsid w:val="005D6D7A"/>
    <w:rsid w:val="005E0351"/>
    <w:rsid w:val="005E03E2"/>
    <w:rsid w:val="005E1E47"/>
    <w:rsid w:val="005E2564"/>
    <w:rsid w:val="005E3361"/>
    <w:rsid w:val="005E35AA"/>
    <w:rsid w:val="005E7817"/>
    <w:rsid w:val="005F0B76"/>
    <w:rsid w:val="005F1E1A"/>
    <w:rsid w:val="005F34A4"/>
    <w:rsid w:val="005F467A"/>
    <w:rsid w:val="005F6A16"/>
    <w:rsid w:val="00601512"/>
    <w:rsid w:val="006033A7"/>
    <w:rsid w:val="006064FF"/>
    <w:rsid w:val="00610104"/>
    <w:rsid w:val="006167E9"/>
    <w:rsid w:val="006206D3"/>
    <w:rsid w:val="0062156E"/>
    <w:rsid w:val="00624B77"/>
    <w:rsid w:val="006259B8"/>
    <w:rsid w:val="00627714"/>
    <w:rsid w:val="00631457"/>
    <w:rsid w:val="00631AE1"/>
    <w:rsid w:val="00637728"/>
    <w:rsid w:val="00637A31"/>
    <w:rsid w:val="006404D1"/>
    <w:rsid w:val="00640E0A"/>
    <w:rsid w:val="00641518"/>
    <w:rsid w:val="0064643B"/>
    <w:rsid w:val="00652FBF"/>
    <w:rsid w:val="00654F1F"/>
    <w:rsid w:val="00657E51"/>
    <w:rsid w:val="00662CF3"/>
    <w:rsid w:val="00665611"/>
    <w:rsid w:val="006678E8"/>
    <w:rsid w:val="006704EE"/>
    <w:rsid w:val="006738CE"/>
    <w:rsid w:val="00676B7C"/>
    <w:rsid w:val="006811C9"/>
    <w:rsid w:val="00681F07"/>
    <w:rsid w:val="006845FA"/>
    <w:rsid w:val="006869EA"/>
    <w:rsid w:val="00686C19"/>
    <w:rsid w:val="0069485E"/>
    <w:rsid w:val="006957C6"/>
    <w:rsid w:val="006A2752"/>
    <w:rsid w:val="006A2D18"/>
    <w:rsid w:val="006A5205"/>
    <w:rsid w:val="006B7A38"/>
    <w:rsid w:val="006B7B97"/>
    <w:rsid w:val="006C2F40"/>
    <w:rsid w:val="006C31E7"/>
    <w:rsid w:val="006C34A3"/>
    <w:rsid w:val="006D07FA"/>
    <w:rsid w:val="006D118B"/>
    <w:rsid w:val="006D2975"/>
    <w:rsid w:val="006D3216"/>
    <w:rsid w:val="006D5510"/>
    <w:rsid w:val="006D6B80"/>
    <w:rsid w:val="006D6D12"/>
    <w:rsid w:val="006E0A3D"/>
    <w:rsid w:val="006E0D26"/>
    <w:rsid w:val="006E2FB5"/>
    <w:rsid w:val="006E3BE3"/>
    <w:rsid w:val="006F1CD0"/>
    <w:rsid w:val="006F374D"/>
    <w:rsid w:val="006F42ED"/>
    <w:rsid w:val="006F62AF"/>
    <w:rsid w:val="00700E95"/>
    <w:rsid w:val="007031D2"/>
    <w:rsid w:val="00706895"/>
    <w:rsid w:val="00717A20"/>
    <w:rsid w:val="0072108F"/>
    <w:rsid w:val="00732A24"/>
    <w:rsid w:val="007364B7"/>
    <w:rsid w:val="007404E8"/>
    <w:rsid w:val="007407AE"/>
    <w:rsid w:val="00741063"/>
    <w:rsid w:val="0074227B"/>
    <w:rsid w:val="00743AD4"/>
    <w:rsid w:val="00750218"/>
    <w:rsid w:val="007532AB"/>
    <w:rsid w:val="00760EFE"/>
    <w:rsid w:val="00762B0B"/>
    <w:rsid w:val="007634D3"/>
    <w:rsid w:val="00771556"/>
    <w:rsid w:val="00771D9B"/>
    <w:rsid w:val="00776A71"/>
    <w:rsid w:val="00781BB4"/>
    <w:rsid w:val="0078565C"/>
    <w:rsid w:val="0078621B"/>
    <w:rsid w:val="00790211"/>
    <w:rsid w:val="0079074E"/>
    <w:rsid w:val="007A761F"/>
    <w:rsid w:val="007B0B10"/>
    <w:rsid w:val="007B0E64"/>
    <w:rsid w:val="007B1C08"/>
    <w:rsid w:val="007B3C0E"/>
    <w:rsid w:val="007B7B18"/>
    <w:rsid w:val="007C1445"/>
    <w:rsid w:val="007D2EF1"/>
    <w:rsid w:val="007D6B68"/>
    <w:rsid w:val="007D6F3E"/>
    <w:rsid w:val="007E3D0E"/>
    <w:rsid w:val="007F2348"/>
    <w:rsid w:val="007F2F62"/>
    <w:rsid w:val="007F78C4"/>
    <w:rsid w:val="008055AE"/>
    <w:rsid w:val="00806934"/>
    <w:rsid w:val="00811DF9"/>
    <w:rsid w:val="00812DD1"/>
    <w:rsid w:val="00814214"/>
    <w:rsid w:val="0081554B"/>
    <w:rsid w:val="008161AA"/>
    <w:rsid w:val="0082023B"/>
    <w:rsid w:val="00821779"/>
    <w:rsid w:val="0082237C"/>
    <w:rsid w:val="0082655F"/>
    <w:rsid w:val="00826FE4"/>
    <w:rsid w:val="008313DF"/>
    <w:rsid w:val="0083318B"/>
    <w:rsid w:val="00833BB3"/>
    <w:rsid w:val="00834B29"/>
    <w:rsid w:val="008429F1"/>
    <w:rsid w:val="0084602E"/>
    <w:rsid w:val="0085179B"/>
    <w:rsid w:val="00851D9A"/>
    <w:rsid w:val="00851F01"/>
    <w:rsid w:val="00853601"/>
    <w:rsid w:val="00854B08"/>
    <w:rsid w:val="008555BE"/>
    <w:rsid w:val="00856CB5"/>
    <w:rsid w:val="008603E3"/>
    <w:rsid w:val="0086182A"/>
    <w:rsid w:val="00863561"/>
    <w:rsid w:val="00866B7C"/>
    <w:rsid w:val="00866D48"/>
    <w:rsid w:val="00870813"/>
    <w:rsid w:val="00872C65"/>
    <w:rsid w:val="00873AA0"/>
    <w:rsid w:val="00876F00"/>
    <w:rsid w:val="008805D1"/>
    <w:rsid w:val="00897495"/>
    <w:rsid w:val="008A0801"/>
    <w:rsid w:val="008A4ED9"/>
    <w:rsid w:val="008B2ABD"/>
    <w:rsid w:val="008B4710"/>
    <w:rsid w:val="008B622F"/>
    <w:rsid w:val="008C3A4E"/>
    <w:rsid w:val="008C3A8C"/>
    <w:rsid w:val="008C4FB0"/>
    <w:rsid w:val="008C514C"/>
    <w:rsid w:val="008D0ED0"/>
    <w:rsid w:val="008D2E09"/>
    <w:rsid w:val="008D35D1"/>
    <w:rsid w:val="008D4E7A"/>
    <w:rsid w:val="008E1EBD"/>
    <w:rsid w:val="008E473F"/>
    <w:rsid w:val="008E67C9"/>
    <w:rsid w:val="008F42BF"/>
    <w:rsid w:val="008F5645"/>
    <w:rsid w:val="00905C2B"/>
    <w:rsid w:val="00906138"/>
    <w:rsid w:val="00906433"/>
    <w:rsid w:val="00907BAD"/>
    <w:rsid w:val="00913227"/>
    <w:rsid w:val="0091602F"/>
    <w:rsid w:val="009236CD"/>
    <w:rsid w:val="00923A65"/>
    <w:rsid w:val="00930112"/>
    <w:rsid w:val="009318C8"/>
    <w:rsid w:val="00933AEB"/>
    <w:rsid w:val="00933B55"/>
    <w:rsid w:val="00934AA8"/>
    <w:rsid w:val="009362BB"/>
    <w:rsid w:val="009378EC"/>
    <w:rsid w:val="00943EF1"/>
    <w:rsid w:val="00944077"/>
    <w:rsid w:val="00947195"/>
    <w:rsid w:val="0094745C"/>
    <w:rsid w:val="009531D8"/>
    <w:rsid w:val="009535FB"/>
    <w:rsid w:val="00961668"/>
    <w:rsid w:val="0096266E"/>
    <w:rsid w:val="00962E51"/>
    <w:rsid w:val="009640C8"/>
    <w:rsid w:val="009656D6"/>
    <w:rsid w:val="009727F1"/>
    <w:rsid w:val="009760E5"/>
    <w:rsid w:val="00977ADE"/>
    <w:rsid w:val="00977CCD"/>
    <w:rsid w:val="0098355F"/>
    <w:rsid w:val="00987E34"/>
    <w:rsid w:val="00997A40"/>
    <w:rsid w:val="009A1259"/>
    <w:rsid w:val="009A1794"/>
    <w:rsid w:val="009A2669"/>
    <w:rsid w:val="009A347C"/>
    <w:rsid w:val="009A3B9A"/>
    <w:rsid w:val="009A48F2"/>
    <w:rsid w:val="009A7FD0"/>
    <w:rsid w:val="009B082F"/>
    <w:rsid w:val="009B6E22"/>
    <w:rsid w:val="009C0A0F"/>
    <w:rsid w:val="009C18A8"/>
    <w:rsid w:val="009C467C"/>
    <w:rsid w:val="009C7407"/>
    <w:rsid w:val="009D010E"/>
    <w:rsid w:val="009D13D3"/>
    <w:rsid w:val="009D3532"/>
    <w:rsid w:val="009D58C6"/>
    <w:rsid w:val="009D5A93"/>
    <w:rsid w:val="009E0EDA"/>
    <w:rsid w:val="009E49BE"/>
    <w:rsid w:val="009E6CC1"/>
    <w:rsid w:val="009F1C52"/>
    <w:rsid w:val="009F575B"/>
    <w:rsid w:val="009F6FC0"/>
    <w:rsid w:val="00A00BCA"/>
    <w:rsid w:val="00A02AAB"/>
    <w:rsid w:val="00A07FFD"/>
    <w:rsid w:val="00A13F4D"/>
    <w:rsid w:val="00A14367"/>
    <w:rsid w:val="00A15908"/>
    <w:rsid w:val="00A249AD"/>
    <w:rsid w:val="00A268A3"/>
    <w:rsid w:val="00A273C0"/>
    <w:rsid w:val="00A27D49"/>
    <w:rsid w:val="00A3223B"/>
    <w:rsid w:val="00A363AE"/>
    <w:rsid w:val="00A42221"/>
    <w:rsid w:val="00A43018"/>
    <w:rsid w:val="00A466DB"/>
    <w:rsid w:val="00A512E2"/>
    <w:rsid w:val="00A53A2B"/>
    <w:rsid w:val="00A54F5B"/>
    <w:rsid w:val="00A60F2A"/>
    <w:rsid w:val="00A61DA9"/>
    <w:rsid w:val="00A63014"/>
    <w:rsid w:val="00A70837"/>
    <w:rsid w:val="00A73B57"/>
    <w:rsid w:val="00A74F47"/>
    <w:rsid w:val="00A74FC4"/>
    <w:rsid w:val="00A80830"/>
    <w:rsid w:val="00A845B7"/>
    <w:rsid w:val="00A903E0"/>
    <w:rsid w:val="00A92AAC"/>
    <w:rsid w:val="00A95B9E"/>
    <w:rsid w:val="00A96817"/>
    <w:rsid w:val="00AA6BE1"/>
    <w:rsid w:val="00AC1C00"/>
    <w:rsid w:val="00AC3E5A"/>
    <w:rsid w:val="00AC3F7D"/>
    <w:rsid w:val="00AC7376"/>
    <w:rsid w:val="00AD0842"/>
    <w:rsid w:val="00AD0A56"/>
    <w:rsid w:val="00AD0F70"/>
    <w:rsid w:val="00AD4893"/>
    <w:rsid w:val="00AE2A21"/>
    <w:rsid w:val="00AE2F9C"/>
    <w:rsid w:val="00AF3799"/>
    <w:rsid w:val="00B027E7"/>
    <w:rsid w:val="00B04C2D"/>
    <w:rsid w:val="00B05FE6"/>
    <w:rsid w:val="00B063F4"/>
    <w:rsid w:val="00B07077"/>
    <w:rsid w:val="00B07A35"/>
    <w:rsid w:val="00B10740"/>
    <w:rsid w:val="00B11849"/>
    <w:rsid w:val="00B11C05"/>
    <w:rsid w:val="00B11DBB"/>
    <w:rsid w:val="00B1310A"/>
    <w:rsid w:val="00B16DB2"/>
    <w:rsid w:val="00B20363"/>
    <w:rsid w:val="00B20C80"/>
    <w:rsid w:val="00B2422D"/>
    <w:rsid w:val="00B244BE"/>
    <w:rsid w:val="00B2500E"/>
    <w:rsid w:val="00B32455"/>
    <w:rsid w:val="00B32961"/>
    <w:rsid w:val="00B338A9"/>
    <w:rsid w:val="00B36137"/>
    <w:rsid w:val="00B402CA"/>
    <w:rsid w:val="00B4038D"/>
    <w:rsid w:val="00B4232F"/>
    <w:rsid w:val="00B44A67"/>
    <w:rsid w:val="00B45322"/>
    <w:rsid w:val="00B45509"/>
    <w:rsid w:val="00B46840"/>
    <w:rsid w:val="00B46BDD"/>
    <w:rsid w:val="00B507D9"/>
    <w:rsid w:val="00B50802"/>
    <w:rsid w:val="00B521C8"/>
    <w:rsid w:val="00B5756E"/>
    <w:rsid w:val="00B63DC9"/>
    <w:rsid w:val="00B63EE4"/>
    <w:rsid w:val="00B66438"/>
    <w:rsid w:val="00B72902"/>
    <w:rsid w:val="00B7739D"/>
    <w:rsid w:val="00B858FB"/>
    <w:rsid w:val="00B86EF4"/>
    <w:rsid w:val="00B878A5"/>
    <w:rsid w:val="00B9086F"/>
    <w:rsid w:val="00B931A4"/>
    <w:rsid w:val="00BA32C7"/>
    <w:rsid w:val="00BA3F25"/>
    <w:rsid w:val="00BA6988"/>
    <w:rsid w:val="00BB42DF"/>
    <w:rsid w:val="00BB73C3"/>
    <w:rsid w:val="00BB777F"/>
    <w:rsid w:val="00BB7F47"/>
    <w:rsid w:val="00BC3C76"/>
    <w:rsid w:val="00BC484A"/>
    <w:rsid w:val="00BC6D24"/>
    <w:rsid w:val="00BD2113"/>
    <w:rsid w:val="00BD234A"/>
    <w:rsid w:val="00BD67F3"/>
    <w:rsid w:val="00BE2D40"/>
    <w:rsid w:val="00BE3F8D"/>
    <w:rsid w:val="00BE6082"/>
    <w:rsid w:val="00BE6DA7"/>
    <w:rsid w:val="00BE6E5C"/>
    <w:rsid w:val="00BE757D"/>
    <w:rsid w:val="00BF1BE6"/>
    <w:rsid w:val="00BF32CD"/>
    <w:rsid w:val="00BF3BF2"/>
    <w:rsid w:val="00C0002A"/>
    <w:rsid w:val="00C0270C"/>
    <w:rsid w:val="00C04A26"/>
    <w:rsid w:val="00C06436"/>
    <w:rsid w:val="00C06D4F"/>
    <w:rsid w:val="00C07CF4"/>
    <w:rsid w:val="00C113AA"/>
    <w:rsid w:val="00C1170F"/>
    <w:rsid w:val="00C13D5F"/>
    <w:rsid w:val="00C16A5B"/>
    <w:rsid w:val="00C307CC"/>
    <w:rsid w:val="00C32BD9"/>
    <w:rsid w:val="00C3677F"/>
    <w:rsid w:val="00C379E1"/>
    <w:rsid w:val="00C4079B"/>
    <w:rsid w:val="00C42CB8"/>
    <w:rsid w:val="00C5104C"/>
    <w:rsid w:val="00C525FB"/>
    <w:rsid w:val="00C5358F"/>
    <w:rsid w:val="00C55E7D"/>
    <w:rsid w:val="00C57176"/>
    <w:rsid w:val="00C61CC1"/>
    <w:rsid w:val="00C642E5"/>
    <w:rsid w:val="00C64FA6"/>
    <w:rsid w:val="00C7022D"/>
    <w:rsid w:val="00C720B8"/>
    <w:rsid w:val="00C740EF"/>
    <w:rsid w:val="00C74105"/>
    <w:rsid w:val="00C74ADE"/>
    <w:rsid w:val="00C75170"/>
    <w:rsid w:val="00C76BA4"/>
    <w:rsid w:val="00C801BF"/>
    <w:rsid w:val="00C84333"/>
    <w:rsid w:val="00C8587F"/>
    <w:rsid w:val="00C868FD"/>
    <w:rsid w:val="00C92604"/>
    <w:rsid w:val="00C93A46"/>
    <w:rsid w:val="00C95F8F"/>
    <w:rsid w:val="00C9638E"/>
    <w:rsid w:val="00CA3520"/>
    <w:rsid w:val="00CA47C7"/>
    <w:rsid w:val="00CA5A3B"/>
    <w:rsid w:val="00CB0825"/>
    <w:rsid w:val="00CB18C8"/>
    <w:rsid w:val="00CB4140"/>
    <w:rsid w:val="00CB524C"/>
    <w:rsid w:val="00CB5EE5"/>
    <w:rsid w:val="00CB7BA8"/>
    <w:rsid w:val="00CC0B79"/>
    <w:rsid w:val="00CC79CF"/>
    <w:rsid w:val="00CD06AD"/>
    <w:rsid w:val="00CD0F14"/>
    <w:rsid w:val="00CD2CAB"/>
    <w:rsid w:val="00CD5FBC"/>
    <w:rsid w:val="00CD622B"/>
    <w:rsid w:val="00CE0296"/>
    <w:rsid w:val="00CE3D0B"/>
    <w:rsid w:val="00CE3EB2"/>
    <w:rsid w:val="00CE4CCB"/>
    <w:rsid w:val="00CE72F6"/>
    <w:rsid w:val="00CE7370"/>
    <w:rsid w:val="00CF340B"/>
    <w:rsid w:val="00CF340C"/>
    <w:rsid w:val="00CF69C0"/>
    <w:rsid w:val="00D00EF8"/>
    <w:rsid w:val="00D01255"/>
    <w:rsid w:val="00D01ABC"/>
    <w:rsid w:val="00D03530"/>
    <w:rsid w:val="00D046BD"/>
    <w:rsid w:val="00D05EAB"/>
    <w:rsid w:val="00D1506F"/>
    <w:rsid w:val="00D1765C"/>
    <w:rsid w:val="00D216CD"/>
    <w:rsid w:val="00D2740F"/>
    <w:rsid w:val="00D36673"/>
    <w:rsid w:val="00D3787F"/>
    <w:rsid w:val="00D37CA4"/>
    <w:rsid w:val="00D42F47"/>
    <w:rsid w:val="00D44631"/>
    <w:rsid w:val="00D45926"/>
    <w:rsid w:val="00D4655A"/>
    <w:rsid w:val="00D4776D"/>
    <w:rsid w:val="00D51781"/>
    <w:rsid w:val="00D52D7D"/>
    <w:rsid w:val="00D53306"/>
    <w:rsid w:val="00D537EF"/>
    <w:rsid w:val="00D54212"/>
    <w:rsid w:val="00D60F49"/>
    <w:rsid w:val="00D616B3"/>
    <w:rsid w:val="00D61E56"/>
    <w:rsid w:val="00D62463"/>
    <w:rsid w:val="00D641D3"/>
    <w:rsid w:val="00D64454"/>
    <w:rsid w:val="00D65840"/>
    <w:rsid w:val="00D71C1A"/>
    <w:rsid w:val="00D75B15"/>
    <w:rsid w:val="00D75B5B"/>
    <w:rsid w:val="00D75C6E"/>
    <w:rsid w:val="00D77A05"/>
    <w:rsid w:val="00D8020A"/>
    <w:rsid w:val="00D81C29"/>
    <w:rsid w:val="00D81F4F"/>
    <w:rsid w:val="00D9128A"/>
    <w:rsid w:val="00D91C7A"/>
    <w:rsid w:val="00D94448"/>
    <w:rsid w:val="00D97F88"/>
    <w:rsid w:val="00DA1DAC"/>
    <w:rsid w:val="00DA1DB0"/>
    <w:rsid w:val="00DA1F60"/>
    <w:rsid w:val="00DA2551"/>
    <w:rsid w:val="00DA5814"/>
    <w:rsid w:val="00DA5EF7"/>
    <w:rsid w:val="00DA5F6D"/>
    <w:rsid w:val="00DB1989"/>
    <w:rsid w:val="00DC411A"/>
    <w:rsid w:val="00DD161C"/>
    <w:rsid w:val="00DD32CB"/>
    <w:rsid w:val="00DE1475"/>
    <w:rsid w:val="00DE3C6B"/>
    <w:rsid w:val="00DE716E"/>
    <w:rsid w:val="00DF1E28"/>
    <w:rsid w:val="00DF49EA"/>
    <w:rsid w:val="00DF7177"/>
    <w:rsid w:val="00E00835"/>
    <w:rsid w:val="00E01D5C"/>
    <w:rsid w:val="00E02031"/>
    <w:rsid w:val="00E0263F"/>
    <w:rsid w:val="00E0365D"/>
    <w:rsid w:val="00E05B48"/>
    <w:rsid w:val="00E141AA"/>
    <w:rsid w:val="00E16A95"/>
    <w:rsid w:val="00E16AD6"/>
    <w:rsid w:val="00E16DFE"/>
    <w:rsid w:val="00E2013C"/>
    <w:rsid w:val="00E20D10"/>
    <w:rsid w:val="00E21DEB"/>
    <w:rsid w:val="00E226B7"/>
    <w:rsid w:val="00E23CE0"/>
    <w:rsid w:val="00E23E7C"/>
    <w:rsid w:val="00E243DE"/>
    <w:rsid w:val="00E35CE5"/>
    <w:rsid w:val="00E3723E"/>
    <w:rsid w:val="00E4351B"/>
    <w:rsid w:val="00E43A2F"/>
    <w:rsid w:val="00E46BEC"/>
    <w:rsid w:val="00E52585"/>
    <w:rsid w:val="00E535E9"/>
    <w:rsid w:val="00E566D6"/>
    <w:rsid w:val="00E56E09"/>
    <w:rsid w:val="00E77FAA"/>
    <w:rsid w:val="00E87D06"/>
    <w:rsid w:val="00E95A48"/>
    <w:rsid w:val="00E9665C"/>
    <w:rsid w:val="00EA2D1B"/>
    <w:rsid w:val="00EA41F8"/>
    <w:rsid w:val="00EA4237"/>
    <w:rsid w:val="00EB15B9"/>
    <w:rsid w:val="00EB1DF0"/>
    <w:rsid w:val="00EB3C4A"/>
    <w:rsid w:val="00EC2B0C"/>
    <w:rsid w:val="00EC50C7"/>
    <w:rsid w:val="00EC6825"/>
    <w:rsid w:val="00EC71C0"/>
    <w:rsid w:val="00ED02EE"/>
    <w:rsid w:val="00ED121D"/>
    <w:rsid w:val="00ED4BC0"/>
    <w:rsid w:val="00ED665A"/>
    <w:rsid w:val="00EE13A7"/>
    <w:rsid w:val="00EE43A0"/>
    <w:rsid w:val="00EE4AD6"/>
    <w:rsid w:val="00EE4F40"/>
    <w:rsid w:val="00EF6851"/>
    <w:rsid w:val="00EF751A"/>
    <w:rsid w:val="00F0201E"/>
    <w:rsid w:val="00F04D42"/>
    <w:rsid w:val="00F10D83"/>
    <w:rsid w:val="00F114D8"/>
    <w:rsid w:val="00F20763"/>
    <w:rsid w:val="00F32042"/>
    <w:rsid w:val="00F4131E"/>
    <w:rsid w:val="00F42062"/>
    <w:rsid w:val="00F449B0"/>
    <w:rsid w:val="00F44AD9"/>
    <w:rsid w:val="00F50FA7"/>
    <w:rsid w:val="00F6600D"/>
    <w:rsid w:val="00F66028"/>
    <w:rsid w:val="00F7396F"/>
    <w:rsid w:val="00F7479D"/>
    <w:rsid w:val="00F8179F"/>
    <w:rsid w:val="00F82D22"/>
    <w:rsid w:val="00F84037"/>
    <w:rsid w:val="00F9024B"/>
    <w:rsid w:val="00F9134B"/>
    <w:rsid w:val="00FA1C46"/>
    <w:rsid w:val="00FA6BC3"/>
    <w:rsid w:val="00FB0CDA"/>
    <w:rsid w:val="00FB4357"/>
    <w:rsid w:val="00FB49B3"/>
    <w:rsid w:val="00FB4A5E"/>
    <w:rsid w:val="00FB4E15"/>
    <w:rsid w:val="00FB7260"/>
    <w:rsid w:val="00FC2C84"/>
    <w:rsid w:val="00FC2E1B"/>
    <w:rsid w:val="00FC324A"/>
    <w:rsid w:val="00FC4CAE"/>
    <w:rsid w:val="00FC6505"/>
    <w:rsid w:val="00FD0AB7"/>
    <w:rsid w:val="00FD61CD"/>
    <w:rsid w:val="00FD6BDE"/>
    <w:rsid w:val="00FD6F5B"/>
    <w:rsid w:val="00FE1EAF"/>
    <w:rsid w:val="00FE3464"/>
    <w:rsid w:val="00FE71F2"/>
    <w:rsid w:val="00FF6EC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46660ABE"/>
  <w15:docId w15:val="{0E79F100-4753-4217-9A8D-01F13C73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1E7"/>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0"/>
    <w:link w:val="Heading1Char"/>
    <w:uiPriority w:val="9"/>
    <w:qFormat/>
    <w:pPr>
      <w:keepNext/>
      <w:numPr>
        <w:numId w:val="7"/>
      </w:numPr>
      <w:suppressAutoHyphens/>
      <w:spacing w:after="120"/>
      <w:outlineLvl w:val="0"/>
    </w:pPr>
    <w:rPr>
      <w:rFonts w:ascii="Times New Roman Bold" w:hAnsi="Times New Roman Bold"/>
      <w:b/>
      <w:caps/>
      <w:snapToGrid/>
    </w:rPr>
  </w:style>
  <w:style w:type="paragraph" w:styleId="Heading2">
    <w:name w:val="heading 2"/>
    <w:basedOn w:val="Normal"/>
    <w:next w:val="Paranum0"/>
    <w:link w:val="Heading2Char"/>
    <w:autoRedefine/>
    <w:uiPriority w:val="9"/>
    <w:qFormat/>
    <w:pPr>
      <w:keepNext/>
      <w:numPr>
        <w:ilvl w:val="1"/>
        <w:numId w:val="7"/>
      </w:numPr>
      <w:spacing w:after="120"/>
      <w:ind w:left="2160"/>
      <w:outlineLvl w:val="1"/>
    </w:pPr>
    <w:rPr>
      <w:b/>
      <w:bCs/>
      <w:snapToGrid/>
    </w:rPr>
  </w:style>
  <w:style w:type="paragraph" w:styleId="Heading3">
    <w:name w:val="heading 3"/>
    <w:basedOn w:val="Normal"/>
    <w:next w:val="Paranum0"/>
    <w:link w:val="Heading3Char"/>
    <w:uiPriority w:val="9"/>
    <w:qFormat/>
    <w:pPr>
      <w:keepNext/>
      <w:numPr>
        <w:ilvl w:val="2"/>
        <w:numId w:val="7"/>
      </w:numPr>
      <w:spacing w:after="120"/>
      <w:outlineLvl w:val="2"/>
    </w:pPr>
    <w:rPr>
      <w:b/>
      <w:snapToGrid/>
    </w:rPr>
  </w:style>
  <w:style w:type="paragraph" w:styleId="Heading4">
    <w:name w:val="heading 4"/>
    <w:basedOn w:val="Normal"/>
    <w:next w:val="Paranum0"/>
    <w:link w:val="Heading4Char"/>
    <w:uiPriority w:val="9"/>
    <w:qFormat/>
    <w:pPr>
      <w:keepNext/>
      <w:numPr>
        <w:ilvl w:val="3"/>
        <w:numId w:val="7"/>
      </w:numPr>
      <w:spacing w:after="120"/>
      <w:outlineLvl w:val="3"/>
    </w:pPr>
    <w:rPr>
      <w:b/>
      <w:snapToGrid/>
    </w:rPr>
  </w:style>
  <w:style w:type="paragraph" w:styleId="Heading5">
    <w:name w:val="heading 5"/>
    <w:basedOn w:val="Normal"/>
    <w:next w:val="Paranum0"/>
    <w:link w:val="Heading5Char"/>
    <w:uiPriority w:val="9"/>
    <w:qFormat/>
    <w:pPr>
      <w:keepNext/>
      <w:numPr>
        <w:ilvl w:val="4"/>
        <w:numId w:val="7"/>
      </w:numPr>
      <w:suppressAutoHyphens/>
      <w:spacing w:after="120"/>
      <w:outlineLvl w:val="4"/>
    </w:pPr>
    <w:rPr>
      <w:b/>
      <w:snapToGrid/>
    </w:rPr>
  </w:style>
  <w:style w:type="paragraph" w:styleId="Heading6">
    <w:name w:val="heading 6"/>
    <w:basedOn w:val="Normal"/>
    <w:next w:val="Paranum0"/>
    <w:link w:val="Heading6Char"/>
    <w:uiPriority w:val="9"/>
    <w:qFormat/>
    <w:pPr>
      <w:numPr>
        <w:ilvl w:val="5"/>
        <w:numId w:val="7"/>
      </w:numPr>
      <w:spacing w:after="120"/>
      <w:outlineLvl w:val="5"/>
    </w:pPr>
    <w:rPr>
      <w:b/>
      <w:snapToGrid/>
    </w:rPr>
  </w:style>
  <w:style w:type="paragraph" w:styleId="Heading7">
    <w:name w:val="heading 7"/>
    <w:basedOn w:val="Normal"/>
    <w:next w:val="Paranum0"/>
    <w:link w:val="Heading7Char"/>
    <w:uiPriority w:val="9"/>
    <w:qFormat/>
    <w:pPr>
      <w:numPr>
        <w:ilvl w:val="6"/>
        <w:numId w:val="7"/>
      </w:numPr>
      <w:spacing w:after="120"/>
      <w:outlineLvl w:val="6"/>
    </w:pPr>
    <w:rPr>
      <w:b/>
      <w:snapToGrid/>
    </w:rPr>
  </w:style>
  <w:style w:type="paragraph" w:styleId="Heading8">
    <w:name w:val="heading 8"/>
    <w:basedOn w:val="Normal"/>
    <w:next w:val="Paranum0"/>
    <w:link w:val="Heading8Char"/>
    <w:uiPriority w:val="9"/>
    <w:qFormat/>
    <w:pPr>
      <w:numPr>
        <w:ilvl w:val="7"/>
        <w:numId w:val="7"/>
      </w:numPr>
      <w:tabs>
        <w:tab w:val="left" w:pos="5760"/>
      </w:tabs>
      <w:spacing w:after="120"/>
      <w:outlineLvl w:val="7"/>
    </w:pPr>
    <w:rPr>
      <w:b/>
      <w:snapToGrid/>
    </w:rPr>
  </w:style>
  <w:style w:type="paragraph" w:styleId="Heading9">
    <w:name w:val="heading 9"/>
    <w:basedOn w:val="Normal"/>
    <w:next w:val="Paranum0"/>
    <w:link w:val="Heading9Char"/>
    <w:uiPriority w:val="9"/>
    <w:qFormat/>
    <w:pPr>
      <w:numPr>
        <w:ilvl w:val="8"/>
        <w:numId w:val="7"/>
      </w:numPr>
      <w:tabs>
        <w:tab w:val="left" w:pos="6480"/>
      </w:tabs>
      <w:spacing w:after="120"/>
      <w:outlineLvl w:val="8"/>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6C31E7"/>
    <w:pPr>
      <w:spacing w:before="40"/>
    </w:pPr>
    <w:rPr>
      <w:rFonts w:ascii="Arial" w:hAnsi="Arial" w:cs="Arial"/>
      <w:b/>
      <w:sz w:val="96"/>
    </w:rPr>
  </w:style>
  <w:style w:type="character" w:customStyle="1" w:styleId="HeaderChar">
    <w:name w:val="Header Char"/>
    <w:basedOn w:val="DefaultParagraphFont"/>
    <w:link w:val="Header"/>
    <w:rsid w:val="006C31E7"/>
    <w:rPr>
      <w:rFonts w:ascii="Arial" w:eastAsia="Times New Roman" w:hAnsi="Arial" w:cs="Arial"/>
      <w:b/>
      <w:snapToGrid w:val="0"/>
      <w:kern w:val="28"/>
      <w:sz w:val="96"/>
      <w:szCs w:val="20"/>
    </w:rPr>
  </w:style>
  <w:style w:type="character" w:styleId="Hyperlink">
    <w:name w:val="Hyperlink"/>
    <w:rsid w:val="006C31E7"/>
    <w:rPr>
      <w:color w:val="0000FF"/>
      <w:u w:val="single"/>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ootnote Text Char3,f,fn,fn Char"/>
    <w:link w:val="FootnoteTextChar1"/>
    <w:qFormat/>
    <w:rsid w:val="006C31E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 Char"/>
    <w:basedOn w:val="DefaultParagraphFont"/>
    <w:rsid w:val="006C31E7"/>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6C31E7"/>
    <w:rPr>
      <w:rFonts w:ascii="Times New Roman" w:hAnsi="Times New Roman"/>
      <w:dstrike w:val="0"/>
      <w:color w:val="auto"/>
      <w:sz w:val="20"/>
      <w:vertAlign w:val="superscript"/>
    </w:rPr>
  </w:style>
  <w:style w:type="character" w:customStyle="1" w:styleId="FootnoteTextChar1">
    <w:name w:val="Footnote Text Char1"/>
    <w:aliases w:val="ALTS FOOTNOTE Char Char,ALTS FOOTNOTE Char1,Footnote Text Char Char Char Char,Footnote Text Char Char Char Char Char Char Char,Footnote Text Char1 Char Char,Footnote Text Char1 Char1 Char Char Char Char,Footnote Text Char3 Char"/>
    <w:basedOn w:val="DefaultParagraphFont"/>
    <w:link w:val="FootnoteText"/>
    <w:uiPriority w:val="99"/>
    <w:rsid w:val="006C31E7"/>
    <w:rPr>
      <w:rFonts w:ascii="Times New Roman" w:eastAsia="Times New Roman" w:hAnsi="Times New Roman" w:cs="Times New Roman"/>
      <w:sz w:val="20"/>
      <w:szCs w:val="20"/>
    </w:rPr>
  </w:style>
  <w:style w:type="paragraph" w:styleId="PlainText">
    <w:name w:val="Plain Text"/>
    <w:basedOn w:val="Normal"/>
    <w:link w:val="PlainTextChar"/>
    <w:rsid w:val="006C31E7"/>
    <w:pPr>
      <w:widowControl/>
    </w:pPr>
    <w:rPr>
      <w:rFonts w:ascii="Courier New" w:hAnsi="Courier New" w:cs="Courier New"/>
      <w:snapToGrid/>
      <w:kern w:val="0"/>
      <w:sz w:val="20"/>
    </w:rPr>
  </w:style>
  <w:style w:type="character" w:customStyle="1" w:styleId="PlainTextChar">
    <w:name w:val="Plain Text Char"/>
    <w:basedOn w:val="DefaultParagraphFont"/>
    <w:link w:val="PlainText"/>
    <w:rsid w:val="006C31E7"/>
    <w:rPr>
      <w:rFonts w:ascii="Courier New" w:eastAsia="Times New Roman" w:hAnsi="Courier New" w:cs="Courier New"/>
      <w:sz w:val="20"/>
      <w:szCs w:val="20"/>
    </w:rPr>
  </w:style>
  <w:style w:type="paragraph" w:customStyle="1" w:styleId="ParaNum">
    <w:name w:val="ParaNum"/>
    <w:basedOn w:val="Normal"/>
    <w:link w:val="ParaNumChar"/>
    <w:rsid w:val="00D00EF8"/>
    <w:pPr>
      <w:numPr>
        <w:numId w:val="4"/>
      </w:numPr>
      <w:tabs>
        <w:tab w:val="clear" w:pos="1080"/>
        <w:tab w:val="num" w:pos="1440"/>
      </w:tabs>
      <w:spacing w:after="120"/>
    </w:pPr>
  </w:style>
  <w:style w:type="character" w:customStyle="1" w:styleId="Mention1">
    <w:name w:val="Mention1"/>
    <w:basedOn w:val="DefaultParagraphFont"/>
    <w:uiPriority w:val="99"/>
    <w:semiHidden/>
    <w:unhideWhenUsed/>
    <w:rsid w:val="00B36137"/>
    <w:rPr>
      <w:color w:val="2B579A"/>
      <w:shd w:val="clear" w:color="auto" w:fill="E6E6E6"/>
    </w:rPr>
  </w:style>
  <w:style w:type="character" w:styleId="CommentReference">
    <w:name w:val="annotation reference"/>
    <w:basedOn w:val="DefaultParagraphFont"/>
    <w:uiPriority w:val="99"/>
    <w:semiHidden/>
    <w:unhideWhenUsed/>
    <w:rsid w:val="00A903E0"/>
    <w:rPr>
      <w:sz w:val="16"/>
      <w:szCs w:val="16"/>
    </w:rPr>
  </w:style>
  <w:style w:type="paragraph" w:styleId="CommentText">
    <w:name w:val="annotation text"/>
    <w:basedOn w:val="Normal"/>
    <w:link w:val="CommentTextChar"/>
    <w:uiPriority w:val="99"/>
    <w:semiHidden/>
    <w:unhideWhenUsed/>
    <w:rsid w:val="00A903E0"/>
    <w:rPr>
      <w:sz w:val="20"/>
    </w:rPr>
  </w:style>
  <w:style w:type="character" w:customStyle="1" w:styleId="CommentTextChar">
    <w:name w:val="Comment Text Char"/>
    <w:basedOn w:val="DefaultParagraphFont"/>
    <w:link w:val="CommentText"/>
    <w:uiPriority w:val="99"/>
    <w:semiHidden/>
    <w:rsid w:val="00A903E0"/>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A903E0"/>
    <w:rPr>
      <w:b/>
      <w:bCs/>
    </w:rPr>
  </w:style>
  <w:style w:type="character" w:customStyle="1" w:styleId="CommentSubjectChar">
    <w:name w:val="Comment Subject Char"/>
    <w:basedOn w:val="CommentTextChar"/>
    <w:link w:val="CommentSubject"/>
    <w:uiPriority w:val="99"/>
    <w:semiHidden/>
    <w:rsid w:val="00A903E0"/>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A90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3E0"/>
    <w:rPr>
      <w:rFonts w:ascii="Segoe UI" w:eastAsia="Times New Roman" w:hAnsi="Segoe UI" w:cs="Segoe UI"/>
      <w:snapToGrid w:val="0"/>
      <w:kern w:val="28"/>
      <w:sz w:val="18"/>
      <w:szCs w:val="18"/>
    </w:rPr>
  </w:style>
  <w:style w:type="paragraph" w:styleId="Footer">
    <w:name w:val="footer"/>
    <w:basedOn w:val="Normal"/>
    <w:link w:val="FooterChar"/>
    <w:uiPriority w:val="99"/>
    <w:unhideWhenUsed/>
    <w:rsid w:val="00B2500E"/>
    <w:pPr>
      <w:tabs>
        <w:tab w:val="center" w:pos="4680"/>
        <w:tab w:val="right" w:pos="9360"/>
      </w:tabs>
    </w:pPr>
  </w:style>
  <w:style w:type="character" w:customStyle="1" w:styleId="FooterChar">
    <w:name w:val="Footer Char"/>
    <w:basedOn w:val="DefaultParagraphFont"/>
    <w:link w:val="Footer"/>
    <w:uiPriority w:val="99"/>
    <w:rsid w:val="00B2500E"/>
    <w:rPr>
      <w:rFonts w:ascii="Times New Roman" w:eastAsia="Times New Roman" w:hAnsi="Times New Roman" w:cs="Times New Roman"/>
      <w:snapToGrid w:val="0"/>
      <w:kern w:val="28"/>
      <w:szCs w:val="20"/>
    </w:rPr>
  </w:style>
  <w:style w:type="character" w:customStyle="1" w:styleId="ParaNumChar">
    <w:name w:val="ParaNum Char"/>
    <w:link w:val="ParaNum"/>
    <w:locked/>
    <w:rsid w:val="005400E2"/>
    <w:rPr>
      <w:rFonts w:ascii="Times New Roman" w:eastAsia="Times New Roman" w:hAnsi="Times New Roman" w:cs="Times New Roman"/>
      <w:snapToGrid w:val="0"/>
      <w:kern w:val="28"/>
      <w:szCs w:val="20"/>
    </w:rPr>
  </w:style>
  <w:style w:type="paragraph" w:styleId="ListParagraph">
    <w:name w:val="List Paragraph"/>
    <w:basedOn w:val="Normal"/>
    <w:uiPriority w:val="34"/>
    <w:qFormat/>
    <w:rsid w:val="005400E2"/>
    <w:pPr>
      <w:ind w:left="720"/>
      <w:contextualSpacing/>
    </w:pPr>
  </w:style>
  <w:style w:type="character" w:customStyle="1" w:styleId="UnresolvedMention1">
    <w:name w:val="Unresolved Mention1"/>
    <w:basedOn w:val="DefaultParagraphFont"/>
    <w:uiPriority w:val="99"/>
    <w:rsid w:val="009E0EDA"/>
    <w:rPr>
      <w:color w:val="605E5C"/>
      <w:shd w:val="clear" w:color="auto" w:fill="E1DFDD"/>
    </w:rPr>
  </w:style>
  <w:style w:type="paragraph" w:customStyle="1" w:styleId="Paranum0">
    <w:name w:val="Paranum"/>
    <w:basedOn w:val="Normal"/>
    <w:autoRedefine/>
    <w:rsid w:val="00A61DA9"/>
    <w:pPr>
      <w:widowControl/>
      <w:spacing w:after="120"/>
      <w:ind w:firstLine="720"/>
    </w:pPr>
    <w:rPr>
      <w:snapToGrid/>
    </w:rPr>
  </w:style>
  <w:style w:type="character" w:customStyle="1" w:styleId="Heading1Char">
    <w:name w:val="Heading 1 Char"/>
    <w:basedOn w:val="DefaultParagraphFont"/>
    <w:link w:val="Heading1"/>
    <w:uiPriority w:val="9"/>
    <w:rPr>
      <w:rFonts w:ascii="Times New Roman Bold" w:eastAsia="Times New Roman" w:hAnsi="Times New Roman Bold" w:cs="Times New Roman"/>
      <w:b/>
      <w:caps/>
      <w:kern w:val="28"/>
      <w:szCs w:val="20"/>
    </w:rPr>
  </w:style>
  <w:style w:type="character" w:customStyle="1" w:styleId="Heading2Char">
    <w:name w:val="Heading 2 Char"/>
    <w:basedOn w:val="DefaultParagraphFont"/>
    <w:link w:val="Heading2"/>
    <w:uiPriority w:val="9"/>
    <w:rPr>
      <w:rFonts w:ascii="Times New Roman" w:eastAsia="Times New Roman" w:hAnsi="Times New Roman" w:cs="Times New Roman"/>
      <w:b/>
      <w:bCs/>
      <w:kern w:val="28"/>
      <w:szCs w:val="20"/>
    </w:rPr>
  </w:style>
  <w:style w:type="character" w:customStyle="1" w:styleId="Heading3Char">
    <w:name w:val="Heading 3 Char"/>
    <w:basedOn w:val="DefaultParagraphFont"/>
    <w:link w:val="Heading3"/>
    <w:uiPriority w:val="9"/>
    <w:rPr>
      <w:rFonts w:ascii="Times New Roman" w:eastAsia="Times New Roman" w:hAnsi="Times New Roman" w:cs="Times New Roman"/>
      <w:b/>
      <w:kern w:val="28"/>
      <w:szCs w:val="20"/>
    </w:rPr>
  </w:style>
  <w:style w:type="character" w:customStyle="1" w:styleId="Heading4Char">
    <w:name w:val="Heading 4 Char"/>
    <w:basedOn w:val="DefaultParagraphFont"/>
    <w:link w:val="Heading4"/>
    <w:uiPriority w:val="9"/>
    <w:rPr>
      <w:rFonts w:ascii="Times New Roman" w:eastAsia="Times New Roman" w:hAnsi="Times New Roman" w:cs="Times New Roman"/>
      <w:b/>
      <w:kern w:val="28"/>
      <w:szCs w:val="20"/>
    </w:rPr>
  </w:style>
  <w:style w:type="character" w:customStyle="1" w:styleId="Heading5Char">
    <w:name w:val="Heading 5 Char"/>
    <w:basedOn w:val="DefaultParagraphFont"/>
    <w:link w:val="Heading5"/>
    <w:uiPriority w:val="9"/>
    <w:rPr>
      <w:rFonts w:ascii="Times New Roman" w:eastAsia="Times New Roman" w:hAnsi="Times New Roman" w:cs="Times New Roman"/>
      <w:b/>
      <w:kern w:val="28"/>
      <w:szCs w:val="20"/>
    </w:rPr>
  </w:style>
  <w:style w:type="character" w:customStyle="1" w:styleId="Heading6Char">
    <w:name w:val="Heading 6 Char"/>
    <w:basedOn w:val="DefaultParagraphFont"/>
    <w:link w:val="Heading6"/>
    <w:uiPriority w:val="9"/>
    <w:rPr>
      <w:rFonts w:ascii="Times New Roman" w:eastAsia="Times New Roman" w:hAnsi="Times New Roman" w:cs="Times New Roman"/>
      <w:b/>
      <w:kern w:val="28"/>
      <w:szCs w:val="20"/>
    </w:rPr>
  </w:style>
  <w:style w:type="character" w:customStyle="1" w:styleId="Heading7Char">
    <w:name w:val="Heading 7 Char"/>
    <w:basedOn w:val="DefaultParagraphFont"/>
    <w:link w:val="Heading7"/>
    <w:uiPriority w:val="9"/>
    <w:rPr>
      <w:rFonts w:ascii="Times New Roman" w:eastAsia="Times New Roman" w:hAnsi="Times New Roman" w:cs="Times New Roman"/>
      <w:b/>
      <w:kern w:val="28"/>
      <w:szCs w:val="20"/>
    </w:rPr>
  </w:style>
  <w:style w:type="character" w:customStyle="1" w:styleId="Heading8Char">
    <w:name w:val="Heading 8 Char"/>
    <w:basedOn w:val="DefaultParagraphFont"/>
    <w:link w:val="Heading8"/>
    <w:uiPriority w:val="9"/>
    <w:rPr>
      <w:rFonts w:ascii="Times New Roman" w:eastAsia="Times New Roman" w:hAnsi="Times New Roman" w:cs="Times New Roman"/>
      <w:b/>
      <w:kern w:val="28"/>
      <w:szCs w:val="20"/>
    </w:rPr>
  </w:style>
  <w:style w:type="character" w:customStyle="1" w:styleId="Heading9Char">
    <w:name w:val="Heading 9 Char"/>
    <w:basedOn w:val="DefaultParagraphFont"/>
    <w:link w:val="Heading9"/>
    <w:uiPriority w:val="9"/>
    <w:rPr>
      <w:rFonts w:ascii="Times New Roman" w:eastAsia="Times New Roman" w:hAnsi="Times New Roman" w:cs="Times New Roman"/>
      <w:b/>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yperlink" Target="https://www.fcc.gov/" TargetMode="External" /><Relationship Id="rId7" Type="http://schemas.openxmlformats.org/officeDocument/2006/relationships/hyperlink" Target="http://apps.fcc.gov/ecfs/" TargetMode="External" /><Relationship Id="rId8" Type="http://schemas.openxmlformats.org/officeDocument/2006/relationships/hyperlink" Target="https://www.fcc.gov/document/fcc-closes-headquarters-open-window-and-changes-hand-delivery-policy" TargetMode="External" /><Relationship Id="rId9" Type="http://schemas.openxmlformats.org/officeDocument/2006/relationships/hyperlink" Target="mailto:fcc504@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