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804FC2" w:rsidP="00804FC2" w14:paraId="642D78C8" w14:textId="77777777">
      <w:pPr>
        <w:spacing w:after="120"/>
        <w:contextualSpacing/>
        <w:jc w:val="center"/>
        <w:rPr>
          <w:rFonts w:ascii="Times New Roman" w:hAnsi="Times New Roman"/>
          <w:b/>
        </w:rPr>
      </w:pPr>
      <w:r w:rsidRPr="00804FC2">
        <w:rPr>
          <w:rFonts w:ascii="Times New Roman" w:hAnsi="Times New Roman"/>
          <w:b/>
        </w:rPr>
        <w:t>Before the</w:t>
      </w:r>
    </w:p>
    <w:p w:rsidR="00921803" w:rsidRPr="00804FC2" w:rsidP="00804FC2" w14:paraId="3F7F71C4" w14:textId="77777777">
      <w:pPr>
        <w:pStyle w:val="StyleBoldCentered"/>
        <w:spacing w:after="120"/>
        <w:contextualSpacing/>
        <w:rPr>
          <w:rFonts w:ascii="Times New Roman" w:hAnsi="Times New Roman"/>
        </w:rPr>
      </w:pPr>
      <w:r w:rsidRPr="00804FC2">
        <w:rPr>
          <w:rFonts w:ascii="Times New Roman" w:hAnsi="Times New Roman"/>
        </w:rPr>
        <w:t>F</w:t>
      </w:r>
      <w:r w:rsidRPr="00804FC2">
        <w:rPr>
          <w:rFonts w:ascii="Times New Roman" w:hAnsi="Times New Roman"/>
          <w:caps w:val="0"/>
        </w:rPr>
        <w:t>ederal Communications Commission</w:t>
      </w:r>
    </w:p>
    <w:p w:rsidR="004C2EE3" w:rsidRPr="00804FC2" w:rsidP="00804FC2" w14:paraId="173C2F44" w14:textId="77777777">
      <w:pPr>
        <w:pStyle w:val="StyleBoldCentered"/>
        <w:spacing w:after="120"/>
        <w:contextualSpacing/>
        <w:rPr>
          <w:rFonts w:ascii="Times New Roman" w:hAnsi="Times New Roman"/>
        </w:rPr>
      </w:pPr>
      <w:r w:rsidRPr="00804FC2">
        <w:rPr>
          <w:rFonts w:ascii="Times New Roman" w:hAnsi="Times New Roman"/>
          <w:caps w:val="0"/>
        </w:rPr>
        <w:t>Washington, D.C. 20554</w:t>
      </w:r>
    </w:p>
    <w:p w:rsidR="004C2EE3" w:rsidRPr="00804FC2" w:rsidP="00804FC2" w14:paraId="7AEE0CFB" w14:textId="77777777">
      <w:pPr>
        <w:spacing w:after="0"/>
        <w:rPr>
          <w:rFonts w:ascii="Times New Roman" w:hAnsi="Times New Roman"/>
        </w:rPr>
      </w:pPr>
    </w:p>
    <w:p w:rsidR="004C2EE3" w:rsidRPr="00804FC2" w:rsidP="00804FC2" w14:paraId="1974EBC0" w14:textId="77777777">
      <w:pPr>
        <w:spacing w:after="0"/>
        <w:rPr>
          <w:rFonts w:ascii="Times New Roman" w:hAnsi="Times New Roman"/>
        </w:rPr>
      </w:pPr>
    </w:p>
    <w:tbl>
      <w:tblPr>
        <w:tblW w:w="0" w:type="auto"/>
        <w:tblLayout w:type="fixed"/>
        <w:tblLook w:val="0000"/>
      </w:tblPr>
      <w:tblGrid>
        <w:gridCol w:w="4698"/>
        <w:gridCol w:w="630"/>
        <w:gridCol w:w="4248"/>
      </w:tblGrid>
      <w:tr w14:paraId="1F8D8D62" w14:textId="77777777">
        <w:tblPrEx>
          <w:tblW w:w="0" w:type="auto"/>
          <w:tblLayout w:type="fixed"/>
          <w:tblLook w:val="0000"/>
        </w:tblPrEx>
        <w:tc>
          <w:tcPr>
            <w:tcW w:w="4698" w:type="dxa"/>
          </w:tcPr>
          <w:p w:rsidR="004C2EE3" w:rsidRPr="00804FC2" w:rsidP="00804FC2" w14:paraId="3584F440" w14:textId="77777777">
            <w:pPr>
              <w:tabs>
                <w:tab w:val="center" w:pos="4680"/>
              </w:tabs>
              <w:suppressAutoHyphens/>
              <w:spacing w:after="0"/>
              <w:rPr>
                <w:rFonts w:ascii="Times New Roman" w:hAnsi="Times New Roman"/>
                <w:spacing w:val="-2"/>
              </w:rPr>
            </w:pPr>
            <w:r w:rsidRPr="00804FC2">
              <w:rPr>
                <w:rFonts w:ascii="Times New Roman" w:hAnsi="Times New Roman"/>
                <w:spacing w:val="-2"/>
              </w:rPr>
              <w:t>In the Matter of</w:t>
            </w:r>
          </w:p>
          <w:p w:rsidR="004C2EE3" w:rsidRPr="00804FC2" w:rsidP="00804FC2" w14:paraId="489B0A60" w14:textId="77777777">
            <w:pPr>
              <w:tabs>
                <w:tab w:val="center" w:pos="4680"/>
              </w:tabs>
              <w:suppressAutoHyphens/>
              <w:spacing w:after="0"/>
              <w:rPr>
                <w:rFonts w:ascii="Times New Roman" w:hAnsi="Times New Roman"/>
                <w:spacing w:val="-2"/>
              </w:rPr>
            </w:pPr>
          </w:p>
          <w:p w:rsidR="002A523D" w:rsidP="00804FC2" w14:paraId="7EE9D784" w14:textId="77777777">
            <w:pPr>
              <w:tabs>
                <w:tab w:val="center" w:pos="4680"/>
              </w:tabs>
              <w:suppressAutoHyphens/>
              <w:spacing w:after="0"/>
              <w:rPr>
                <w:rFonts w:ascii="Times New Roman" w:hAnsi="Times New Roman"/>
                <w:spacing w:val="-2"/>
              </w:rPr>
            </w:pPr>
            <w:bookmarkStart w:id="0" w:name="_Hlk69286561"/>
            <w:r>
              <w:rPr>
                <w:rFonts w:ascii="Times New Roman" w:hAnsi="Times New Roman"/>
                <w:spacing w:val="-2"/>
              </w:rPr>
              <w:t>America-CV Station Group,</w:t>
            </w:r>
            <w:bookmarkEnd w:id="0"/>
            <w:r>
              <w:rPr>
                <w:rFonts w:ascii="Times New Roman" w:hAnsi="Times New Roman"/>
                <w:spacing w:val="-2"/>
              </w:rPr>
              <w:t xml:space="preserve"> Debtor</w:t>
            </w:r>
            <w:r w:rsidR="007D4DE3">
              <w:rPr>
                <w:rFonts w:ascii="Times New Roman" w:hAnsi="Times New Roman"/>
                <w:spacing w:val="-2"/>
              </w:rPr>
              <w:t>-</w:t>
            </w:r>
            <w:r>
              <w:rPr>
                <w:rFonts w:ascii="Times New Roman" w:hAnsi="Times New Roman"/>
                <w:spacing w:val="-2"/>
              </w:rPr>
              <w:t>in</w:t>
            </w:r>
            <w:r w:rsidR="007D4DE3">
              <w:rPr>
                <w:rFonts w:ascii="Times New Roman" w:hAnsi="Times New Roman"/>
                <w:spacing w:val="-2"/>
              </w:rPr>
              <w:t>-</w:t>
            </w:r>
            <w:r>
              <w:rPr>
                <w:rFonts w:ascii="Times New Roman" w:hAnsi="Times New Roman"/>
                <w:spacing w:val="-2"/>
              </w:rPr>
              <w:t>Possession</w:t>
            </w:r>
          </w:p>
          <w:p w:rsidR="002A523D" w:rsidP="00804FC2" w14:paraId="6BFDF091" w14:textId="77777777">
            <w:pPr>
              <w:tabs>
                <w:tab w:val="center" w:pos="4680"/>
              </w:tabs>
              <w:suppressAutoHyphens/>
              <w:spacing w:after="0"/>
              <w:rPr>
                <w:rFonts w:ascii="Times New Roman" w:hAnsi="Times New Roman"/>
                <w:spacing w:val="-2"/>
              </w:rPr>
            </w:pPr>
            <w:r>
              <w:rPr>
                <w:rFonts w:ascii="Times New Roman" w:hAnsi="Times New Roman"/>
                <w:spacing w:val="-2"/>
              </w:rPr>
              <w:t>(Transferor)</w:t>
            </w:r>
          </w:p>
          <w:p w:rsidR="002A523D" w:rsidP="00804FC2" w14:paraId="0802D035" w14:textId="77777777">
            <w:pPr>
              <w:tabs>
                <w:tab w:val="center" w:pos="4680"/>
              </w:tabs>
              <w:suppressAutoHyphens/>
              <w:spacing w:after="0"/>
              <w:rPr>
                <w:rFonts w:ascii="Times New Roman" w:hAnsi="Times New Roman"/>
                <w:spacing w:val="-2"/>
              </w:rPr>
            </w:pPr>
          </w:p>
          <w:p w:rsidR="002A523D" w:rsidP="00804FC2" w14:paraId="6EFA3986" w14:textId="77777777">
            <w:pPr>
              <w:tabs>
                <w:tab w:val="center" w:pos="4680"/>
              </w:tabs>
              <w:suppressAutoHyphens/>
              <w:spacing w:after="0"/>
              <w:rPr>
                <w:rFonts w:ascii="Times New Roman" w:hAnsi="Times New Roman"/>
                <w:spacing w:val="-2"/>
              </w:rPr>
            </w:pPr>
            <w:r>
              <w:rPr>
                <w:rFonts w:ascii="Times New Roman" w:hAnsi="Times New Roman"/>
                <w:spacing w:val="-2"/>
              </w:rPr>
              <w:t>And</w:t>
            </w:r>
          </w:p>
          <w:p w:rsidR="002A523D" w:rsidP="00804FC2" w14:paraId="107DB355" w14:textId="77777777">
            <w:pPr>
              <w:tabs>
                <w:tab w:val="center" w:pos="4680"/>
              </w:tabs>
              <w:suppressAutoHyphens/>
              <w:spacing w:after="0"/>
              <w:rPr>
                <w:rFonts w:ascii="Times New Roman" w:hAnsi="Times New Roman"/>
                <w:spacing w:val="-2"/>
              </w:rPr>
            </w:pPr>
          </w:p>
          <w:p w:rsidR="004F559C" w:rsidP="00804FC2" w14:paraId="41557BDA" w14:textId="77777777">
            <w:pPr>
              <w:tabs>
                <w:tab w:val="center" w:pos="4680"/>
              </w:tabs>
              <w:suppressAutoHyphens/>
              <w:spacing w:after="0"/>
              <w:rPr>
                <w:rFonts w:ascii="Times New Roman" w:hAnsi="Times New Roman"/>
                <w:spacing w:val="-2"/>
              </w:rPr>
            </w:pPr>
            <w:r>
              <w:rPr>
                <w:rFonts w:ascii="Times New Roman" w:hAnsi="Times New Roman"/>
                <w:spacing w:val="-2"/>
              </w:rPr>
              <w:t>America-CV Station Group, Inc.</w:t>
            </w:r>
          </w:p>
          <w:p w:rsidR="004F559C" w:rsidP="00804FC2" w14:paraId="077D27FA" w14:textId="77777777">
            <w:pPr>
              <w:tabs>
                <w:tab w:val="center" w:pos="4680"/>
              </w:tabs>
              <w:suppressAutoHyphens/>
              <w:spacing w:after="0"/>
              <w:rPr>
                <w:rFonts w:ascii="Times New Roman" w:hAnsi="Times New Roman"/>
                <w:spacing w:val="-2"/>
              </w:rPr>
            </w:pPr>
            <w:r>
              <w:rPr>
                <w:rFonts w:ascii="Times New Roman" w:hAnsi="Times New Roman"/>
                <w:spacing w:val="-2"/>
              </w:rPr>
              <w:t>(Transferee)</w:t>
            </w:r>
          </w:p>
          <w:p w:rsidR="004F559C" w:rsidP="00804FC2" w14:paraId="677343C3" w14:textId="77777777">
            <w:pPr>
              <w:tabs>
                <w:tab w:val="center" w:pos="4680"/>
              </w:tabs>
              <w:suppressAutoHyphens/>
              <w:spacing w:after="0"/>
              <w:rPr>
                <w:rFonts w:ascii="Times New Roman" w:hAnsi="Times New Roman"/>
                <w:spacing w:val="-2"/>
              </w:rPr>
            </w:pPr>
          </w:p>
          <w:p w:rsidR="004F559C" w:rsidRPr="00804FC2" w:rsidP="00804FC2" w14:paraId="4BFB748B" w14:textId="77777777">
            <w:pPr>
              <w:tabs>
                <w:tab w:val="center" w:pos="4680"/>
              </w:tabs>
              <w:suppressAutoHyphens/>
              <w:spacing w:after="0"/>
              <w:rPr>
                <w:rFonts w:ascii="Times New Roman" w:hAnsi="Times New Roman"/>
                <w:spacing w:val="-2"/>
              </w:rPr>
            </w:pPr>
            <w:r>
              <w:rPr>
                <w:rFonts w:ascii="Times New Roman" w:hAnsi="Times New Roman"/>
                <w:spacing w:val="-2"/>
              </w:rPr>
              <w:t>Applications for Consent to Transfer Control of Licenses of Stations WJWN-TV, San Sebastian, Puerto, Rico; WJAN-CD, Miami, Florida; WIRS, Yauco, Puerto Rico; WJPX, San Juan, Puerto Rico; and WKPV, Ponce, Puerto Rico.</w:t>
            </w:r>
          </w:p>
          <w:p w:rsidR="001D0AB9" w:rsidRPr="00804FC2" w:rsidP="00804FC2" w14:paraId="08B2D722" w14:textId="77777777">
            <w:pPr>
              <w:tabs>
                <w:tab w:val="center" w:pos="4680"/>
              </w:tabs>
              <w:suppressAutoHyphens/>
              <w:spacing w:after="0"/>
              <w:rPr>
                <w:rFonts w:ascii="Times New Roman" w:hAnsi="Times New Roman"/>
                <w:spacing w:val="-2"/>
              </w:rPr>
            </w:pPr>
          </w:p>
          <w:p w:rsidR="004F559C" w:rsidRPr="00804FC2" w:rsidP="00804FC2" w14:paraId="4FF3F6A3" w14:textId="77777777">
            <w:pPr>
              <w:tabs>
                <w:tab w:val="center" w:pos="4680"/>
              </w:tabs>
              <w:suppressAutoHyphens/>
              <w:spacing w:after="0"/>
              <w:rPr>
                <w:rFonts w:ascii="Times New Roman" w:hAnsi="Times New Roman"/>
                <w:spacing w:val="-2"/>
              </w:rPr>
            </w:pPr>
          </w:p>
          <w:p w:rsidR="001D0AB9" w:rsidRPr="00804FC2" w:rsidP="00804FC2" w14:paraId="5D49A966" w14:textId="77777777">
            <w:pPr>
              <w:tabs>
                <w:tab w:val="center" w:pos="4680"/>
              </w:tabs>
              <w:suppressAutoHyphens/>
              <w:spacing w:after="0"/>
              <w:rPr>
                <w:rFonts w:ascii="Times New Roman" w:hAnsi="Times New Roman"/>
                <w:spacing w:val="-2"/>
              </w:rPr>
            </w:pPr>
          </w:p>
        </w:tc>
        <w:tc>
          <w:tcPr>
            <w:tcW w:w="630" w:type="dxa"/>
          </w:tcPr>
          <w:p w:rsidR="004C2EE3" w:rsidRPr="00804FC2" w:rsidP="00804FC2" w14:paraId="6DF49441"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5AE87886"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236490B6"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64105C66"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62B59D6E"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6C655FC6"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08180E78"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1DEFB57D"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14:paraId="1012301D"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24CC88C0"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55A6FAC6"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01EF73A5"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5A344221"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21D9C6E1"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14:paraId="3AAF7CE1"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E93256" w:rsidP="00804FC2" w14:paraId="7956A717" w14:textId="77777777">
            <w:pPr>
              <w:tabs>
                <w:tab w:val="center" w:pos="4680"/>
              </w:tabs>
              <w:suppressAutoHyphens/>
              <w:spacing w:after="0"/>
              <w:rPr>
                <w:rFonts w:ascii="Times New Roman" w:hAnsi="Times New Roman"/>
                <w:b/>
                <w:spacing w:val="-2"/>
              </w:rPr>
            </w:pPr>
            <w:r w:rsidRPr="00804FC2">
              <w:rPr>
                <w:rFonts w:ascii="Times New Roman" w:hAnsi="Times New Roman"/>
                <w:b/>
                <w:spacing w:val="-2"/>
              </w:rPr>
              <w:t>)</w:t>
            </w:r>
          </w:p>
        </w:tc>
        <w:tc>
          <w:tcPr>
            <w:tcW w:w="4248" w:type="dxa"/>
          </w:tcPr>
          <w:p w:rsidR="004C2EE3" w:rsidRPr="00804FC2" w:rsidP="00804FC2" w14:paraId="0C551804" w14:textId="77777777">
            <w:pPr>
              <w:tabs>
                <w:tab w:val="center" w:pos="4680"/>
              </w:tabs>
              <w:suppressAutoHyphens/>
              <w:spacing w:after="0"/>
              <w:rPr>
                <w:rFonts w:ascii="Times New Roman" w:hAnsi="Times New Roman"/>
                <w:spacing w:val="-2"/>
              </w:rPr>
            </w:pPr>
          </w:p>
          <w:p w:rsidR="004C2EE3" w:rsidRPr="00804FC2" w:rsidP="00804FC2" w14:paraId="37871244" w14:textId="77777777">
            <w:pPr>
              <w:pStyle w:val="TOAHeading"/>
              <w:tabs>
                <w:tab w:val="center" w:pos="4680"/>
                <w:tab w:val="clear" w:pos="9360"/>
              </w:tabs>
              <w:spacing w:after="0"/>
              <w:rPr>
                <w:rFonts w:ascii="Times New Roman" w:hAnsi="Times New Roman"/>
                <w:spacing w:val="-2"/>
              </w:rPr>
            </w:pPr>
          </w:p>
          <w:p w:rsidR="001D0AB9" w:rsidRPr="00804FC2" w:rsidP="00804FC2" w14:paraId="53D4991D" w14:textId="77777777">
            <w:pPr>
              <w:tabs>
                <w:tab w:val="center" w:pos="4680"/>
              </w:tabs>
              <w:suppressAutoHyphens/>
              <w:spacing w:after="0"/>
              <w:rPr>
                <w:rFonts w:ascii="Times New Roman" w:hAnsi="Times New Roman"/>
                <w:spacing w:val="-2"/>
              </w:rPr>
            </w:pPr>
          </w:p>
          <w:p w:rsidR="007E7E95" w:rsidP="00804FC2" w14:paraId="1E02C248" w14:textId="77777777">
            <w:pPr>
              <w:tabs>
                <w:tab w:val="center" w:pos="4680"/>
              </w:tabs>
              <w:suppressAutoHyphens/>
              <w:spacing w:after="0"/>
              <w:rPr>
                <w:rFonts w:ascii="Times New Roman" w:hAnsi="Times New Roman"/>
                <w:spacing w:val="-2"/>
              </w:rPr>
            </w:pPr>
          </w:p>
          <w:p w:rsidR="007E7E95" w:rsidP="00804FC2" w14:paraId="6AE40857" w14:textId="77777777">
            <w:pPr>
              <w:tabs>
                <w:tab w:val="center" w:pos="4680"/>
              </w:tabs>
              <w:suppressAutoHyphens/>
              <w:spacing w:after="0"/>
              <w:rPr>
                <w:rFonts w:ascii="Times New Roman" w:hAnsi="Times New Roman"/>
                <w:spacing w:val="-2"/>
              </w:rPr>
            </w:pPr>
          </w:p>
          <w:p w:rsidR="007E7E95" w:rsidP="00804FC2" w14:paraId="4920D6AF" w14:textId="77777777">
            <w:pPr>
              <w:tabs>
                <w:tab w:val="center" w:pos="4680"/>
              </w:tabs>
              <w:suppressAutoHyphens/>
              <w:spacing w:after="0"/>
              <w:rPr>
                <w:rFonts w:ascii="Times New Roman" w:hAnsi="Times New Roman"/>
                <w:spacing w:val="-2"/>
              </w:rPr>
            </w:pPr>
          </w:p>
          <w:p w:rsidR="007E7E95" w:rsidP="00804FC2" w14:paraId="0BD8D2C4" w14:textId="77777777">
            <w:pPr>
              <w:tabs>
                <w:tab w:val="center" w:pos="4680"/>
              </w:tabs>
              <w:suppressAutoHyphens/>
              <w:spacing w:after="0"/>
              <w:rPr>
                <w:rFonts w:ascii="Times New Roman" w:hAnsi="Times New Roman"/>
                <w:spacing w:val="-2"/>
              </w:rPr>
            </w:pPr>
          </w:p>
          <w:p w:rsidR="007E7E95" w:rsidP="00804FC2" w14:paraId="181A5EDB" w14:textId="77777777">
            <w:pPr>
              <w:tabs>
                <w:tab w:val="center" w:pos="4680"/>
              </w:tabs>
              <w:suppressAutoHyphens/>
              <w:spacing w:after="0"/>
              <w:rPr>
                <w:rFonts w:ascii="Times New Roman" w:hAnsi="Times New Roman"/>
                <w:spacing w:val="-2"/>
              </w:rPr>
            </w:pPr>
          </w:p>
          <w:p w:rsidR="007E7E95" w:rsidP="00804FC2" w14:paraId="46B5AD22" w14:textId="77777777">
            <w:pPr>
              <w:tabs>
                <w:tab w:val="center" w:pos="4680"/>
              </w:tabs>
              <w:suppressAutoHyphens/>
              <w:spacing w:after="0"/>
              <w:rPr>
                <w:rFonts w:ascii="Times New Roman" w:hAnsi="Times New Roman"/>
                <w:spacing w:val="-2"/>
              </w:rPr>
            </w:pPr>
          </w:p>
          <w:p w:rsidR="007E7E95" w:rsidP="00804FC2" w14:paraId="42BFC652" w14:textId="77777777">
            <w:pPr>
              <w:tabs>
                <w:tab w:val="center" w:pos="4680"/>
              </w:tabs>
              <w:suppressAutoHyphens/>
              <w:spacing w:after="0"/>
              <w:rPr>
                <w:rFonts w:ascii="Times New Roman" w:hAnsi="Times New Roman"/>
                <w:spacing w:val="-2"/>
              </w:rPr>
            </w:pPr>
          </w:p>
          <w:p w:rsidR="001D0AB9" w:rsidP="00804FC2" w14:paraId="522810E1" w14:textId="77777777">
            <w:pPr>
              <w:tabs>
                <w:tab w:val="center" w:pos="4680"/>
              </w:tabs>
              <w:suppressAutoHyphens/>
              <w:spacing w:after="0"/>
              <w:rPr>
                <w:rFonts w:ascii="Times New Roman" w:hAnsi="Times New Roman"/>
                <w:spacing w:val="-2"/>
              </w:rPr>
            </w:pPr>
            <w:r>
              <w:rPr>
                <w:rFonts w:ascii="Times New Roman" w:hAnsi="Times New Roman"/>
                <w:spacing w:val="-2"/>
              </w:rPr>
              <w:t>File Nos</w:t>
            </w:r>
            <w:r w:rsidR="00C2289F">
              <w:rPr>
                <w:rFonts w:ascii="Times New Roman" w:hAnsi="Times New Roman"/>
                <w:spacing w:val="-2"/>
              </w:rPr>
              <w:t>.</w:t>
            </w:r>
            <w:r>
              <w:rPr>
                <w:rFonts w:ascii="Times New Roman" w:hAnsi="Times New Roman"/>
                <w:spacing w:val="-2"/>
              </w:rPr>
              <w:t xml:space="preserve"> BTCCDT-20200821AAH, </w:t>
            </w:r>
            <w:r w:rsidR="007E7E95">
              <w:rPr>
                <w:rFonts w:ascii="Times New Roman" w:hAnsi="Times New Roman"/>
                <w:spacing w:val="-2"/>
              </w:rPr>
              <w:t xml:space="preserve">AAJ, </w:t>
            </w:r>
            <w:r>
              <w:rPr>
                <w:rFonts w:ascii="Times New Roman" w:hAnsi="Times New Roman"/>
                <w:spacing w:val="-2"/>
              </w:rPr>
              <w:t>AAK</w:t>
            </w:r>
            <w:r w:rsidR="007E7E95">
              <w:rPr>
                <w:rFonts w:ascii="Times New Roman" w:hAnsi="Times New Roman"/>
                <w:spacing w:val="-2"/>
              </w:rPr>
              <w:t>, AAL; B</w:t>
            </w:r>
            <w:r w:rsidR="00F446A1">
              <w:rPr>
                <w:rFonts w:ascii="Times New Roman" w:hAnsi="Times New Roman"/>
                <w:spacing w:val="-2"/>
              </w:rPr>
              <w:t>TC</w:t>
            </w:r>
            <w:r w:rsidR="007E7E95">
              <w:rPr>
                <w:rFonts w:ascii="Times New Roman" w:hAnsi="Times New Roman"/>
                <w:spacing w:val="-2"/>
              </w:rPr>
              <w:t>-20200821AAI</w:t>
            </w:r>
          </w:p>
          <w:p w:rsidR="007E7E95" w:rsidRPr="00804FC2" w:rsidP="00804FC2" w14:paraId="661C6074" w14:textId="77777777">
            <w:pPr>
              <w:tabs>
                <w:tab w:val="center" w:pos="4680"/>
              </w:tabs>
              <w:suppressAutoHyphens/>
              <w:spacing w:after="0"/>
              <w:rPr>
                <w:rFonts w:ascii="Times New Roman" w:hAnsi="Times New Roman"/>
                <w:spacing w:val="-2"/>
              </w:rPr>
            </w:pPr>
            <w:r>
              <w:rPr>
                <w:rFonts w:ascii="Times New Roman" w:hAnsi="Times New Roman"/>
                <w:spacing w:val="-2"/>
              </w:rPr>
              <w:t>Fac. ID Nos. 58342, 60165, 39887, 58340, 58341</w:t>
            </w:r>
          </w:p>
          <w:p w:rsidR="001D0AB9" w:rsidRPr="00804FC2" w:rsidP="00804FC2" w14:paraId="69AD1E60" w14:textId="77777777">
            <w:pPr>
              <w:tabs>
                <w:tab w:val="center" w:pos="4680"/>
              </w:tabs>
              <w:suppressAutoHyphens/>
              <w:spacing w:after="0"/>
              <w:rPr>
                <w:rFonts w:ascii="Times New Roman" w:hAnsi="Times New Roman"/>
                <w:spacing w:val="-2"/>
              </w:rPr>
            </w:pPr>
          </w:p>
          <w:p w:rsidR="001D0AB9" w:rsidRPr="00804FC2" w:rsidP="00804FC2" w14:paraId="317339B8" w14:textId="77777777">
            <w:pPr>
              <w:tabs>
                <w:tab w:val="center" w:pos="4680"/>
              </w:tabs>
              <w:suppressAutoHyphens/>
              <w:spacing w:after="0"/>
              <w:rPr>
                <w:rFonts w:ascii="Times New Roman" w:hAnsi="Times New Roman"/>
                <w:spacing w:val="-2"/>
              </w:rPr>
            </w:pPr>
          </w:p>
          <w:p w:rsidR="001D0AB9" w:rsidRPr="00804FC2" w:rsidP="00804FC2" w14:paraId="2C7A1073" w14:textId="77777777">
            <w:pPr>
              <w:tabs>
                <w:tab w:val="center" w:pos="4680"/>
              </w:tabs>
              <w:suppressAutoHyphens/>
              <w:spacing w:after="0"/>
              <w:rPr>
                <w:rFonts w:ascii="Times New Roman" w:hAnsi="Times New Roman"/>
                <w:spacing w:val="-2"/>
              </w:rPr>
            </w:pPr>
          </w:p>
          <w:p w:rsidR="001D0AB9" w:rsidRPr="00804FC2" w:rsidP="00804FC2" w14:paraId="61D5E5FD" w14:textId="77777777">
            <w:pPr>
              <w:tabs>
                <w:tab w:val="center" w:pos="4680"/>
              </w:tabs>
              <w:suppressAutoHyphens/>
              <w:spacing w:after="0"/>
              <w:rPr>
                <w:rFonts w:ascii="Times New Roman" w:hAnsi="Times New Roman"/>
                <w:spacing w:val="-2"/>
              </w:rPr>
            </w:pPr>
          </w:p>
          <w:p w:rsidR="001D0AB9" w:rsidRPr="00804FC2" w:rsidP="00804FC2" w14:paraId="65E50F6C" w14:textId="77777777">
            <w:pPr>
              <w:tabs>
                <w:tab w:val="center" w:pos="4680"/>
              </w:tabs>
              <w:suppressAutoHyphens/>
              <w:spacing w:after="0"/>
              <w:rPr>
                <w:rFonts w:ascii="Times New Roman" w:hAnsi="Times New Roman"/>
                <w:spacing w:val="-2"/>
              </w:rPr>
            </w:pPr>
          </w:p>
        </w:tc>
      </w:tr>
    </w:tbl>
    <w:p w:rsidR="004C2EE3" w:rsidRPr="00804FC2" w:rsidP="00804FC2" w14:paraId="1475B8B4" w14:textId="77777777">
      <w:pPr>
        <w:spacing w:after="0"/>
        <w:rPr>
          <w:rFonts w:ascii="Times New Roman" w:hAnsi="Times New Roman"/>
        </w:rPr>
      </w:pPr>
    </w:p>
    <w:p w:rsidR="00841AB1" w:rsidRPr="00804FC2" w:rsidP="00804FC2" w14:paraId="033B8B8A" w14:textId="77777777">
      <w:pPr>
        <w:pStyle w:val="StyleBoldCentered"/>
        <w:spacing w:after="0"/>
        <w:rPr>
          <w:rFonts w:ascii="Times New Roman" w:hAnsi="Times New Roman"/>
        </w:rPr>
      </w:pPr>
      <w:r w:rsidRPr="00804FC2">
        <w:rPr>
          <w:rFonts w:ascii="Times New Roman" w:hAnsi="Times New Roman"/>
        </w:rPr>
        <w:t>order</w:t>
      </w:r>
    </w:p>
    <w:p w:rsidR="004C2EE3" w:rsidRPr="00804FC2" w:rsidP="00804FC2" w14:paraId="1E64DED0" w14:textId="77777777">
      <w:pPr>
        <w:tabs>
          <w:tab w:val="left" w:pos="-720"/>
        </w:tabs>
        <w:suppressAutoHyphens/>
        <w:spacing w:after="0" w:line="227" w:lineRule="auto"/>
        <w:rPr>
          <w:rFonts w:ascii="Times New Roman" w:hAnsi="Times New Roman"/>
          <w:spacing w:val="-2"/>
        </w:rPr>
      </w:pPr>
    </w:p>
    <w:p w:rsidR="004C2EE3" w:rsidRPr="00804FC2" w:rsidP="00804FC2" w14:paraId="1EC49574" w14:textId="04303300">
      <w:pPr>
        <w:tabs>
          <w:tab w:val="left" w:pos="720"/>
          <w:tab w:val="right" w:pos="9360"/>
        </w:tabs>
        <w:suppressAutoHyphens/>
        <w:spacing w:after="0" w:line="227" w:lineRule="auto"/>
        <w:rPr>
          <w:rFonts w:ascii="Times New Roman" w:hAnsi="Times New Roman"/>
          <w:spacing w:val="-2"/>
        </w:rPr>
      </w:pPr>
      <w:r w:rsidRPr="00804FC2">
        <w:rPr>
          <w:rFonts w:ascii="Times New Roman" w:hAnsi="Times New Roman"/>
          <w:b/>
          <w:spacing w:val="-2"/>
        </w:rPr>
        <w:t xml:space="preserve">Adopted:  </w:t>
      </w:r>
      <w:r w:rsidR="00F63B76">
        <w:rPr>
          <w:rFonts w:ascii="Times New Roman" w:hAnsi="Times New Roman"/>
          <w:b/>
          <w:spacing w:val="-2"/>
        </w:rPr>
        <w:t>April 14, 2021</w:t>
      </w:r>
      <w:r w:rsidRPr="00804FC2">
        <w:rPr>
          <w:rFonts w:ascii="Times New Roman" w:hAnsi="Times New Roman"/>
          <w:b/>
          <w:spacing w:val="-2"/>
        </w:rPr>
        <w:tab/>
      </w:r>
      <w:r w:rsidRPr="00804FC2" w:rsidR="00822CE0">
        <w:rPr>
          <w:rFonts w:ascii="Times New Roman" w:hAnsi="Times New Roman"/>
          <w:b/>
          <w:spacing w:val="-2"/>
        </w:rPr>
        <w:t>Released</w:t>
      </w:r>
      <w:r w:rsidRPr="00804FC2">
        <w:rPr>
          <w:rFonts w:ascii="Times New Roman" w:hAnsi="Times New Roman"/>
          <w:b/>
          <w:spacing w:val="-2"/>
        </w:rPr>
        <w:t>:</w:t>
      </w:r>
      <w:r w:rsidRPr="00804FC2" w:rsidR="00822CE0">
        <w:rPr>
          <w:rFonts w:ascii="Times New Roman" w:hAnsi="Times New Roman"/>
          <w:b/>
          <w:spacing w:val="-2"/>
        </w:rPr>
        <w:t xml:space="preserve"> </w:t>
      </w:r>
      <w:r w:rsidRPr="00804FC2">
        <w:rPr>
          <w:rFonts w:ascii="Times New Roman" w:hAnsi="Times New Roman"/>
          <w:b/>
          <w:spacing w:val="-2"/>
        </w:rPr>
        <w:t xml:space="preserve"> </w:t>
      </w:r>
      <w:r w:rsidR="00F63B76">
        <w:rPr>
          <w:rFonts w:ascii="Times New Roman" w:hAnsi="Times New Roman"/>
          <w:b/>
          <w:spacing w:val="-2"/>
        </w:rPr>
        <w:t>April 14, 2021</w:t>
      </w:r>
    </w:p>
    <w:p w:rsidR="00822CE0" w:rsidRPr="00804FC2" w:rsidP="00804FC2" w14:paraId="76A63CFB" w14:textId="77777777">
      <w:pPr>
        <w:spacing w:after="0"/>
        <w:rPr>
          <w:rFonts w:ascii="Times New Roman" w:hAnsi="Times New Roman"/>
        </w:rPr>
      </w:pPr>
    </w:p>
    <w:p w:rsidR="004C2EE3" w:rsidRPr="00804FC2" w:rsidP="00804FC2" w14:paraId="627E7213" w14:textId="77777777">
      <w:pPr>
        <w:spacing w:after="0"/>
        <w:rPr>
          <w:rFonts w:ascii="Times New Roman" w:hAnsi="Times New Roman"/>
          <w:spacing w:val="-2"/>
        </w:rPr>
      </w:pPr>
      <w:r w:rsidRPr="00804FC2">
        <w:rPr>
          <w:rFonts w:ascii="Times New Roman" w:hAnsi="Times New Roman"/>
        </w:rPr>
        <w:t xml:space="preserve">By </w:t>
      </w:r>
      <w:r w:rsidRPr="00804FC2" w:rsidR="004E4A22">
        <w:rPr>
          <w:rFonts w:ascii="Times New Roman" w:hAnsi="Times New Roman"/>
        </w:rPr>
        <w:t>the</w:t>
      </w:r>
      <w:r w:rsidRPr="00804FC2" w:rsidR="002A2D2E">
        <w:rPr>
          <w:rFonts w:ascii="Times New Roman" w:hAnsi="Times New Roman"/>
        </w:rPr>
        <w:t xml:space="preserve"> </w:t>
      </w:r>
      <w:r w:rsidRPr="00804FC2" w:rsidR="00BE5D4D">
        <w:rPr>
          <w:rFonts w:ascii="Times New Roman" w:hAnsi="Times New Roman"/>
          <w:spacing w:val="-2"/>
        </w:rPr>
        <w:t>Chief, Video Division</w:t>
      </w:r>
      <w:r w:rsidRPr="00804FC2">
        <w:rPr>
          <w:rFonts w:ascii="Times New Roman" w:hAnsi="Times New Roman"/>
          <w:spacing w:val="-2"/>
        </w:rPr>
        <w:t>:</w:t>
      </w:r>
    </w:p>
    <w:p w:rsidR="00822CE0" w:rsidRPr="00804FC2" w:rsidP="00804FC2" w14:paraId="27EB3DB6" w14:textId="77777777">
      <w:pPr>
        <w:spacing w:after="0"/>
        <w:rPr>
          <w:rFonts w:ascii="Times New Roman" w:hAnsi="Times New Roman"/>
          <w:spacing w:val="-2"/>
        </w:rPr>
      </w:pPr>
    </w:p>
    <w:p w:rsidR="001826C8" w:rsidRPr="00804FC2" w:rsidP="00804FC2" w14:paraId="06AB3DCC" w14:textId="77777777">
      <w:pPr>
        <w:pStyle w:val="Heading1"/>
        <w:rPr>
          <w:rFonts w:ascii="Times New Roman" w:hAnsi="Times New Roman"/>
        </w:rPr>
      </w:pPr>
      <w:r w:rsidRPr="00804FC2">
        <w:rPr>
          <w:rFonts w:ascii="Times New Roman" w:hAnsi="Times New Roman"/>
        </w:rPr>
        <w:t>Introduction</w:t>
      </w:r>
    </w:p>
    <w:p w:rsidR="006B3B5C" w:rsidRPr="007E5472" w:rsidP="007E5472" w14:paraId="726E63F1" w14:textId="77777777">
      <w:pPr>
        <w:pStyle w:val="ParaNum"/>
        <w:spacing w:line="240" w:lineRule="auto"/>
        <w:rPr>
          <w:rFonts w:ascii="Times New Roman" w:hAnsi="Times New Roman"/>
        </w:rPr>
      </w:pPr>
      <w:r w:rsidRPr="007E5472">
        <w:rPr>
          <w:rFonts w:ascii="Times New Roman" w:hAnsi="Times New Roman"/>
        </w:rPr>
        <w:t xml:space="preserve">The Video Division </w:t>
      </w:r>
      <w:r w:rsidR="00434535">
        <w:rPr>
          <w:rFonts w:ascii="Times New Roman" w:hAnsi="Times New Roman"/>
        </w:rPr>
        <w:t>conditionally grants</w:t>
      </w:r>
      <w:r w:rsidRPr="007E5472">
        <w:rPr>
          <w:rFonts w:ascii="Times New Roman" w:hAnsi="Times New Roman"/>
        </w:rPr>
        <w:t xml:space="preserve"> the above-captioned applications (Applications) seeking Commission consent to the </w:t>
      </w:r>
      <w:r w:rsidR="006B62B6">
        <w:rPr>
          <w:rFonts w:ascii="Times New Roman" w:hAnsi="Times New Roman"/>
        </w:rPr>
        <w:t xml:space="preserve">transfer </w:t>
      </w:r>
      <w:r w:rsidRPr="007E5472">
        <w:rPr>
          <w:rFonts w:ascii="Times New Roman" w:hAnsi="Times New Roman"/>
        </w:rPr>
        <w:t xml:space="preserve">of </w:t>
      </w:r>
      <w:r w:rsidR="006B62B6">
        <w:rPr>
          <w:rFonts w:ascii="Times New Roman" w:hAnsi="Times New Roman"/>
        </w:rPr>
        <w:t xml:space="preserve">control of </w:t>
      </w:r>
      <w:r w:rsidRPr="007E5472">
        <w:rPr>
          <w:rFonts w:ascii="Times New Roman" w:hAnsi="Times New Roman"/>
        </w:rPr>
        <w:t xml:space="preserve">broadcast licenses </w:t>
      </w:r>
      <w:r w:rsidR="007D4DE3">
        <w:rPr>
          <w:rFonts w:ascii="Times New Roman" w:hAnsi="Times New Roman"/>
        </w:rPr>
        <w:t>h</w:t>
      </w:r>
      <w:r w:rsidRPr="007E5472">
        <w:rPr>
          <w:rFonts w:ascii="Times New Roman" w:hAnsi="Times New Roman"/>
        </w:rPr>
        <w:t xml:space="preserve">eld by </w:t>
      </w:r>
      <w:r w:rsidRPr="007E5472" w:rsidR="00C33678">
        <w:rPr>
          <w:rFonts w:ascii="Times New Roman" w:hAnsi="Times New Roman"/>
          <w:spacing w:val="-2"/>
        </w:rPr>
        <w:t>America-CV Station Group, Inc.</w:t>
      </w:r>
      <w:r w:rsidRPr="007E5472">
        <w:rPr>
          <w:rFonts w:ascii="Times New Roman" w:hAnsi="Times New Roman"/>
        </w:rPr>
        <w:t>, Debtor</w:t>
      </w:r>
      <w:r w:rsidR="007D4DE3">
        <w:rPr>
          <w:rFonts w:ascii="Times New Roman" w:hAnsi="Times New Roman"/>
        </w:rPr>
        <w:t>-</w:t>
      </w:r>
      <w:r w:rsidRPr="007E5472">
        <w:rPr>
          <w:rFonts w:ascii="Times New Roman" w:hAnsi="Times New Roman"/>
        </w:rPr>
        <w:t>in</w:t>
      </w:r>
      <w:r w:rsidR="007D4DE3">
        <w:rPr>
          <w:rFonts w:ascii="Times New Roman" w:hAnsi="Times New Roman"/>
        </w:rPr>
        <w:t>-</w:t>
      </w:r>
      <w:r w:rsidRPr="007E5472">
        <w:rPr>
          <w:rFonts w:ascii="Times New Roman" w:hAnsi="Times New Roman"/>
        </w:rPr>
        <w:t>Possession, to</w:t>
      </w:r>
      <w:r w:rsidR="007D4DE3">
        <w:rPr>
          <w:rFonts w:ascii="Times New Roman" w:hAnsi="Times New Roman"/>
        </w:rPr>
        <w:t xml:space="preserve"> America-CV Station Group, Inc. (collectively with America-CV Station Group, Inc., Debtor-in-Possession, ACV) , which will be the reorganized licensee following exit from bankruptcy</w:t>
      </w:r>
      <w:r w:rsidRPr="007E5472">
        <w:rPr>
          <w:rFonts w:ascii="Times New Roman" w:hAnsi="Times New Roman"/>
        </w:rPr>
        <w:t xml:space="preserve">.  </w:t>
      </w:r>
      <w:r w:rsidRPr="007E5472" w:rsidR="00B04592">
        <w:rPr>
          <w:rFonts w:ascii="Times New Roman" w:hAnsi="Times New Roman"/>
        </w:rPr>
        <w:t>ACV</w:t>
      </w:r>
      <w:r w:rsidRPr="007E5472">
        <w:rPr>
          <w:rFonts w:ascii="Times New Roman" w:hAnsi="Times New Roman"/>
        </w:rPr>
        <w:t xml:space="preserve"> </w:t>
      </w:r>
      <w:r w:rsidRPr="007E5472" w:rsidR="00B04592">
        <w:rPr>
          <w:rFonts w:ascii="Times New Roman" w:hAnsi="Times New Roman"/>
        </w:rPr>
        <w:t>has</w:t>
      </w:r>
      <w:r w:rsidRPr="007E5472">
        <w:rPr>
          <w:rFonts w:ascii="Times New Roman" w:hAnsi="Times New Roman"/>
        </w:rPr>
        <w:t xml:space="preserve"> </w:t>
      </w:r>
      <w:r w:rsidRPr="007E5472" w:rsidR="00FC6819">
        <w:rPr>
          <w:rFonts w:ascii="Times New Roman" w:hAnsi="Times New Roman"/>
        </w:rPr>
        <w:t xml:space="preserve">also </w:t>
      </w:r>
      <w:r w:rsidRPr="007E5472">
        <w:rPr>
          <w:rFonts w:ascii="Times New Roman" w:hAnsi="Times New Roman"/>
        </w:rPr>
        <w:t>requested a temporary and limited waiver of section 1.5000(a)(1) of the Commission’s rules</w:t>
      </w:r>
      <w:r>
        <w:rPr>
          <w:rStyle w:val="FootnoteReference"/>
          <w:sz w:val="22"/>
        </w:rPr>
        <w:footnoteReference w:id="3"/>
      </w:r>
      <w:r w:rsidRPr="007E5472">
        <w:rPr>
          <w:rFonts w:ascii="Times New Roman" w:hAnsi="Times New Roman"/>
        </w:rPr>
        <w:t xml:space="preserve"> to permit </w:t>
      </w:r>
      <w:r w:rsidRPr="007E5472" w:rsidR="00B04592">
        <w:rPr>
          <w:rFonts w:ascii="Times New Roman" w:hAnsi="Times New Roman"/>
        </w:rPr>
        <w:t>it</w:t>
      </w:r>
      <w:r w:rsidRPr="007E5472">
        <w:rPr>
          <w:rFonts w:ascii="Times New Roman" w:hAnsi="Times New Roman"/>
        </w:rPr>
        <w:t xml:space="preserve"> to emerge from bankruptcy before filing any petition for declaratory ruling</w:t>
      </w:r>
      <w:r w:rsidR="009D6FD7">
        <w:rPr>
          <w:rFonts w:ascii="Times New Roman" w:hAnsi="Times New Roman"/>
        </w:rPr>
        <w:t>, which</w:t>
      </w:r>
      <w:r w:rsidRPr="007E5472">
        <w:rPr>
          <w:rFonts w:ascii="Times New Roman" w:hAnsi="Times New Roman"/>
        </w:rPr>
        <w:t xml:space="preserve"> </w:t>
      </w:r>
      <w:r w:rsidR="009D6FD7">
        <w:rPr>
          <w:rFonts w:ascii="Times New Roman" w:hAnsi="Times New Roman"/>
        </w:rPr>
        <w:t>would</w:t>
      </w:r>
      <w:r w:rsidRPr="007E5472">
        <w:rPr>
          <w:rFonts w:ascii="Times New Roman" w:hAnsi="Times New Roman"/>
        </w:rPr>
        <w:t xml:space="preserve"> allow </w:t>
      </w:r>
      <w:r w:rsidRPr="007E5472" w:rsidR="00FC6819">
        <w:rPr>
          <w:rFonts w:ascii="Times New Roman" w:hAnsi="Times New Roman"/>
        </w:rPr>
        <w:t xml:space="preserve">ACV </w:t>
      </w:r>
      <w:r w:rsidR="008A4BC2">
        <w:rPr>
          <w:rFonts w:ascii="Times New Roman" w:hAnsi="Times New Roman"/>
        </w:rPr>
        <w:t xml:space="preserve">to </w:t>
      </w:r>
      <w:r w:rsidRPr="007E5472">
        <w:rPr>
          <w:rFonts w:ascii="Times New Roman" w:hAnsi="Times New Roman"/>
        </w:rPr>
        <w:t>aggregate foreign ownership in excess of the 25</w:t>
      </w:r>
      <w:r w:rsidRPr="007E5472" w:rsidR="006F7E37">
        <w:rPr>
          <w:rFonts w:ascii="Times New Roman" w:hAnsi="Times New Roman"/>
        </w:rPr>
        <w:t>%</w:t>
      </w:r>
      <w:r w:rsidRPr="007E5472">
        <w:rPr>
          <w:rFonts w:ascii="Times New Roman" w:hAnsi="Times New Roman"/>
        </w:rPr>
        <w:t xml:space="preserve"> benchmark set forth in section 310(b)(4) of the Communications Act of 1934, as amended (Act).</w:t>
      </w:r>
      <w:r>
        <w:rPr>
          <w:rStyle w:val="FootnoteReference"/>
          <w:sz w:val="22"/>
        </w:rPr>
        <w:footnoteReference w:id="4"/>
      </w:r>
      <w:r w:rsidRPr="007E5472">
        <w:rPr>
          <w:rFonts w:ascii="Times New Roman" w:hAnsi="Times New Roman"/>
        </w:rPr>
        <w:t xml:space="preserve"> </w:t>
      </w:r>
      <w:r w:rsidR="00394673">
        <w:rPr>
          <w:rFonts w:ascii="Times New Roman" w:hAnsi="Times New Roman"/>
        </w:rPr>
        <w:t xml:space="preserve"> </w:t>
      </w:r>
      <w:r w:rsidR="005804B0">
        <w:rPr>
          <w:rFonts w:ascii="Times New Roman" w:hAnsi="Times New Roman"/>
        </w:rPr>
        <w:t xml:space="preserve">The applications and the </w:t>
      </w:r>
      <w:r w:rsidR="005804B0">
        <w:rPr>
          <w:rFonts w:ascii="Times New Roman" w:hAnsi="Times New Roman"/>
        </w:rPr>
        <w:t xml:space="preserve">waiver request are unopposed.  </w:t>
      </w:r>
      <w:r w:rsidR="00B23589">
        <w:rPr>
          <w:rFonts w:ascii="Times New Roman" w:hAnsi="Times New Roman"/>
        </w:rPr>
        <w:t>We grant the temporary waiver but condition</w:t>
      </w:r>
      <w:r w:rsidRPr="007E5472">
        <w:rPr>
          <w:rFonts w:ascii="Times New Roman" w:hAnsi="Times New Roman"/>
        </w:rPr>
        <w:t xml:space="preserve"> grant</w:t>
      </w:r>
      <w:r w:rsidR="00C41F68">
        <w:rPr>
          <w:rFonts w:ascii="Times New Roman" w:hAnsi="Times New Roman"/>
        </w:rPr>
        <w:t xml:space="preserve"> of</w:t>
      </w:r>
      <w:r w:rsidRPr="007E5472">
        <w:rPr>
          <w:rFonts w:ascii="Times New Roman" w:hAnsi="Times New Roman"/>
        </w:rPr>
        <w:t xml:space="preserve"> the Applications</w:t>
      </w:r>
      <w:r w:rsidRPr="007E5472" w:rsidR="00A85DDA">
        <w:rPr>
          <w:rFonts w:ascii="Times New Roman" w:hAnsi="Times New Roman"/>
        </w:rPr>
        <w:t xml:space="preserve"> on the filing of a petition for declaratory rulin</w:t>
      </w:r>
      <w:r w:rsidR="00B23589">
        <w:rPr>
          <w:rFonts w:ascii="Times New Roman" w:hAnsi="Times New Roman"/>
        </w:rPr>
        <w:t>g</w:t>
      </w:r>
      <w:r w:rsidRPr="007E5472" w:rsidR="00EE4EDD">
        <w:rPr>
          <w:rFonts w:ascii="Times New Roman" w:hAnsi="Times New Roman"/>
        </w:rPr>
        <w:t xml:space="preserve"> within 30 days of the closing of the transaction.</w:t>
      </w:r>
      <w:r w:rsidRPr="007E5472">
        <w:rPr>
          <w:rFonts w:ascii="Times New Roman" w:hAnsi="Times New Roman"/>
        </w:rPr>
        <w:t xml:space="preserve">  </w:t>
      </w:r>
    </w:p>
    <w:p w:rsidR="00B311C3" w:rsidRPr="007E5472" w:rsidP="007E5472" w14:paraId="0FFD1488" w14:textId="77777777">
      <w:pPr>
        <w:pStyle w:val="Heading1"/>
        <w:spacing w:line="240" w:lineRule="auto"/>
        <w:rPr>
          <w:rFonts w:ascii="Times New Roman" w:hAnsi="Times New Roman"/>
        </w:rPr>
      </w:pPr>
      <w:r w:rsidRPr="007E5472">
        <w:rPr>
          <w:rFonts w:ascii="Times New Roman" w:hAnsi="Times New Roman"/>
        </w:rPr>
        <w:t>Background</w:t>
      </w:r>
    </w:p>
    <w:p w:rsidR="006B3B5C" w:rsidRPr="00575B63" w:rsidP="00575B63" w14:paraId="7B09622B" w14:textId="77777777">
      <w:pPr>
        <w:pStyle w:val="ParaNum"/>
        <w:spacing w:line="240" w:lineRule="auto"/>
        <w:rPr>
          <w:rFonts w:ascii="Times New Roman" w:hAnsi="Times New Roman"/>
        </w:rPr>
      </w:pPr>
      <w:r w:rsidRPr="007E5472">
        <w:rPr>
          <w:rFonts w:ascii="Times New Roman" w:hAnsi="Times New Roman"/>
          <w:i/>
        </w:rPr>
        <w:t>Bankruptcy</w:t>
      </w:r>
      <w:r w:rsidRPr="007E5472" w:rsidR="00834C68">
        <w:rPr>
          <w:rFonts w:ascii="Times New Roman" w:hAnsi="Times New Roman"/>
          <w:i/>
        </w:rPr>
        <w:t xml:space="preserve"> and Description of Transaction</w:t>
      </w:r>
      <w:r w:rsidRPr="007E5472">
        <w:rPr>
          <w:rFonts w:ascii="Times New Roman" w:hAnsi="Times New Roman"/>
        </w:rPr>
        <w:t xml:space="preserve">.  </w:t>
      </w:r>
      <w:r w:rsidRPr="007E5472" w:rsidR="0072052A">
        <w:rPr>
          <w:rFonts w:ascii="Times New Roman" w:hAnsi="Times New Roman"/>
        </w:rPr>
        <w:t>ACV is</w:t>
      </w:r>
      <w:r w:rsidRPr="007E5472">
        <w:rPr>
          <w:rFonts w:ascii="Times New Roman" w:hAnsi="Times New Roman"/>
        </w:rPr>
        <w:t xml:space="preserve"> currently </w:t>
      </w:r>
      <w:r w:rsidRPr="007E5472" w:rsidR="004F1C51">
        <w:rPr>
          <w:rFonts w:ascii="Times New Roman" w:hAnsi="Times New Roman"/>
        </w:rPr>
        <w:t>operating</w:t>
      </w:r>
      <w:r w:rsidRPr="007E5472">
        <w:rPr>
          <w:rFonts w:ascii="Times New Roman" w:hAnsi="Times New Roman"/>
        </w:rPr>
        <w:t xml:space="preserve"> under protection of Chapter 11 of the United States Bankruptcy Code before the United States Bankruptcy Court for the</w:t>
      </w:r>
      <w:r w:rsidRPr="007E5472" w:rsidR="0072052A">
        <w:rPr>
          <w:rFonts w:ascii="Times New Roman" w:hAnsi="Times New Roman"/>
        </w:rPr>
        <w:t xml:space="preserve"> Southern</w:t>
      </w:r>
      <w:r w:rsidRPr="007E5472">
        <w:rPr>
          <w:rFonts w:ascii="Times New Roman" w:hAnsi="Times New Roman"/>
        </w:rPr>
        <w:t xml:space="preserve"> District of </w:t>
      </w:r>
      <w:r w:rsidRPr="007E5472" w:rsidR="0072052A">
        <w:rPr>
          <w:rFonts w:ascii="Times New Roman" w:hAnsi="Times New Roman"/>
        </w:rPr>
        <w:t>Florida</w:t>
      </w:r>
      <w:r w:rsidRPr="007E5472">
        <w:rPr>
          <w:rFonts w:ascii="Times New Roman" w:hAnsi="Times New Roman"/>
        </w:rPr>
        <w:t xml:space="preserve"> (Bankruptcy Court).</w:t>
      </w:r>
      <w:r>
        <w:rPr>
          <w:rStyle w:val="FootnoteReference"/>
          <w:sz w:val="22"/>
        </w:rPr>
        <w:footnoteReference w:id="5"/>
      </w:r>
      <w:r w:rsidRPr="007E5472">
        <w:rPr>
          <w:rFonts w:ascii="Times New Roman" w:hAnsi="Times New Roman"/>
        </w:rPr>
        <w:t xml:space="preserve">  </w:t>
      </w:r>
      <w:r w:rsidRPr="007E5472" w:rsidR="0010718E">
        <w:rPr>
          <w:rFonts w:ascii="Times New Roman" w:hAnsi="Times New Roman"/>
        </w:rPr>
        <w:t xml:space="preserve">On </w:t>
      </w:r>
      <w:r w:rsidR="00575B63">
        <w:rPr>
          <w:rFonts w:ascii="Times New Roman" w:hAnsi="Times New Roman"/>
        </w:rPr>
        <w:t>June</w:t>
      </w:r>
      <w:r w:rsidRPr="007E5472" w:rsidR="0010718E">
        <w:rPr>
          <w:rFonts w:ascii="Times New Roman" w:hAnsi="Times New Roman"/>
        </w:rPr>
        <w:t xml:space="preserve"> </w:t>
      </w:r>
      <w:r w:rsidR="00575B63">
        <w:rPr>
          <w:rFonts w:ascii="Times New Roman" w:hAnsi="Times New Roman"/>
        </w:rPr>
        <w:t>3</w:t>
      </w:r>
      <w:r w:rsidRPr="007E5472" w:rsidR="0010718E">
        <w:rPr>
          <w:rFonts w:ascii="Times New Roman" w:hAnsi="Times New Roman"/>
        </w:rPr>
        <w:t xml:space="preserve">, 2020, </w:t>
      </w:r>
      <w:r w:rsidR="009D6FD7">
        <w:rPr>
          <w:rFonts w:ascii="Times New Roman" w:hAnsi="Times New Roman"/>
        </w:rPr>
        <w:t>the Bankruptcy Court issued its Order Confirming Debtors’ Plan of Reorganization</w:t>
      </w:r>
      <w:r w:rsidR="00575B63">
        <w:rPr>
          <w:rFonts w:ascii="Times New Roman" w:hAnsi="Times New Roman"/>
        </w:rPr>
        <w:t xml:space="preserve"> as Modified</w:t>
      </w:r>
      <w:r w:rsidR="009D6FD7">
        <w:rPr>
          <w:rFonts w:ascii="Times New Roman" w:hAnsi="Times New Roman"/>
        </w:rPr>
        <w:t xml:space="preserve"> (Confirmation Order)</w:t>
      </w:r>
      <w:r w:rsidR="00020A70">
        <w:rPr>
          <w:rFonts w:ascii="Times New Roman" w:hAnsi="Times New Roman"/>
        </w:rPr>
        <w:t>,</w:t>
      </w:r>
      <w:r>
        <w:rPr>
          <w:rStyle w:val="FootnoteReference"/>
        </w:rPr>
        <w:footnoteReference w:id="6"/>
      </w:r>
      <w:r w:rsidR="00020A70">
        <w:rPr>
          <w:rFonts w:ascii="Times New Roman" w:hAnsi="Times New Roman"/>
        </w:rPr>
        <w:t xml:space="preserve"> approving </w:t>
      </w:r>
      <w:r w:rsidRPr="00020A70" w:rsidR="0010718E">
        <w:rPr>
          <w:rFonts w:ascii="Times New Roman" w:hAnsi="Times New Roman"/>
        </w:rPr>
        <w:t>ACV’s Chapter 11 Plan of Reorganization (Plan)</w:t>
      </w:r>
      <w:r w:rsidR="00A6407A">
        <w:rPr>
          <w:rFonts w:ascii="Times New Roman" w:hAnsi="Times New Roman"/>
        </w:rPr>
        <w:t>,</w:t>
      </w:r>
      <w:r w:rsidR="00020A70">
        <w:rPr>
          <w:rFonts w:ascii="Times New Roman" w:hAnsi="Times New Roman"/>
        </w:rPr>
        <w:t xml:space="preserve"> and</w:t>
      </w:r>
      <w:r w:rsidRPr="00020A70" w:rsidR="0010718E">
        <w:rPr>
          <w:rFonts w:ascii="Times New Roman" w:hAnsi="Times New Roman"/>
        </w:rPr>
        <w:t xml:space="preserve"> permitting ACV to complete its restructuring and emerge from bankruptcy subject to, among other things, Commission consent to the Applications</w:t>
      </w:r>
      <w:r w:rsidR="00020A70">
        <w:rPr>
          <w:rFonts w:ascii="Times New Roman" w:hAnsi="Times New Roman"/>
        </w:rPr>
        <w:t>.</w:t>
      </w:r>
      <w:r>
        <w:rPr>
          <w:rStyle w:val="FootnoteReference"/>
        </w:rPr>
        <w:footnoteReference w:id="7"/>
      </w:r>
      <w:r w:rsidR="00575B63">
        <w:rPr>
          <w:rFonts w:ascii="Times New Roman" w:hAnsi="Times New Roman"/>
        </w:rPr>
        <w:t xml:space="preserve">  </w:t>
      </w:r>
      <w:r w:rsidRPr="00575B63" w:rsidR="00CE61DC">
        <w:rPr>
          <w:rFonts w:ascii="Times New Roman" w:hAnsi="Times New Roman"/>
        </w:rPr>
        <w:t>U</w:t>
      </w:r>
      <w:r w:rsidRPr="00575B63">
        <w:rPr>
          <w:rFonts w:ascii="Times New Roman" w:hAnsi="Times New Roman"/>
        </w:rPr>
        <w:t>nder the terms of the Plan</w:t>
      </w:r>
      <w:r w:rsidRPr="00575B63" w:rsidR="0010718E">
        <w:rPr>
          <w:rFonts w:ascii="Times New Roman" w:hAnsi="Times New Roman"/>
        </w:rPr>
        <w:t xml:space="preserve"> and the related modification</w:t>
      </w:r>
      <w:r w:rsidRPr="00575B63" w:rsidR="00CE61DC">
        <w:rPr>
          <w:rFonts w:ascii="Times New Roman" w:hAnsi="Times New Roman"/>
        </w:rPr>
        <w:t xml:space="preserve">, all </w:t>
      </w:r>
      <w:r w:rsidRPr="00575B63" w:rsidR="00994A01">
        <w:rPr>
          <w:rFonts w:ascii="Times New Roman" w:hAnsi="Times New Roman"/>
        </w:rPr>
        <w:t>pre-bankruptcy e</w:t>
      </w:r>
      <w:r w:rsidRPr="00575B63" w:rsidR="00CE61DC">
        <w:rPr>
          <w:rFonts w:ascii="Times New Roman" w:hAnsi="Times New Roman"/>
        </w:rPr>
        <w:t xml:space="preserve">quity </w:t>
      </w:r>
      <w:r w:rsidRPr="00575B63" w:rsidR="00994A01">
        <w:rPr>
          <w:rFonts w:ascii="Times New Roman" w:hAnsi="Times New Roman"/>
        </w:rPr>
        <w:t>i</w:t>
      </w:r>
      <w:r w:rsidRPr="00575B63" w:rsidR="00CE61DC">
        <w:rPr>
          <w:rFonts w:ascii="Times New Roman" w:hAnsi="Times New Roman"/>
        </w:rPr>
        <w:t>nterests in ACV as debtor-in-possession shall be cancelled and extinguished.</w:t>
      </w:r>
      <w:r>
        <w:rPr>
          <w:rStyle w:val="FootnoteReference"/>
          <w:sz w:val="22"/>
        </w:rPr>
        <w:footnoteReference w:id="8"/>
      </w:r>
      <w:r w:rsidRPr="00575B63" w:rsidR="00CE61DC">
        <w:rPr>
          <w:rFonts w:ascii="Times New Roman" w:hAnsi="Times New Roman"/>
        </w:rPr>
        <w:t xml:space="preserve">  Simultaneously, ACV will issue </w:t>
      </w:r>
      <w:r w:rsidRPr="00575B63" w:rsidR="0001295E">
        <w:rPr>
          <w:rFonts w:ascii="Times New Roman" w:hAnsi="Times New Roman"/>
        </w:rPr>
        <w:t xml:space="preserve">100% of its </w:t>
      </w:r>
      <w:r w:rsidRPr="00575B63" w:rsidR="00CE61DC">
        <w:rPr>
          <w:rFonts w:ascii="Times New Roman" w:hAnsi="Times New Roman"/>
        </w:rPr>
        <w:t>New Equity Interests</w:t>
      </w:r>
      <w:r>
        <w:rPr>
          <w:rStyle w:val="FootnoteReference"/>
          <w:sz w:val="22"/>
        </w:rPr>
        <w:footnoteReference w:id="9"/>
      </w:r>
      <w:r w:rsidRPr="00575B63" w:rsidR="00CE61DC">
        <w:rPr>
          <w:rFonts w:ascii="Times New Roman" w:hAnsi="Times New Roman"/>
        </w:rPr>
        <w:t xml:space="preserve"> to </w:t>
      </w:r>
      <w:r w:rsidRPr="00575B63" w:rsidR="00CE61DC">
        <w:rPr>
          <w:rFonts w:ascii="Times New Roman" w:hAnsi="Times New Roman"/>
        </w:rPr>
        <w:t>Vasallo</w:t>
      </w:r>
      <w:r w:rsidRPr="00575B63" w:rsidR="00CE61DC">
        <w:rPr>
          <w:rFonts w:ascii="Times New Roman" w:hAnsi="Times New Roman"/>
        </w:rPr>
        <w:t xml:space="preserve"> TV Group</w:t>
      </w:r>
      <w:r w:rsidRPr="00575B63" w:rsidR="00A960C4">
        <w:rPr>
          <w:rFonts w:ascii="Times New Roman" w:hAnsi="Times New Roman"/>
        </w:rPr>
        <w:t>, LLC</w:t>
      </w:r>
      <w:r w:rsidRPr="00575B63" w:rsidR="00A738EB">
        <w:rPr>
          <w:rFonts w:ascii="Times New Roman" w:hAnsi="Times New Roman"/>
        </w:rPr>
        <w:t xml:space="preserve"> (</w:t>
      </w:r>
      <w:r w:rsidRPr="00575B63" w:rsidR="00A738EB">
        <w:rPr>
          <w:rFonts w:ascii="Times New Roman" w:hAnsi="Times New Roman"/>
        </w:rPr>
        <w:t>Vasallo</w:t>
      </w:r>
      <w:r w:rsidRPr="00575B63" w:rsidR="00A738EB">
        <w:rPr>
          <w:rFonts w:ascii="Times New Roman" w:hAnsi="Times New Roman"/>
        </w:rPr>
        <w:t xml:space="preserve"> TV)</w:t>
      </w:r>
      <w:r w:rsidRPr="00575B63" w:rsidR="00A960C4">
        <w:rPr>
          <w:rFonts w:ascii="Times New Roman" w:hAnsi="Times New Roman"/>
        </w:rPr>
        <w:t xml:space="preserve">, </w:t>
      </w:r>
      <w:r w:rsidRPr="00575B63" w:rsidR="00B945E1">
        <w:rPr>
          <w:rFonts w:ascii="Times New Roman" w:hAnsi="Times New Roman"/>
        </w:rPr>
        <w:t xml:space="preserve">making </w:t>
      </w:r>
      <w:r w:rsidRPr="00575B63" w:rsidR="00B945E1">
        <w:rPr>
          <w:rFonts w:ascii="Times New Roman" w:hAnsi="Times New Roman"/>
        </w:rPr>
        <w:t>Vasallo</w:t>
      </w:r>
      <w:r w:rsidRPr="00575B63" w:rsidR="00B945E1">
        <w:rPr>
          <w:rFonts w:ascii="Times New Roman" w:hAnsi="Times New Roman"/>
        </w:rPr>
        <w:t xml:space="preserve"> TV the sole shareholder of ACV.  </w:t>
      </w:r>
      <w:r w:rsidRPr="00575B63" w:rsidR="00B945E1">
        <w:rPr>
          <w:rFonts w:ascii="Times New Roman" w:hAnsi="Times New Roman"/>
        </w:rPr>
        <w:t>Vasallo</w:t>
      </w:r>
      <w:r w:rsidRPr="00575B63" w:rsidR="00B945E1">
        <w:rPr>
          <w:rFonts w:ascii="Times New Roman" w:hAnsi="Times New Roman"/>
        </w:rPr>
        <w:t xml:space="preserve"> TV is </w:t>
      </w:r>
      <w:r w:rsidRPr="00575B63" w:rsidR="00A738EB">
        <w:rPr>
          <w:rFonts w:ascii="Times New Roman" w:hAnsi="Times New Roman"/>
        </w:rPr>
        <w:t xml:space="preserve">a </w:t>
      </w:r>
      <w:r w:rsidRPr="00575B63" w:rsidR="00A738EB">
        <w:rPr>
          <w:rFonts w:ascii="Times New Roman" w:hAnsi="Times New Roman"/>
        </w:rPr>
        <w:t>wholly-owned</w:t>
      </w:r>
      <w:r w:rsidRPr="00575B63" w:rsidR="00A738EB">
        <w:rPr>
          <w:rFonts w:ascii="Times New Roman" w:hAnsi="Times New Roman"/>
        </w:rPr>
        <w:t xml:space="preserve"> subsidiary of Top Products Investments, Inc.</w:t>
      </w:r>
      <w:r w:rsidRPr="00575B63" w:rsidR="00B945E1">
        <w:rPr>
          <w:rFonts w:ascii="Times New Roman" w:hAnsi="Times New Roman"/>
        </w:rPr>
        <w:t xml:space="preserve"> (Top Products)</w:t>
      </w:r>
      <w:r w:rsidRPr="00575B63" w:rsidR="00A738EB">
        <w:rPr>
          <w:rFonts w:ascii="Times New Roman" w:hAnsi="Times New Roman"/>
        </w:rPr>
        <w:t>, a corporation organized under the laws of Panama.</w:t>
      </w:r>
      <w:r>
        <w:rPr>
          <w:rStyle w:val="FootnoteReference"/>
          <w:sz w:val="22"/>
        </w:rPr>
        <w:footnoteReference w:id="10"/>
      </w:r>
      <w:r w:rsidRPr="00575B63" w:rsidR="00A738EB">
        <w:rPr>
          <w:rFonts w:ascii="Times New Roman" w:hAnsi="Times New Roman"/>
        </w:rPr>
        <w:t xml:space="preserve">  </w:t>
      </w:r>
      <w:r w:rsidRPr="00575B63" w:rsidR="00B945E1">
        <w:rPr>
          <w:rFonts w:ascii="Times New Roman" w:hAnsi="Times New Roman"/>
        </w:rPr>
        <w:t xml:space="preserve">Top Product’s sole owner will be Carlos </w:t>
      </w:r>
      <w:r w:rsidRPr="00575B63" w:rsidR="00B945E1">
        <w:rPr>
          <w:rFonts w:ascii="Times New Roman" w:hAnsi="Times New Roman"/>
        </w:rPr>
        <w:t>Vasallo</w:t>
      </w:r>
      <w:r w:rsidRPr="00575B63" w:rsidR="00B945E1">
        <w:rPr>
          <w:rFonts w:ascii="Times New Roman" w:hAnsi="Times New Roman"/>
        </w:rPr>
        <w:t>, a citizen of Spain.</w:t>
      </w:r>
      <w:r w:rsidRPr="00575B63" w:rsidR="00C4649F">
        <w:rPr>
          <w:rFonts w:ascii="Times New Roman" w:hAnsi="Times New Roman"/>
        </w:rPr>
        <w:t xml:space="preserve">  </w:t>
      </w:r>
      <w:r w:rsidRPr="00575B63">
        <w:rPr>
          <w:rFonts w:ascii="Times New Roman" w:hAnsi="Times New Roman"/>
        </w:rPr>
        <w:t>A</w:t>
      </w:r>
      <w:r w:rsidR="000D52DD">
        <w:rPr>
          <w:rFonts w:ascii="Times New Roman" w:hAnsi="Times New Roman"/>
        </w:rPr>
        <w:t>dditionally, a</w:t>
      </w:r>
      <w:r w:rsidRPr="00575B63">
        <w:rPr>
          <w:rFonts w:ascii="Times New Roman" w:hAnsi="Times New Roman"/>
        </w:rPr>
        <w:t>ll New Equity Interests distributed at emergence from bankruptcy will be voting interests</w:t>
      </w:r>
      <w:r w:rsidRPr="00575B63" w:rsidR="00F73D2B">
        <w:rPr>
          <w:rFonts w:ascii="Times New Roman" w:hAnsi="Times New Roman"/>
        </w:rPr>
        <w:t xml:space="preserve">. </w:t>
      </w:r>
      <w:r w:rsidRPr="00575B63">
        <w:rPr>
          <w:rFonts w:ascii="Times New Roman" w:hAnsi="Times New Roman"/>
        </w:rPr>
        <w:t xml:space="preserve"> </w:t>
      </w:r>
    </w:p>
    <w:p w:rsidR="006B3B5C" w:rsidRPr="007E5472" w:rsidP="007E5472" w14:paraId="320817BD" w14:textId="77777777">
      <w:pPr>
        <w:pStyle w:val="ParaNum"/>
        <w:spacing w:line="240" w:lineRule="auto"/>
        <w:rPr>
          <w:rFonts w:ascii="Times New Roman" w:hAnsi="Times New Roman"/>
        </w:rPr>
      </w:pPr>
      <w:r w:rsidRPr="007E5472">
        <w:rPr>
          <w:rFonts w:ascii="Times New Roman" w:hAnsi="Times New Roman"/>
          <w:i/>
        </w:rPr>
        <w:t>Waiver Request</w:t>
      </w:r>
      <w:r w:rsidRPr="007E5472">
        <w:rPr>
          <w:rFonts w:ascii="Times New Roman" w:hAnsi="Times New Roman"/>
        </w:rPr>
        <w:t xml:space="preserve">.  </w:t>
      </w:r>
      <w:r w:rsidRPr="007E5472" w:rsidR="00834C68">
        <w:rPr>
          <w:rFonts w:ascii="Times New Roman" w:hAnsi="Times New Roman"/>
        </w:rPr>
        <w:t xml:space="preserve">With the instant </w:t>
      </w:r>
      <w:r w:rsidR="00992B46">
        <w:rPr>
          <w:rFonts w:ascii="Times New Roman" w:hAnsi="Times New Roman"/>
        </w:rPr>
        <w:t>Applications</w:t>
      </w:r>
      <w:r w:rsidRPr="007E5472" w:rsidR="00834C68">
        <w:rPr>
          <w:rFonts w:ascii="Times New Roman" w:hAnsi="Times New Roman"/>
        </w:rPr>
        <w:t>, Applicants seek “</w:t>
      </w:r>
      <w:r w:rsidRPr="007E5472" w:rsidR="00343C4D">
        <w:rPr>
          <w:rFonts w:ascii="Times New Roman" w:hAnsi="Times New Roman"/>
        </w:rPr>
        <w:t>a temporary and limited waiver of Section 1.5000(a)(1) of the Commission’s rules to permit ACV’s emergence from bankruptcy before the Commission considers its Petition for Declaratory Ruling to increase ACV’s indirect foreign ownership interests in excess of the 25% benchmark set forth in Section 310(b)(4) of th</w:t>
      </w:r>
      <w:r w:rsidR="00FA7644">
        <w:rPr>
          <w:rFonts w:ascii="Times New Roman" w:hAnsi="Times New Roman"/>
        </w:rPr>
        <w:t>e [Act]</w:t>
      </w:r>
      <w:r w:rsidRPr="007E5472" w:rsidR="00834C68">
        <w:rPr>
          <w:rFonts w:ascii="Times New Roman" w:hAnsi="Times New Roman"/>
        </w:rPr>
        <w:t>.”</w:t>
      </w:r>
      <w:r>
        <w:rPr>
          <w:rStyle w:val="FootnoteReference"/>
          <w:sz w:val="22"/>
        </w:rPr>
        <w:footnoteReference w:id="11"/>
      </w:r>
      <w:r w:rsidRPr="007E5472" w:rsidR="00834C68">
        <w:rPr>
          <w:rFonts w:ascii="Times New Roman" w:hAnsi="Times New Roman"/>
        </w:rPr>
        <w:t xml:space="preserve">  </w:t>
      </w:r>
      <w:r w:rsidRPr="007E5472" w:rsidR="00FC6819">
        <w:rPr>
          <w:rFonts w:ascii="Times New Roman" w:hAnsi="Times New Roman"/>
        </w:rPr>
        <w:t xml:space="preserve">Specifically, ACV requests that it be allowed to file a petition for declaratory ruling </w:t>
      </w:r>
      <w:r w:rsidR="002703B1">
        <w:rPr>
          <w:rFonts w:ascii="Times New Roman" w:hAnsi="Times New Roman"/>
        </w:rPr>
        <w:t>for</w:t>
      </w:r>
      <w:r w:rsidRPr="007E5472" w:rsidR="002703B1">
        <w:rPr>
          <w:rFonts w:ascii="Times New Roman" w:hAnsi="Times New Roman"/>
        </w:rPr>
        <w:t xml:space="preserve"> approval to exceed the foreign ownership benchmark </w:t>
      </w:r>
      <w:r w:rsidRPr="007E5472" w:rsidR="00FC6819">
        <w:rPr>
          <w:rFonts w:ascii="Times New Roman" w:hAnsi="Times New Roman"/>
        </w:rPr>
        <w:t>no later than 30 days after closing on the ACV reorganization following grant of the Applications by the Commission</w:t>
      </w:r>
      <w:r w:rsidRPr="007E5472" w:rsidR="00834C68">
        <w:rPr>
          <w:rFonts w:ascii="Times New Roman" w:hAnsi="Times New Roman"/>
        </w:rPr>
        <w:t>.</w:t>
      </w:r>
      <w:r>
        <w:rPr>
          <w:rStyle w:val="FootnoteReference"/>
          <w:sz w:val="22"/>
        </w:rPr>
        <w:footnoteReference w:id="12"/>
      </w:r>
      <w:r w:rsidRPr="007E5472" w:rsidR="00FC6819">
        <w:rPr>
          <w:rFonts w:ascii="Times New Roman" w:hAnsi="Times New Roman"/>
        </w:rPr>
        <w:t xml:space="preserve">  </w:t>
      </w:r>
      <w:r w:rsidRPr="007E5472" w:rsidR="00D53A8F">
        <w:rPr>
          <w:rFonts w:ascii="Times New Roman" w:hAnsi="Times New Roman"/>
        </w:rPr>
        <w:t>ACV</w:t>
      </w:r>
      <w:r w:rsidRPr="007E5472">
        <w:rPr>
          <w:rFonts w:ascii="Times New Roman" w:hAnsi="Times New Roman"/>
        </w:rPr>
        <w:t xml:space="preserve"> contend</w:t>
      </w:r>
      <w:r w:rsidRPr="007E5472" w:rsidR="00D53A8F">
        <w:rPr>
          <w:rFonts w:ascii="Times New Roman" w:hAnsi="Times New Roman"/>
        </w:rPr>
        <w:t>s</w:t>
      </w:r>
      <w:r w:rsidRPr="007E5472">
        <w:rPr>
          <w:rFonts w:ascii="Times New Roman" w:hAnsi="Times New Roman"/>
        </w:rPr>
        <w:t xml:space="preserve"> that grant of the waiver would serve the public interest by facilitating the emergence of </w:t>
      </w:r>
      <w:r w:rsidRPr="007E5472" w:rsidR="00D53A8F">
        <w:rPr>
          <w:rFonts w:ascii="Times New Roman" w:hAnsi="Times New Roman"/>
        </w:rPr>
        <w:t>ACV</w:t>
      </w:r>
      <w:r w:rsidRPr="007E5472">
        <w:rPr>
          <w:rFonts w:ascii="Times New Roman" w:hAnsi="Times New Roman"/>
        </w:rPr>
        <w:t xml:space="preserve"> from the bankruptcy process in a manner </w:t>
      </w:r>
      <w:r w:rsidRPr="007E5472">
        <w:rPr>
          <w:rFonts w:ascii="Times New Roman" w:hAnsi="Times New Roman"/>
        </w:rPr>
        <w:t>consistent with the Commission’s practice of accommodating federal bankruptcy law when doing so will not unduly interfere with the Commission’s public interest obligations under the Act.</w:t>
      </w:r>
      <w:r>
        <w:rPr>
          <w:rStyle w:val="FootnoteReference"/>
          <w:sz w:val="22"/>
        </w:rPr>
        <w:footnoteReference w:id="13"/>
      </w:r>
      <w:r w:rsidRPr="007E5472">
        <w:rPr>
          <w:rFonts w:ascii="Times New Roman" w:hAnsi="Times New Roman"/>
        </w:rPr>
        <w:t xml:space="preserve">  </w:t>
      </w:r>
    </w:p>
    <w:p w:rsidR="00B311C3" w:rsidRPr="007E5472" w:rsidP="007E5472" w14:paraId="7B837AE8" w14:textId="77777777">
      <w:pPr>
        <w:pStyle w:val="Heading1"/>
        <w:spacing w:line="240" w:lineRule="auto"/>
        <w:rPr>
          <w:rFonts w:ascii="Times New Roman" w:hAnsi="Times New Roman"/>
        </w:rPr>
      </w:pPr>
      <w:r w:rsidRPr="007E5472">
        <w:rPr>
          <w:rFonts w:ascii="Times New Roman" w:hAnsi="Times New Roman"/>
        </w:rPr>
        <w:t>discussion</w:t>
      </w:r>
    </w:p>
    <w:p w:rsidR="006B3B5C" w:rsidRPr="007E5472" w:rsidP="00A83295" w14:paraId="7E0F20E5" w14:textId="77777777">
      <w:pPr>
        <w:pStyle w:val="ParaNum"/>
        <w:spacing w:line="240" w:lineRule="auto"/>
        <w:rPr>
          <w:rFonts w:ascii="Times New Roman" w:hAnsi="Times New Roman"/>
        </w:rPr>
      </w:pPr>
      <w:bookmarkStart w:id="1" w:name="FN[FN8]"/>
      <w:bookmarkStart w:id="2" w:name="FN[FN9]"/>
      <w:bookmarkStart w:id="3" w:name="FN[FN10]"/>
      <w:bookmarkStart w:id="4" w:name="sp_1511_11220"/>
      <w:bookmarkStart w:id="5" w:name="SDU_11220"/>
      <w:bookmarkStart w:id="6" w:name="citeas((Cite_as:_22_F.C.C.R._11218,_*112"/>
      <w:bookmarkEnd w:id="1"/>
      <w:bookmarkEnd w:id="2"/>
      <w:bookmarkEnd w:id="3"/>
      <w:bookmarkEnd w:id="4"/>
      <w:bookmarkEnd w:id="5"/>
      <w:bookmarkEnd w:id="6"/>
      <w:r>
        <w:rPr>
          <w:rFonts w:ascii="Times New Roman" w:hAnsi="Times New Roman"/>
          <w:i/>
        </w:rPr>
        <w:t>Transfer of Control</w:t>
      </w:r>
      <w:r w:rsidRPr="007E5472">
        <w:rPr>
          <w:rFonts w:ascii="Times New Roman" w:hAnsi="Times New Roman"/>
        </w:rPr>
        <w:t xml:space="preserve">.  </w:t>
      </w:r>
      <w:r w:rsidRPr="007E5472" w:rsidR="004D10D5">
        <w:rPr>
          <w:rFonts w:ascii="Times New Roman" w:hAnsi="Times New Roman"/>
        </w:rPr>
        <w:t xml:space="preserve">For the reasons discussed below, we find that grant of the </w:t>
      </w:r>
      <w:r w:rsidR="00D13E80">
        <w:rPr>
          <w:rFonts w:ascii="Times New Roman" w:hAnsi="Times New Roman"/>
        </w:rPr>
        <w:t xml:space="preserve">unopposed </w:t>
      </w:r>
      <w:r w:rsidRPr="007E5472" w:rsidR="004D10D5">
        <w:rPr>
          <w:rFonts w:ascii="Times New Roman" w:hAnsi="Times New Roman"/>
        </w:rPr>
        <w:t>Applications</w:t>
      </w:r>
      <w:r w:rsidR="007314C1">
        <w:rPr>
          <w:rFonts w:ascii="Times New Roman" w:hAnsi="Times New Roman"/>
        </w:rPr>
        <w:t xml:space="preserve">, </w:t>
      </w:r>
      <w:r w:rsidRPr="007E5472" w:rsidR="007314C1">
        <w:rPr>
          <w:rFonts w:ascii="Times New Roman" w:hAnsi="Times New Roman"/>
        </w:rPr>
        <w:t>conditioned upon the filing of a petition for declaratory ruling within 30 days of closing</w:t>
      </w:r>
      <w:r w:rsidR="007314C1">
        <w:rPr>
          <w:rFonts w:ascii="Times New Roman" w:hAnsi="Times New Roman"/>
        </w:rPr>
        <w:t xml:space="preserve">, </w:t>
      </w:r>
      <w:r w:rsidRPr="007E5472" w:rsidR="004D10D5">
        <w:rPr>
          <w:rFonts w:ascii="Times New Roman" w:hAnsi="Times New Roman"/>
        </w:rPr>
        <w:t xml:space="preserve">is in the public interest.  </w:t>
      </w:r>
      <w:r w:rsidRPr="007E5472">
        <w:rPr>
          <w:rFonts w:ascii="Times New Roman" w:hAnsi="Times New Roman"/>
        </w:rPr>
        <w:t>Section 310(d) of the Act provides that no station license shall be transferred or assigned until the Commission, upon application, determines that the public interest, convenience, and necessity will be served thereby.</w:t>
      </w:r>
      <w:r>
        <w:rPr>
          <w:rStyle w:val="FootnoteReference"/>
          <w:sz w:val="22"/>
        </w:rPr>
        <w:footnoteReference w:id="14"/>
      </w:r>
      <w:r w:rsidRPr="007E5472">
        <w:rPr>
          <w:rFonts w:ascii="Times New Roman" w:hAnsi="Times New Roman"/>
        </w:rPr>
        <w:t xml:space="preserve">  </w:t>
      </w:r>
      <w:r w:rsidRPr="007E5472">
        <w:rPr>
          <w:rFonts w:ascii="Times New Roman" w:hAnsi="Times New Roman"/>
          <w:bCs/>
        </w:rPr>
        <w:t>In making this assessment, the Commission must first determine whether the proposed transaction would comply with the specific provisions of the Act, other applicable statutes, and the Commission’s rules.</w:t>
      </w:r>
      <w:r>
        <w:rPr>
          <w:rFonts w:ascii="Times New Roman" w:hAnsi="Times New Roman"/>
          <w:bCs/>
          <w:vertAlign w:val="superscript"/>
        </w:rPr>
        <w:footnoteReference w:id="15"/>
      </w:r>
      <w:r w:rsidRPr="007E5472">
        <w:rPr>
          <w:rFonts w:ascii="Times New Roman" w:hAnsi="Times New Roman"/>
          <w:bCs/>
        </w:rPr>
        <w:t xml:space="preserve">  If the transaction would not violate a statute or rule, the Commission considers whether it could result in public interest harms by substantially frustrating or impairing the objectives or implementation of the Act or related statutes.</w:t>
      </w:r>
      <w:r>
        <w:rPr>
          <w:rFonts w:ascii="Times New Roman" w:hAnsi="Times New Roman"/>
          <w:bCs/>
          <w:vertAlign w:val="superscript"/>
        </w:rPr>
        <w:footnoteReference w:id="16"/>
      </w:r>
      <w:r w:rsidRPr="007E5472">
        <w:rPr>
          <w:rFonts w:ascii="Times New Roman" w:hAnsi="Times New Roman"/>
          <w:bCs/>
        </w:rPr>
        <w:t xml:space="preserve">  </w:t>
      </w:r>
      <w:r w:rsidRPr="007E5472">
        <w:rPr>
          <w:rFonts w:ascii="Times New Roman" w:hAnsi="Times New Roman"/>
        </w:rPr>
        <w:t xml:space="preserve">If the Commission is unable to find that the proposed transaction serves the public interest, or if the record presents a </w:t>
      </w:r>
      <w:bookmarkStart w:id="7" w:name="_Hlk16759503"/>
      <w:r w:rsidRPr="007E5472">
        <w:rPr>
          <w:rFonts w:ascii="Times New Roman" w:hAnsi="Times New Roman"/>
        </w:rPr>
        <w:t xml:space="preserve">substantial and material question of fact </w:t>
      </w:r>
      <w:bookmarkEnd w:id="7"/>
      <w:r w:rsidRPr="007E5472">
        <w:rPr>
          <w:rFonts w:ascii="Times New Roman" w:hAnsi="Times New Roman"/>
        </w:rPr>
        <w:t>as to whether the transaction serves the public interest, Section 309(e) of the Act requires that the applications be designated for hearing.</w:t>
      </w:r>
      <w:r>
        <w:rPr>
          <w:rFonts w:ascii="Times New Roman" w:hAnsi="Times New Roman"/>
          <w:vertAlign w:val="superscript"/>
        </w:rPr>
        <w:footnoteReference w:id="17"/>
      </w:r>
    </w:p>
    <w:p w:rsidR="000E5675" w:rsidP="0060283E" w14:paraId="256DF2E5" w14:textId="77777777">
      <w:pPr>
        <w:pStyle w:val="ParaNum"/>
        <w:rPr>
          <w:rFonts w:ascii="Times New Roman" w:hAnsi="Times New Roman"/>
        </w:rPr>
      </w:pPr>
      <w:r w:rsidRPr="0060283E">
        <w:rPr>
          <w:rFonts w:ascii="Times New Roman" w:hAnsi="Times New Roman"/>
        </w:rPr>
        <w:t>Upon review of the record, we find that</w:t>
      </w:r>
      <w:r w:rsidR="00D13E80">
        <w:rPr>
          <w:rFonts w:ascii="Times New Roman" w:hAnsi="Times New Roman"/>
        </w:rPr>
        <w:t>,</w:t>
      </w:r>
      <w:r w:rsidRPr="0060283E">
        <w:rPr>
          <w:rFonts w:ascii="Times New Roman" w:hAnsi="Times New Roman"/>
        </w:rPr>
        <w:t xml:space="preserve"> </w:t>
      </w:r>
      <w:r w:rsidR="002703B1">
        <w:rPr>
          <w:rFonts w:ascii="Times New Roman" w:hAnsi="Times New Roman"/>
        </w:rPr>
        <w:t xml:space="preserve">with the waiver discussed </w:t>
      </w:r>
      <w:r w:rsidR="00C97D26">
        <w:rPr>
          <w:rFonts w:ascii="Times New Roman" w:hAnsi="Times New Roman"/>
        </w:rPr>
        <w:t>below</w:t>
      </w:r>
      <w:r w:rsidR="002703B1">
        <w:rPr>
          <w:rFonts w:ascii="Times New Roman" w:hAnsi="Times New Roman"/>
        </w:rPr>
        <w:t xml:space="preserve">, grant of </w:t>
      </w:r>
      <w:r w:rsidRPr="0060283E">
        <w:rPr>
          <w:rFonts w:ascii="Times New Roman" w:hAnsi="Times New Roman"/>
        </w:rPr>
        <w:t>the proposed assignment would be in the public interest.  Specifically, it is the Commission’s longstanding practice to “support the bankruptcy laws, and where possible to accommodate them in a manner that is consistent with the Act.”</w:t>
      </w:r>
      <w:r>
        <w:rPr>
          <w:rStyle w:val="FootnoteReference"/>
          <w:sz w:val="22"/>
        </w:rPr>
        <w:footnoteReference w:id="18"/>
      </w:r>
      <w:r w:rsidRPr="0060283E">
        <w:rPr>
          <w:rFonts w:ascii="Times New Roman" w:hAnsi="Times New Roman"/>
        </w:rPr>
        <w:t xml:space="preserve">  The Bankruptcy Court found that the </w:t>
      </w:r>
      <w:r w:rsidRPr="0060283E" w:rsidR="0060283E">
        <w:rPr>
          <w:rFonts w:ascii="Times New Roman" w:hAnsi="Times New Roman"/>
        </w:rPr>
        <w:t xml:space="preserve">Plan </w:t>
      </w:r>
      <w:r w:rsidR="00B414C6">
        <w:rPr>
          <w:rFonts w:ascii="Times New Roman" w:hAnsi="Times New Roman"/>
        </w:rPr>
        <w:t xml:space="preserve">is </w:t>
      </w:r>
      <w:r w:rsidR="0060283E">
        <w:rPr>
          <w:rFonts w:ascii="Times New Roman" w:hAnsi="Times New Roman"/>
        </w:rPr>
        <w:t>“</w:t>
      </w:r>
      <w:r w:rsidRPr="0060283E" w:rsidR="0060283E">
        <w:rPr>
          <w:rFonts w:ascii="Times New Roman" w:hAnsi="Times New Roman"/>
        </w:rPr>
        <w:t xml:space="preserve">in the best interests of </w:t>
      </w:r>
      <w:r w:rsidR="0060283E">
        <w:rPr>
          <w:rFonts w:ascii="Times New Roman" w:hAnsi="Times New Roman"/>
        </w:rPr>
        <w:t>[interested parties]</w:t>
      </w:r>
      <w:r w:rsidRPr="0060283E" w:rsidR="0060283E">
        <w:rPr>
          <w:rFonts w:ascii="Times New Roman" w:hAnsi="Times New Roman"/>
        </w:rPr>
        <w:t xml:space="preserve">,” </w:t>
      </w:r>
      <w:r w:rsidRPr="0060283E">
        <w:rPr>
          <w:rFonts w:ascii="Times New Roman" w:hAnsi="Times New Roman"/>
        </w:rPr>
        <w:t>and that the</w:t>
      </w:r>
      <w:r w:rsidRPr="0060283E" w:rsidR="0060283E">
        <w:rPr>
          <w:rFonts w:ascii="Times New Roman" w:hAnsi="Times New Roman"/>
        </w:rPr>
        <w:t xml:space="preserve"> Plan</w:t>
      </w:r>
      <w:r w:rsidRPr="0060283E">
        <w:rPr>
          <w:rFonts w:ascii="Times New Roman" w:hAnsi="Times New Roman"/>
        </w:rPr>
        <w:t xml:space="preserve"> </w:t>
      </w:r>
      <w:r w:rsidRPr="0060283E" w:rsidR="0060283E">
        <w:rPr>
          <w:rFonts w:ascii="Times New Roman" w:hAnsi="Times New Roman"/>
        </w:rPr>
        <w:t>“is the result of good faith, arms-length negotiations” and “was proposed by [ACV] in good faith and not by any means forbidden by law</w:t>
      </w:r>
      <w:r w:rsidRPr="0060283E">
        <w:rPr>
          <w:rFonts w:ascii="Times New Roman" w:hAnsi="Times New Roman"/>
        </w:rPr>
        <w:t>.”</w:t>
      </w:r>
      <w:r>
        <w:rPr>
          <w:rStyle w:val="FootnoteReference"/>
          <w:sz w:val="22"/>
        </w:rPr>
        <w:footnoteReference w:id="19"/>
      </w:r>
      <w:r w:rsidRPr="0060283E">
        <w:rPr>
          <w:rFonts w:ascii="Times New Roman" w:hAnsi="Times New Roman"/>
        </w:rPr>
        <w:t xml:space="preserve">  The public interest is further served because prompt emergence from bankruptcy is critical to the continued operation of the Stations, and facilitating prompt emergence “advances the public interest by providing economic and social benefits, especially including the compensation of innocent creditors.”</w:t>
      </w:r>
      <w:r>
        <w:rPr>
          <w:rStyle w:val="FootnoteReference"/>
          <w:sz w:val="22"/>
        </w:rPr>
        <w:footnoteReference w:id="20"/>
      </w:r>
      <w:r w:rsidRPr="0060283E">
        <w:rPr>
          <w:rFonts w:ascii="Times New Roman" w:hAnsi="Times New Roman"/>
        </w:rPr>
        <w:t xml:space="preserve"> For these reasons, we find that the assignment of </w:t>
      </w:r>
      <w:r w:rsidRPr="0060283E" w:rsidR="00B214DF">
        <w:rPr>
          <w:rFonts w:ascii="Times New Roman" w:hAnsi="Times New Roman"/>
        </w:rPr>
        <w:t xml:space="preserve">the broadcast licenses held by </w:t>
      </w:r>
      <w:r w:rsidRPr="0060283E" w:rsidR="00B214DF">
        <w:rPr>
          <w:rFonts w:ascii="Times New Roman" w:hAnsi="Times New Roman"/>
          <w:spacing w:val="-2"/>
        </w:rPr>
        <w:t>America-CV Station Group, Inc.</w:t>
      </w:r>
      <w:r w:rsidRPr="0060283E" w:rsidR="00B214DF">
        <w:rPr>
          <w:rFonts w:ascii="Times New Roman" w:hAnsi="Times New Roman"/>
        </w:rPr>
        <w:t>, Debtor-in-</w:t>
      </w:r>
      <w:r w:rsidRPr="0060283E" w:rsidR="00B214DF">
        <w:rPr>
          <w:rFonts w:ascii="Times New Roman" w:hAnsi="Times New Roman"/>
        </w:rPr>
        <w:t xml:space="preserve">Possession, from the licensee, as debtor in possession, to the same licensee, as non-debtor in possession, </w:t>
      </w:r>
      <w:r w:rsidRPr="0060283E">
        <w:rPr>
          <w:rFonts w:ascii="Times New Roman" w:hAnsi="Times New Roman"/>
        </w:rPr>
        <w:t xml:space="preserve">is in the public interest, and we therefore </w:t>
      </w:r>
      <w:r w:rsidR="00441103">
        <w:rPr>
          <w:rFonts w:ascii="Times New Roman" w:hAnsi="Times New Roman"/>
        </w:rPr>
        <w:t xml:space="preserve">conditionally </w:t>
      </w:r>
      <w:r w:rsidRPr="0060283E">
        <w:rPr>
          <w:rFonts w:ascii="Times New Roman" w:hAnsi="Times New Roman"/>
        </w:rPr>
        <w:t>grant the Applications</w:t>
      </w:r>
      <w:r w:rsidR="00D13E80">
        <w:rPr>
          <w:rFonts w:ascii="Times New Roman" w:hAnsi="Times New Roman"/>
        </w:rPr>
        <w:t>.</w:t>
      </w:r>
    </w:p>
    <w:p w:rsidR="006841ED" w:rsidRPr="00D4480B" w:rsidP="006841ED" w14:paraId="060BFEDB" w14:textId="77777777">
      <w:pPr>
        <w:pStyle w:val="ParaNum"/>
        <w:rPr>
          <w:rFonts w:ascii="Times New Roman" w:hAnsi="Times New Roman"/>
        </w:rPr>
      </w:pPr>
      <w:r w:rsidRPr="006841ED">
        <w:rPr>
          <w:rFonts w:ascii="Times New Roman" w:hAnsi="Times New Roman"/>
          <w:i/>
        </w:rPr>
        <w:t>Waiver</w:t>
      </w:r>
      <w:r w:rsidRPr="006841ED">
        <w:rPr>
          <w:rFonts w:ascii="Times New Roman" w:hAnsi="Times New Roman"/>
        </w:rPr>
        <w:t xml:space="preserve">.  For the reasons discussed below, we grant the </w:t>
      </w:r>
      <w:r w:rsidR="00D13E80">
        <w:rPr>
          <w:rFonts w:ascii="Times New Roman" w:hAnsi="Times New Roman"/>
        </w:rPr>
        <w:t xml:space="preserve">unopposed </w:t>
      </w:r>
      <w:r w:rsidRPr="006841ED">
        <w:rPr>
          <w:rFonts w:ascii="Times New Roman" w:hAnsi="Times New Roman"/>
        </w:rPr>
        <w:t>waiver requested by ACV.  The Commission’s rules may be waived for good cause shown.</w:t>
      </w:r>
      <w:r>
        <w:rPr>
          <w:rFonts w:ascii="Times New Roman" w:hAnsi="Times New Roman"/>
          <w:vertAlign w:val="superscript"/>
        </w:rPr>
        <w:footnoteReference w:id="21"/>
      </w:r>
      <w:r w:rsidRPr="006841ED">
        <w:rPr>
          <w:rFonts w:ascii="Times New Roman" w:hAnsi="Times New Roman"/>
        </w:rPr>
        <w:t xml:space="preserve">  Waiver of the Commission’s rules is appropriate only if special circumstances warrant a deviation from the rule and such deviation will serve the public interest.</w:t>
      </w:r>
      <w:r>
        <w:rPr>
          <w:rFonts w:ascii="Times New Roman" w:hAnsi="Times New Roman"/>
          <w:vertAlign w:val="superscript"/>
        </w:rPr>
        <w:footnoteReference w:id="22"/>
      </w:r>
      <w:r w:rsidRPr="006841ED">
        <w:rPr>
          <w:rFonts w:ascii="Times New Roman" w:hAnsi="Times New Roman"/>
        </w:rPr>
        <w:t xml:space="preserve">  The Commission may exercise its discretion to waive a rule where the particular facts make strict compliance inconsistent with the public interest.</w:t>
      </w:r>
      <w:r>
        <w:rPr>
          <w:rFonts w:ascii="Times New Roman" w:hAnsi="Times New Roman"/>
          <w:vertAlign w:val="superscript"/>
        </w:rPr>
        <w:footnoteReference w:id="23"/>
      </w:r>
      <w:r w:rsidRPr="006841ED">
        <w:rPr>
          <w:rFonts w:ascii="Times New Roman" w:hAnsi="Times New Roman"/>
        </w:rPr>
        <w:t xml:space="preserve">  It may also take into account considerations of hardship, equity, or effective implementation of overall policy on an individual basis.</w:t>
      </w:r>
      <w:r>
        <w:rPr>
          <w:rFonts w:ascii="Times New Roman" w:hAnsi="Times New Roman"/>
          <w:vertAlign w:val="superscript"/>
        </w:rPr>
        <w:footnoteReference w:id="24"/>
      </w:r>
    </w:p>
    <w:p w:rsidR="006841ED" w:rsidRPr="007E04D1" w:rsidP="007E04D1" w14:paraId="153CCBDD" w14:textId="77777777">
      <w:pPr>
        <w:pStyle w:val="ParaNum"/>
        <w:spacing w:line="240" w:lineRule="auto"/>
        <w:rPr>
          <w:rFonts w:ascii="Times New Roman" w:hAnsi="Times New Roman"/>
        </w:rPr>
      </w:pPr>
      <w:r w:rsidRPr="007E5472">
        <w:rPr>
          <w:rFonts w:ascii="Times New Roman" w:hAnsi="Times New Roman"/>
        </w:rPr>
        <w:t xml:space="preserve">As noted above, ACV has requested a temporary and limited waiver of section 1.5000(a)(1) of the Commission’s rules, which </w:t>
      </w:r>
      <w:r>
        <w:rPr>
          <w:rFonts w:ascii="Times New Roman" w:hAnsi="Times New Roman"/>
        </w:rPr>
        <w:t>requires</w:t>
      </w:r>
      <w:r w:rsidRPr="007E5472">
        <w:rPr>
          <w:rFonts w:ascii="Times New Roman" w:hAnsi="Times New Roman"/>
        </w:rPr>
        <w:t xml:space="preserve"> an applicant for a broadcast station license </w:t>
      </w:r>
      <w:r>
        <w:rPr>
          <w:rFonts w:ascii="Times New Roman" w:hAnsi="Times New Roman"/>
        </w:rPr>
        <w:t>to</w:t>
      </w:r>
      <w:r w:rsidRPr="007E5472">
        <w:rPr>
          <w:rFonts w:ascii="Times New Roman" w:hAnsi="Times New Roman"/>
        </w:rPr>
        <w:t xml:space="preserve"> file a petition for declaratory ruling to exceed the aggregate foreign ownership benchmark set forth in section 310(b)(4) of the Act “at the same time that it files its application”</w:t>
      </w:r>
      <w:r>
        <w:rPr>
          <w:rFonts w:ascii="Times New Roman" w:hAnsi="Times New Roman"/>
        </w:rPr>
        <w:t xml:space="preserve"> for transfer of control.</w:t>
      </w:r>
      <w:r>
        <w:rPr>
          <w:rFonts w:ascii="Times New Roman" w:hAnsi="Times New Roman"/>
          <w:vertAlign w:val="superscript"/>
        </w:rPr>
        <w:footnoteReference w:id="25"/>
      </w:r>
      <w:r w:rsidRPr="007E5472">
        <w:rPr>
          <w:rFonts w:ascii="Times New Roman" w:hAnsi="Times New Roman"/>
        </w:rPr>
        <w:t xml:space="preserve">  We find that the request is well supported.  </w:t>
      </w:r>
      <w:r>
        <w:rPr>
          <w:rFonts w:ascii="Times New Roman" w:hAnsi="Times New Roman"/>
        </w:rPr>
        <w:t>It</w:t>
      </w:r>
      <w:r w:rsidRPr="007E5472">
        <w:rPr>
          <w:rFonts w:ascii="Times New Roman" w:hAnsi="Times New Roman"/>
        </w:rPr>
        <w:t xml:space="preserve"> is the Commission’s longstanding practice to accommodate federal bankruptcy law when doing so will not unduly interfere with its public interest obligations under the Act.</w:t>
      </w:r>
      <w:r>
        <w:rPr>
          <w:rStyle w:val="FootnoteReference"/>
          <w:sz w:val="22"/>
        </w:rPr>
        <w:footnoteReference w:id="26"/>
      </w:r>
      <w:r w:rsidRPr="007E5472">
        <w:rPr>
          <w:rFonts w:ascii="Times New Roman" w:hAnsi="Times New Roman"/>
        </w:rPr>
        <w:t xml:space="preserve">  Likewise, it is the Commission’s policy to “support the bankruptcy laws, and where possible to accommodate them in a manner that is consistent with the Act.”</w:t>
      </w:r>
      <w:r>
        <w:rPr>
          <w:rStyle w:val="FootnoteReference"/>
          <w:sz w:val="22"/>
        </w:rPr>
        <w:footnoteReference w:id="27"/>
      </w:r>
      <w:r w:rsidRPr="007E5472">
        <w:rPr>
          <w:rFonts w:ascii="Times New Roman" w:hAnsi="Times New Roman"/>
        </w:rPr>
        <w:t xml:space="preserve">  </w:t>
      </w:r>
      <w:r>
        <w:rPr>
          <w:rFonts w:ascii="Times New Roman" w:hAnsi="Times New Roman"/>
        </w:rPr>
        <w:t>Given the aforementioned findings of the Bankruptcy Court, p</w:t>
      </w:r>
      <w:r w:rsidRPr="007E5472">
        <w:rPr>
          <w:rFonts w:ascii="Times New Roman" w:hAnsi="Times New Roman"/>
        </w:rPr>
        <w:t xml:space="preserve">rompt emergence from bankruptcy is critical to the continued operation of the </w:t>
      </w:r>
      <w:r>
        <w:rPr>
          <w:rFonts w:ascii="Times New Roman" w:hAnsi="Times New Roman"/>
        </w:rPr>
        <w:t>Stations</w:t>
      </w:r>
      <w:r w:rsidRPr="007E5472">
        <w:rPr>
          <w:rFonts w:ascii="Times New Roman" w:hAnsi="Times New Roman"/>
        </w:rPr>
        <w:t>, and facilitating prompt emergence “advances the public interest by providing economic and social benefits, especially including the compensation of innocent creditors.”</w:t>
      </w:r>
      <w:r>
        <w:rPr>
          <w:rStyle w:val="FootnoteReference"/>
          <w:sz w:val="22"/>
        </w:rPr>
        <w:footnoteReference w:id="28"/>
      </w:r>
      <w:r w:rsidRPr="007E5472">
        <w:rPr>
          <w:rFonts w:ascii="Times New Roman" w:hAnsi="Times New Roman"/>
        </w:rPr>
        <w:t xml:space="preserve">  Moreover, grant of the waiver effectively provides interim section 310(b)(4) authority only, in order to enable the prompt emergence of ACV from bankruptcy, while preserving the Commission’s ability to review and rule on ACV’s foreign ownership following such emergence.</w:t>
      </w:r>
      <w:r>
        <w:rPr>
          <w:rStyle w:val="FootnoteReference"/>
          <w:sz w:val="22"/>
        </w:rPr>
        <w:footnoteReference w:id="29"/>
      </w:r>
      <w:r w:rsidRPr="007E5472">
        <w:rPr>
          <w:rFonts w:ascii="Times New Roman" w:hAnsi="Times New Roman"/>
        </w:rPr>
        <w:t xml:space="preserve">  In this case, deferring emergence from bankruptcy pending that review would likely require substantial delay that would otherwise frustrate the Commission’s foregoing policy </w:t>
      </w:r>
      <w:r w:rsidRPr="007E5472">
        <w:rPr>
          <w:rFonts w:ascii="Times New Roman" w:hAnsi="Times New Roman"/>
        </w:rPr>
        <w:t>of accommodating the policies of the federal bankruptcy laws.</w:t>
      </w:r>
      <w:r>
        <w:rPr>
          <w:rStyle w:val="FootnoteReference"/>
        </w:rPr>
        <w:footnoteReference w:id="30"/>
      </w:r>
      <w:r w:rsidRPr="007E5472">
        <w:rPr>
          <w:rFonts w:ascii="Times New Roman" w:hAnsi="Times New Roman"/>
        </w:rPr>
        <w:t xml:space="preserve"> </w:t>
      </w:r>
      <w:r>
        <w:rPr>
          <w:rFonts w:ascii="Times New Roman" w:hAnsi="Times New Roman"/>
        </w:rPr>
        <w:t xml:space="preserve"> </w:t>
      </w:r>
      <w:r w:rsidRPr="007E5472">
        <w:rPr>
          <w:rFonts w:ascii="Times New Roman" w:hAnsi="Times New Roman"/>
        </w:rPr>
        <w:t>Accordingly, in consideration of the specific circumstances before us, we grant the waiver request.</w:t>
      </w:r>
    </w:p>
    <w:p w:rsidR="00B216E6" w:rsidRPr="007E5472" w:rsidP="007E5472" w14:paraId="58658885" w14:textId="77777777">
      <w:pPr>
        <w:pStyle w:val="Heading1"/>
        <w:spacing w:line="240" w:lineRule="auto"/>
        <w:rPr>
          <w:rFonts w:ascii="Times New Roman" w:hAnsi="Times New Roman"/>
        </w:rPr>
      </w:pPr>
      <w:r w:rsidRPr="007E5472">
        <w:rPr>
          <w:rFonts w:ascii="Times New Roman" w:hAnsi="Times New Roman"/>
        </w:rPr>
        <w:t>conclusion</w:t>
      </w:r>
    </w:p>
    <w:p w:rsidR="006B3B5C" w:rsidRPr="007E5472" w:rsidP="007E5472" w14:paraId="4A3328BD" w14:textId="77777777">
      <w:pPr>
        <w:pStyle w:val="ParaNum"/>
        <w:spacing w:line="240" w:lineRule="auto"/>
        <w:rPr>
          <w:rFonts w:ascii="Times New Roman" w:hAnsi="Times New Roman"/>
        </w:rPr>
      </w:pPr>
      <w:r>
        <w:rPr>
          <w:rFonts w:ascii="Times New Roman" w:hAnsi="Times New Roman"/>
        </w:rPr>
        <w:t>For the reasons set forth above</w:t>
      </w:r>
      <w:r w:rsidRPr="007E5472">
        <w:rPr>
          <w:rFonts w:ascii="Times New Roman" w:hAnsi="Times New Roman"/>
        </w:rPr>
        <w:t>, we find that the applicants are fully qualified and conclude that the grant of the Applications, conditioned upon the filing of a petition for declaratory ruling within 30 days of closing on the transaction described therein, would serve the public interest.</w:t>
      </w:r>
    </w:p>
    <w:p w:rsidR="00B311C3" w:rsidRPr="007E5472" w:rsidP="007E5472" w14:paraId="27AEAD02" w14:textId="77777777">
      <w:pPr>
        <w:pStyle w:val="Heading1"/>
        <w:spacing w:line="240" w:lineRule="auto"/>
        <w:rPr>
          <w:rFonts w:ascii="Times New Roman" w:hAnsi="Times New Roman"/>
        </w:rPr>
      </w:pPr>
      <w:r w:rsidRPr="007E5472">
        <w:rPr>
          <w:rFonts w:ascii="Times New Roman" w:hAnsi="Times New Roman"/>
        </w:rPr>
        <w:t>ordering clauses</w:t>
      </w:r>
    </w:p>
    <w:p w:rsidR="00C2289F" w:rsidP="007E5472" w14:paraId="732FF11A" w14:textId="77777777">
      <w:pPr>
        <w:pStyle w:val="ParaNum"/>
        <w:spacing w:line="240" w:lineRule="auto"/>
        <w:rPr>
          <w:rFonts w:ascii="Times New Roman" w:hAnsi="Times New Roman"/>
        </w:rPr>
      </w:pPr>
      <w:r w:rsidRPr="007E5472">
        <w:rPr>
          <w:rFonts w:ascii="Times New Roman" w:hAnsi="Times New Roman"/>
          <w:bCs/>
        </w:rPr>
        <w:t xml:space="preserve">Accordingly, </w:t>
      </w:r>
      <w:r w:rsidRPr="007E5472" w:rsidR="00850876">
        <w:rPr>
          <w:rFonts w:ascii="Times New Roman" w:hAnsi="Times New Roman"/>
          <w:b/>
        </w:rPr>
        <w:t>IT IS ORDERED</w:t>
      </w:r>
      <w:r w:rsidRPr="007E5472" w:rsidR="00AC403A">
        <w:rPr>
          <w:rFonts w:ascii="Times New Roman" w:hAnsi="Times New Roman"/>
        </w:rPr>
        <w:t xml:space="preserve"> t</w:t>
      </w:r>
      <w:r w:rsidRPr="007E5472" w:rsidR="00850876">
        <w:rPr>
          <w:rFonts w:ascii="Times New Roman" w:hAnsi="Times New Roman"/>
        </w:rPr>
        <w:t>hat</w:t>
      </w:r>
      <w:r w:rsidRPr="007E5472" w:rsidR="008770FC">
        <w:rPr>
          <w:rFonts w:ascii="Times New Roman" w:hAnsi="Times New Roman"/>
        </w:rPr>
        <w:t xml:space="preserve"> the request for </w:t>
      </w:r>
      <w:r w:rsidRPr="007E5472" w:rsidR="008A0B81">
        <w:rPr>
          <w:rFonts w:ascii="Times New Roman" w:hAnsi="Times New Roman"/>
        </w:rPr>
        <w:t xml:space="preserve">a </w:t>
      </w:r>
      <w:r w:rsidRPr="007E5472" w:rsidR="008770FC">
        <w:rPr>
          <w:rFonts w:ascii="Times New Roman" w:hAnsi="Times New Roman"/>
        </w:rPr>
        <w:t xml:space="preserve">temporary waiver of section 1.5000(a)(1) of the Commission’s rules, </w:t>
      </w:r>
      <w:r w:rsidRPr="007E5472" w:rsidR="00AC403A">
        <w:rPr>
          <w:rFonts w:ascii="Times New Roman" w:hAnsi="Times New Roman"/>
        </w:rPr>
        <w:t>47 CFR § 1.5000(a)(1)</w:t>
      </w:r>
      <w:r w:rsidRPr="007E5472" w:rsidR="004D10D5">
        <w:rPr>
          <w:rFonts w:ascii="Times New Roman" w:hAnsi="Times New Roman"/>
        </w:rPr>
        <w:t>,</w:t>
      </w:r>
      <w:r w:rsidRPr="007E5472" w:rsidR="00AC403A">
        <w:rPr>
          <w:rFonts w:ascii="Times New Roman" w:hAnsi="Times New Roman"/>
        </w:rPr>
        <w:t xml:space="preserve"> </w:t>
      </w:r>
      <w:r w:rsidRPr="007E5472" w:rsidR="008770FC">
        <w:rPr>
          <w:rFonts w:ascii="Times New Roman" w:hAnsi="Times New Roman"/>
          <w:b/>
        </w:rPr>
        <w:t>IS GRANTED</w:t>
      </w:r>
    </w:p>
    <w:p w:rsidR="00AC403A" w:rsidRPr="00C41F68" w:rsidP="00C2289F" w14:paraId="11416850" w14:textId="77777777">
      <w:pPr>
        <w:pStyle w:val="ParaNum"/>
        <w:spacing w:line="240" w:lineRule="auto"/>
        <w:rPr>
          <w:rFonts w:ascii="Times New Roman" w:hAnsi="Times New Roman"/>
          <w:spacing w:val="-2"/>
        </w:rPr>
      </w:pPr>
      <w:r w:rsidRPr="00C41F68">
        <w:rPr>
          <w:rFonts w:ascii="Times New Roman" w:hAnsi="Times New Roman"/>
          <w:b/>
        </w:rPr>
        <w:t>IT IS FURTHER ORDERED</w:t>
      </w:r>
      <w:r w:rsidRPr="00C41F68">
        <w:rPr>
          <w:rFonts w:ascii="Times New Roman" w:hAnsi="Times New Roman"/>
        </w:rPr>
        <w:t xml:space="preserve"> t</w:t>
      </w:r>
      <w:r w:rsidRPr="00C41F68">
        <w:rPr>
          <w:rFonts w:ascii="Times New Roman" w:hAnsi="Times New Roman"/>
        </w:rPr>
        <w:t>hat</w:t>
      </w:r>
      <w:r w:rsidRPr="00C41F68" w:rsidR="008770FC">
        <w:rPr>
          <w:rFonts w:ascii="Times New Roman" w:hAnsi="Times New Roman"/>
        </w:rPr>
        <w:t xml:space="preserve"> the above-captioned applications</w:t>
      </w:r>
      <w:r w:rsidRPr="00C41F68" w:rsidR="007314C1">
        <w:rPr>
          <w:rFonts w:ascii="Times New Roman" w:hAnsi="Times New Roman"/>
        </w:rPr>
        <w:t xml:space="preserve">, </w:t>
      </w:r>
      <w:r w:rsidRPr="00C41F68" w:rsidR="007314C1">
        <w:rPr>
          <w:rFonts w:ascii="Times New Roman" w:hAnsi="Times New Roman"/>
          <w:spacing w:val="-2"/>
        </w:rPr>
        <w:t>File Nos</w:t>
      </w:r>
      <w:r w:rsidR="00C2289F">
        <w:rPr>
          <w:rFonts w:ascii="Times New Roman" w:hAnsi="Times New Roman"/>
          <w:spacing w:val="-2"/>
        </w:rPr>
        <w:t>.</w:t>
      </w:r>
      <w:r w:rsidRPr="00C41F68" w:rsidR="007314C1">
        <w:rPr>
          <w:rFonts w:ascii="Times New Roman" w:hAnsi="Times New Roman"/>
          <w:spacing w:val="-2"/>
        </w:rPr>
        <w:t xml:space="preserve"> BTCCDT-20200821AAH, AAJ, AAK, AAL; B</w:t>
      </w:r>
      <w:r w:rsidR="00F446A1">
        <w:rPr>
          <w:rFonts w:ascii="Times New Roman" w:hAnsi="Times New Roman"/>
          <w:spacing w:val="-2"/>
        </w:rPr>
        <w:t>TC</w:t>
      </w:r>
      <w:r w:rsidRPr="00C41F68" w:rsidR="007314C1">
        <w:rPr>
          <w:rFonts w:ascii="Times New Roman" w:hAnsi="Times New Roman"/>
          <w:spacing w:val="-2"/>
        </w:rPr>
        <w:t>-20200821AAI</w:t>
      </w:r>
      <w:r w:rsidRPr="00C41F68" w:rsidR="00C2289F">
        <w:rPr>
          <w:rFonts w:ascii="Times New Roman" w:hAnsi="Times New Roman"/>
          <w:spacing w:val="-2"/>
        </w:rPr>
        <w:t>,</w:t>
      </w:r>
      <w:r w:rsidR="00C2289F">
        <w:rPr>
          <w:rFonts w:ascii="Times New Roman" w:hAnsi="Times New Roman"/>
          <w:spacing w:val="-2"/>
        </w:rPr>
        <w:t xml:space="preserve"> </w:t>
      </w:r>
      <w:r w:rsidRPr="00C41F68" w:rsidR="008770FC">
        <w:rPr>
          <w:rFonts w:ascii="Times New Roman" w:hAnsi="Times New Roman"/>
          <w:b/>
        </w:rPr>
        <w:t>ARE GRANTED</w:t>
      </w:r>
      <w:r w:rsidRPr="00C41F68" w:rsidR="008770FC">
        <w:rPr>
          <w:rFonts w:ascii="Times New Roman" w:hAnsi="Times New Roman"/>
        </w:rPr>
        <w:t>, conditioned upon the filing</w:t>
      </w:r>
      <w:r w:rsidRPr="00C41F68" w:rsidR="00632639">
        <w:rPr>
          <w:rFonts w:ascii="Times New Roman" w:hAnsi="Times New Roman"/>
        </w:rPr>
        <w:t>, no later than 30 days</w:t>
      </w:r>
      <w:r w:rsidRPr="00C41F68" w:rsidR="008770FC">
        <w:rPr>
          <w:rFonts w:ascii="Times New Roman" w:hAnsi="Times New Roman"/>
        </w:rPr>
        <w:t xml:space="preserve"> </w:t>
      </w:r>
      <w:r w:rsidRPr="00C41F68" w:rsidR="00632639">
        <w:rPr>
          <w:rFonts w:ascii="Times New Roman" w:hAnsi="Times New Roman"/>
        </w:rPr>
        <w:t>after closing</w:t>
      </w:r>
      <w:r w:rsidR="00D13E80">
        <w:rPr>
          <w:rFonts w:ascii="Times New Roman" w:hAnsi="Times New Roman"/>
        </w:rPr>
        <w:t xml:space="preserve"> of the transaction</w:t>
      </w:r>
      <w:r w:rsidRPr="00C41F68" w:rsidR="00632639">
        <w:rPr>
          <w:rFonts w:ascii="Times New Roman" w:hAnsi="Times New Roman"/>
        </w:rPr>
        <w:t xml:space="preserve">, </w:t>
      </w:r>
      <w:r w:rsidRPr="00C41F68" w:rsidR="008770FC">
        <w:rPr>
          <w:rFonts w:ascii="Times New Roman" w:hAnsi="Times New Roman"/>
        </w:rPr>
        <w:t xml:space="preserve">of </w:t>
      </w:r>
      <w:r w:rsidRPr="00C41F68" w:rsidR="00632639">
        <w:rPr>
          <w:rFonts w:ascii="Times New Roman" w:hAnsi="Times New Roman"/>
        </w:rPr>
        <w:t xml:space="preserve">a </w:t>
      </w:r>
      <w:r w:rsidRPr="00C41F68" w:rsidR="008770FC">
        <w:rPr>
          <w:rFonts w:ascii="Times New Roman" w:hAnsi="Times New Roman"/>
        </w:rPr>
        <w:t>petition for declaratory ruling to exceed the aggregate foreign ownership benchmark set forth in section 310(b)(4) of the Communications Act of 1934, as amended</w:t>
      </w:r>
      <w:r w:rsidRPr="00C41F68" w:rsidR="00632639">
        <w:rPr>
          <w:rFonts w:ascii="Times New Roman" w:hAnsi="Times New Roman"/>
        </w:rPr>
        <w:t>.</w:t>
      </w:r>
    </w:p>
    <w:p w:rsidR="00850876" w:rsidRPr="007E5472" w:rsidP="007E5472" w14:paraId="154B6DE7" w14:textId="77777777">
      <w:pPr>
        <w:pStyle w:val="ParaNum"/>
        <w:keepNext/>
        <w:keepLines/>
        <w:spacing w:line="240" w:lineRule="auto"/>
        <w:rPr>
          <w:rFonts w:ascii="Times New Roman" w:hAnsi="Times New Roman"/>
        </w:rPr>
      </w:pPr>
      <w:r w:rsidRPr="007E5472">
        <w:rPr>
          <w:rFonts w:ascii="Times New Roman" w:hAnsi="Times New Roman"/>
        </w:rPr>
        <w:t xml:space="preserve">These actions are taken pursuant to </w:t>
      </w:r>
      <w:r w:rsidRPr="007E5472" w:rsidR="00E556F8">
        <w:rPr>
          <w:rFonts w:ascii="Times New Roman" w:hAnsi="Times New Roman"/>
        </w:rPr>
        <w:t>s</w:t>
      </w:r>
      <w:r w:rsidRPr="007E5472">
        <w:rPr>
          <w:rFonts w:ascii="Times New Roman" w:hAnsi="Times New Roman"/>
        </w:rPr>
        <w:t>ection 0.61 and 0.283 of the Commission</w:t>
      </w:r>
      <w:r w:rsidRPr="007E5472" w:rsidR="00E556F8">
        <w:rPr>
          <w:rFonts w:ascii="Times New Roman" w:hAnsi="Times New Roman"/>
        </w:rPr>
        <w:t>’</w:t>
      </w:r>
      <w:r w:rsidRPr="007E5472">
        <w:rPr>
          <w:rFonts w:ascii="Times New Roman" w:hAnsi="Times New Roman"/>
        </w:rPr>
        <w:t xml:space="preserve">s rules, 47 CFR §§ 0.61, 0.283, and </w:t>
      </w:r>
      <w:r w:rsidRPr="007E5472" w:rsidR="00E556F8">
        <w:rPr>
          <w:rFonts w:ascii="Times New Roman" w:hAnsi="Times New Roman"/>
        </w:rPr>
        <w:t>s</w:t>
      </w:r>
      <w:r w:rsidRPr="007E5472">
        <w:rPr>
          <w:rFonts w:ascii="Times New Roman" w:hAnsi="Times New Roman"/>
        </w:rPr>
        <w:t xml:space="preserve">ections 4(i) and (j), and 310(d) of the Communications Act of 1934, as amended, 47 U.S.C. § 154(i), 154(j), 310(d). </w:t>
      </w:r>
      <w:r w:rsidRPr="007E5472" w:rsidR="008770FC">
        <w:rPr>
          <w:rFonts w:ascii="Times New Roman" w:hAnsi="Times New Roman"/>
        </w:rPr>
        <w:t xml:space="preserve"> </w:t>
      </w:r>
    </w:p>
    <w:p w:rsidR="00C20D68" w:rsidRPr="007E5472" w:rsidP="007E5472" w14:paraId="09C3EA2C" w14:textId="77777777">
      <w:pPr>
        <w:keepNext/>
        <w:keepLines/>
        <w:spacing w:line="240" w:lineRule="auto"/>
        <w:rPr>
          <w:rFonts w:ascii="Times New Roman" w:hAnsi="Times New Roman"/>
        </w:rPr>
      </w:pP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p>
    <w:p w:rsidR="00B216E6" w:rsidRPr="007E5472" w:rsidP="007E5472" w14:paraId="3BFB56C0" w14:textId="77777777">
      <w:pPr>
        <w:keepNext/>
        <w:keepLines/>
        <w:spacing w:line="240" w:lineRule="auto"/>
        <w:rPr>
          <w:rFonts w:ascii="Times New Roman" w:hAnsi="Times New Roman"/>
        </w:rPr>
      </w:pP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t>FEDERAL COMMUNICATIONS COMMISSION</w:t>
      </w:r>
    </w:p>
    <w:p w:rsidR="00B216E6" w:rsidRPr="007E5472" w:rsidP="007E5472" w14:paraId="343BE981" w14:textId="77777777">
      <w:pPr>
        <w:keepNext/>
        <w:keepLines/>
        <w:spacing w:line="240" w:lineRule="auto"/>
        <w:rPr>
          <w:rFonts w:ascii="Times New Roman" w:hAnsi="Times New Roman"/>
        </w:rPr>
      </w:pPr>
    </w:p>
    <w:p w:rsidR="00B216E6" w:rsidRPr="007E5472" w:rsidP="007E5472" w14:paraId="7979C6F6" w14:textId="77777777">
      <w:pPr>
        <w:keepNext/>
        <w:keepLines/>
        <w:spacing w:line="240" w:lineRule="auto"/>
        <w:rPr>
          <w:rFonts w:ascii="Times New Roman" w:hAnsi="Times New Roman"/>
        </w:rPr>
      </w:pPr>
    </w:p>
    <w:p w:rsidR="00B216E6" w:rsidRPr="007E5472" w:rsidP="000D2BCA" w14:paraId="4FD2C80C" w14:textId="77777777">
      <w:pPr>
        <w:keepNext/>
        <w:keepLines/>
        <w:spacing w:after="0" w:line="240" w:lineRule="auto"/>
        <w:rPr>
          <w:rFonts w:ascii="Times New Roman" w:hAnsi="Times New Roman"/>
        </w:rPr>
      </w:pP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t>Barbara A. Kreisman</w:t>
      </w:r>
    </w:p>
    <w:p w:rsidR="00B216E6" w:rsidRPr="007E5472" w:rsidP="000D2BCA" w14:paraId="645157CA" w14:textId="77777777">
      <w:pPr>
        <w:keepNext/>
        <w:keepLines/>
        <w:spacing w:after="0" w:line="240" w:lineRule="auto"/>
        <w:rPr>
          <w:rFonts w:ascii="Times New Roman" w:hAnsi="Times New Roman"/>
        </w:rPr>
      </w:pP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r>
      <w:r w:rsidRPr="007E5472">
        <w:rPr>
          <w:rFonts w:ascii="Times New Roman" w:hAnsi="Times New Roman"/>
        </w:rPr>
        <w:tab/>
        <w:t>Chief, Video Division</w:t>
      </w:r>
    </w:p>
    <w:p w:rsidR="00B216E6" w:rsidRPr="00804FC2" w:rsidP="008D118F" w14:paraId="1FA1BBA6" w14:textId="77777777">
      <w:pPr>
        <w:keepNext/>
        <w:keepLines/>
        <w:spacing w:line="480" w:lineRule="auto"/>
        <w:rPr>
          <w:rFonts w:ascii="Times New Roman" w:hAnsi="Times New Roman"/>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915E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EFA4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804FC2" w14:paraId="565E2C82" w14:textId="77777777">
    <w:pPr>
      <w:pStyle w:val="Footer"/>
      <w:jc w:val="center"/>
      <w:rPr>
        <w:rFonts w:ascii="Times New Roman" w:hAnsi="Times New Roman"/>
      </w:rPr>
    </w:pPr>
    <w:r w:rsidRPr="00804FC2">
      <w:rPr>
        <w:rFonts w:ascii="Times New Roman" w:hAnsi="Times New Roman"/>
      </w:rPr>
      <w:fldChar w:fldCharType="begin"/>
    </w:r>
    <w:r w:rsidRPr="00804FC2">
      <w:rPr>
        <w:rFonts w:ascii="Times New Roman" w:hAnsi="Times New Roman"/>
      </w:rPr>
      <w:instrText xml:space="preserve"> PAGE   \* MERGEFORMAT </w:instrText>
    </w:r>
    <w:r w:rsidRPr="00804FC2">
      <w:rPr>
        <w:rFonts w:ascii="Times New Roman" w:hAnsi="Times New Roman"/>
      </w:rPr>
      <w:fldChar w:fldCharType="separate"/>
    </w:r>
    <w:r w:rsidRPr="00804FC2">
      <w:rPr>
        <w:rFonts w:ascii="Times New Roman" w:hAnsi="Times New Roman"/>
        <w:noProof/>
      </w:rPr>
      <w:t>2</w:t>
    </w:r>
    <w:r w:rsidRPr="00804FC2">
      <w:rPr>
        <w:rFonts w:ascii="Times New Roman" w:hAnsi="Times New Roman"/>
        <w:noProof/>
      </w:rPr>
      <w:fldChar w:fldCharType="end"/>
    </w:r>
  </w:p>
  <w:p w:rsidR="00D25FB5" w14:paraId="75DE65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B85A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316" w14:paraId="1AA88BED" w14:textId="77777777">
      <w:r>
        <w:separator/>
      </w:r>
    </w:p>
  </w:footnote>
  <w:footnote w:type="continuationSeparator" w:id="1">
    <w:p w:rsidR="00F65316" w:rsidP="00C721AC" w14:paraId="35775A91" w14:textId="77777777">
      <w:pPr>
        <w:spacing w:before="120"/>
        <w:rPr>
          <w:sz w:val="20"/>
        </w:rPr>
      </w:pPr>
      <w:r>
        <w:rPr>
          <w:sz w:val="20"/>
        </w:rPr>
        <w:t xml:space="preserve">(Continued from previous page)  </w:t>
      </w:r>
      <w:r>
        <w:rPr>
          <w:sz w:val="20"/>
        </w:rPr>
        <w:separator/>
      </w:r>
    </w:p>
  </w:footnote>
  <w:footnote w:type="continuationNotice" w:id="2">
    <w:p w:rsidR="00F65316" w:rsidP="00C721AC" w14:paraId="562C2EFF" w14:textId="77777777">
      <w:pPr>
        <w:jc w:val="right"/>
        <w:rPr>
          <w:sz w:val="20"/>
        </w:rPr>
      </w:pPr>
      <w:r>
        <w:rPr>
          <w:sz w:val="20"/>
        </w:rPr>
        <w:t>(continued….)</w:t>
      </w:r>
    </w:p>
  </w:footnote>
  <w:footnote w:id="3">
    <w:p w:rsidR="006B3B5C" w:rsidP="006B3B5C" w14:paraId="1A2F6A7F" w14:textId="77777777">
      <w:pPr>
        <w:pStyle w:val="FootnoteText"/>
      </w:pPr>
      <w:r>
        <w:rPr>
          <w:rStyle w:val="FootnoteReference"/>
        </w:rPr>
        <w:footnoteRef/>
      </w:r>
      <w:r>
        <w:t xml:space="preserve"> 47 CFR § 1.5000(a)(1)</w:t>
      </w:r>
      <w:r w:rsidR="00863E14">
        <w:t xml:space="preserve"> (</w:t>
      </w:r>
      <w:r w:rsidRPr="007E5472" w:rsidR="00863E14">
        <w:t>provid</w:t>
      </w:r>
      <w:r w:rsidR="00863E14">
        <w:t>ing</w:t>
      </w:r>
      <w:r w:rsidRPr="007E5472" w:rsidR="00863E14">
        <w:t xml:space="preserve"> that an applicant for a broadcast station license shall file a petition for declaratory ruling to exceed the aggregate foreign ownership benchmark set forth in section 310(b)(4) of the Act “at the same time that it files its application”</w:t>
      </w:r>
      <w:r w:rsidR="00863E14">
        <w:t>).</w:t>
      </w:r>
    </w:p>
  </w:footnote>
  <w:footnote w:id="4">
    <w:p w:rsidR="006B3B5C" w:rsidP="006B3B5C" w14:paraId="28153A64" w14:textId="77777777">
      <w:pPr>
        <w:pStyle w:val="FootnoteText"/>
      </w:pPr>
      <w:r>
        <w:rPr>
          <w:rStyle w:val="FootnoteReference"/>
        </w:rPr>
        <w:footnoteRef/>
      </w:r>
      <w:r>
        <w:t xml:space="preserve"> 47 U.S.C. § 310(b)(4).</w:t>
      </w:r>
      <w:r w:rsidR="00D53A8F">
        <w:t xml:space="preserve">  </w:t>
      </w:r>
    </w:p>
  </w:footnote>
  <w:footnote w:id="5">
    <w:p w:rsidR="006B3B5C" w:rsidP="006B3B5C" w14:paraId="516DE744" w14:textId="77777777">
      <w:pPr>
        <w:pStyle w:val="FootnoteText"/>
      </w:pPr>
      <w:r>
        <w:rPr>
          <w:rStyle w:val="FootnoteReference"/>
        </w:rPr>
        <w:footnoteRef/>
      </w:r>
      <w:r>
        <w:t xml:space="preserve"> The Commission consented to the debtor-in-possession status of </w:t>
      </w:r>
      <w:r w:rsidR="00D53A8F">
        <w:t>ACV</w:t>
      </w:r>
      <w:r>
        <w:t xml:space="preserve"> on </w:t>
      </w:r>
      <w:r w:rsidR="00D53A8F">
        <w:t>July 17, 2019</w:t>
      </w:r>
      <w:r>
        <w:t>.</w:t>
      </w:r>
      <w:r w:rsidR="00B23589">
        <w:t xml:space="preserve">  File No. 20190618AAK.</w:t>
      </w:r>
    </w:p>
  </w:footnote>
  <w:footnote w:id="6">
    <w:p w:rsidR="00575B63" w14:paraId="004E0CD9" w14:textId="77777777">
      <w:pPr>
        <w:pStyle w:val="FootnoteText"/>
      </w:pPr>
      <w:r>
        <w:rPr>
          <w:rStyle w:val="FootnoteReference"/>
        </w:rPr>
        <w:footnoteRef/>
      </w:r>
      <w:r>
        <w:t xml:space="preserve"> The Bankruptcy Court initially approved ACV’s reorganization plan on February 2, 2020</w:t>
      </w:r>
      <w:r w:rsidR="00A6407A">
        <w:t>;</w:t>
      </w:r>
      <w:r>
        <w:t xml:space="preserve"> however, ACV later moved to modify the original reorganization plan and, thereafter, the Bankruptcy Court granted ACV’s requested modification and issued the June 3, 3030 Confirmation Order.</w:t>
      </w:r>
    </w:p>
  </w:footnote>
  <w:footnote w:id="7">
    <w:p w:rsidR="00020A70" w:rsidP="00DC101B" w14:paraId="4D4F9EF2" w14:textId="77777777">
      <w:pPr>
        <w:pStyle w:val="FootnoteText"/>
      </w:pPr>
      <w:r>
        <w:rPr>
          <w:rStyle w:val="FootnoteReference"/>
        </w:rPr>
        <w:footnoteRef/>
      </w:r>
      <w:r>
        <w:t xml:space="preserve"> </w:t>
      </w:r>
      <w:r w:rsidRPr="00DC101B" w:rsidR="00DC101B">
        <w:rPr>
          <w:i/>
          <w:iCs/>
        </w:rPr>
        <w:t>See</w:t>
      </w:r>
      <w:r w:rsidR="00DC101B">
        <w:t xml:space="preserve"> Applications, Attach. 6</w:t>
      </w:r>
      <w:r w:rsidR="00570D96">
        <w:t>, Ex. C.</w:t>
      </w:r>
    </w:p>
  </w:footnote>
  <w:footnote w:id="8">
    <w:p w:rsidR="008568FA" w14:paraId="02919A03" w14:textId="77777777">
      <w:pPr>
        <w:pStyle w:val="FootnoteText"/>
      </w:pPr>
      <w:r>
        <w:rPr>
          <w:rStyle w:val="FootnoteReference"/>
        </w:rPr>
        <w:footnoteRef/>
      </w:r>
      <w:r>
        <w:t xml:space="preserve"> </w:t>
      </w:r>
      <w:r w:rsidR="00A738EB">
        <w:t xml:space="preserve">The </w:t>
      </w:r>
      <w:r w:rsidR="00994A01">
        <w:t>pre-bankruptcy e</w:t>
      </w:r>
      <w:r w:rsidR="00A738EB">
        <w:t xml:space="preserve">quity </w:t>
      </w:r>
      <w:r w:rsidR="00994A01">
        <w:t>i</w:t>
      </w:r>
      <w:r w:rsidR="00A738EB">
        <w:t xml:space="preserve">nterests </w:t>
      </w:r>
      <w:r w:rsidR="00994A01">
        <w:t xml:space="preserve">in ACV that are </w:t>
      </w:r>
      <w:r w:rsidR="00C4649F">
        <w:t>subject to cancellation and extinguishment</w:t>
      </w:r>
      <w:r w:rsidR="00A738EB">
        <w:t xml:space="preserve"> </w:t>
      </w:r>
      <w:r w:rsidR="00994A01">
        <w:t xml:space="preserve">by the Plan </w:t>
      </w:r>
      <w:r w:rsidR="00A738EB">
        <w:t xml:space="preserve">are held by: </w:t>
      </w:r>
      <w:r w:rsidR="00C41F68">
        <w:t xml:space="preserve"> </w:t>
      </w:r>
      <w:r w:rsidR="00A738EB">
        <w:t xml:space="preserve">(1) </w:t>
      </w:r>
      <w:r w:rsidR="00FF4A84">
        <w:t>America</w:t>
      </w:r>
      <w:r w:rsidRPr="00FF4A84" w:rsidR="00FF4A84">
        <w:t xml:space="preserve"> </w:t>
      </w:r>
      <w:r w:rsidR="00FF4A84">
        <w:t>Teve</w:t>
      </w:r>
      <w:r w:rsidRPr="00FF4A84" w:rsidR="00FF4A84">
        <w:t xml:space="preserve"> </w:t>
      </w:r>
      <w:r w:rsidR="00FF4A84">
        <w:t>Holdings</w:t>
      </w:r>
      <w:r w:rsidRPr="00FF4A84" w:rsidR="00FF4A84">
        <w:t xml:space="preserve">, </w:t>
      </w:r>
      <w:r w:rsidR="00FF4A84">
        <w:t>Inc</w:t>
      </w:r>
      <w:r w:rsidRPr="00FF4A84" w:rsidR="00FF4A84">
        <w:t>.</w:t>
      </w:r>
      <w:r w:rsidR="00A738EB">
        <w:t xml:space="preserve">; (2) Okeechobee Television Corp.; and (3) </w:t>
      </w:r>
      <w:r w:rsidR="00A738EB">
        <w:t>Promisa</w:t>
      </w:r>
      <w:r w:rsidR="00A738EB">
        <w:t>, Inc.</w:t>
      </w:r>
      <w:r w:rsidR="00A24906">
        <w:t xml:space="preserve">  </w:t>
      </w:r>
      <w:r w:rsidRPr="00A24906" w:rsidR="00A24906">
        <w:rPr>
          <w:i/>
          <w:iCs/>
        </w:rPr>
        <w:t>See</w:t>
      </w:r>
      <w:r w:rsidR="00A24906">
        <w:t xml:space="preserve"> Applications, Attach. 6, at 1.</w:t>
      </w:r>
    </w:p>
  </w:footnote>
  <w:footnote w:id="9">
    <w:p w:rsidR="006610BD" w14:paraId="26CE1CC3" w14:textId="77777777">
      <w:pPr>
        <w:pStyle w:val="FootnoteText"/>
      </w:pPr>
      <w:r>
        <w:rPr>
          <w:rStyle w:val="FootnoteReference"/>
        </w:rPr>
        <w:footnoteRef/>
      </w:r>
      <w:r>
        <w:t xml:space="preserve"> “New Equity Interests” refers to the new equity interests </w:t>
      </w:r>
      <w:r w:rsidR="00992B46">
        <w:t>in ACV that will be issued</w:t>
      </w:r>
      <w:r w:rsidR="00996010">
        <w:t xml:space="preserve"> </w:t>
      </w:r>
      <w:r w:rsidR="00992B46">
        <w:t>upon its emergence from bankruptcy</w:t>
      </w:r>
      <w:r w:rsidR="00DC101B">
        <w:t>.</w:t>
      </w:r>
      <w:r w:rsidR="00A24906">
        <w:t xml:space="preserve">  </w:t>
      </w:r>
      <w:r w:rsidRPr="00DC101B" w:rsidR="00A24906">
        <w:rPr>
          <w:i/>
          <w:iCs/>
        </w:rPr>
        <w:t>See</w:t>
      </w:r>
      <w:r w:rsidR="00A24906">
        <w:t xml:space="preserve"> Applications, Attach. 6, Ex. C.</w:t>
      </w:r>
    </w:p>
  </w:footnote>
  <w:footnote w:id="10">
    <w:p w:rsidR="00A738EB" w14:paraId="4C323D1B" w14:textId="77777777">
      <w:pPr>
        <w:pStyle w:val="FootnoteText"/>
      </w:pPr>
      <w:r>
        <w:rPr>
          <w:rStyle w:val="FootnoteReference"/>
        </w:rPr>
        <w:footnoteRef/>
      </w:r>
      <w:r>
        <w:t xml:space="preserve"> </w:t>
      </w:r>
      <w:r w:rsidR="00882142">
        <w:t>ACV initially filed a petition for declaratory ruling but, on advice of Commission staff, withdrew the petition for declaratory ruling for filing at a later date in order to cure defects.</w:t>
      </w:r>
    </w:p>
  </w:footnote>
  <w:footnote w:id="11">
    <w:p w:rsidR="00343C4D" w14:paraId="3E5F249A" w14:textId="77777777">
      <w:pPr>
        <w:pStyle w:val="FootnoteText"/>
      </w:pPr>
      <w:r>
        <w:rPr>
          <w:rStyle w:val="FootnoteReference"/>
        </w:rPr>
        <w:footnoteRef/>
      </w:r>
      <w:r>
        <w:t xml:space="preserve"> </w:t>
      </w:r>
      <w:r w:rsidR="000E5675">
        <w:t>Waiver Request at 1.</w:t>
      </w:r>
    </w:p>
  </w:footnote>
  <w:footnote w:id="12">
    <w:p w:rsidR="00343C4D" w:rsidP="00343C4D" w14:paraId="630C0215" w14:textId="77777777">
      <w:pPr>
        <w:pStyle w:val="FootnoteText"/>
      </w:pPr>
      <w:r>
        <w:rPr>
          <w:rStyle w:val="FootnoteReference"/>
        </w:rPr>
        <w:footnoteRef/>
      </w:r>
      <w:r>
        <w:t xml:space="preserve"> According to the Applicants, upon ACV’s emergence from bankruptcy, its indirect foreign ownership interests for certain individuals and entities </w:t>
      </w:r>
      <w:r w:rsidR="00164105">
        <w:t>will increase</w:t>
      </w:r>
      <w:r>
        <w:t xml:space="preserve"> from a combined pre-bankruptcy 21.9% to a post-bankruptcy 100.0%</w:t>
      </w:r>
      <w:r w:rsidR="00164105">
        <w:t>.</w:t>
      </w:r>
      <w:r w:rsidR="000E5675">
        <w:t xml:space="preserve">  </w:t>
      </w:r>
      <w:r w:rsidRPr="000E5675" w:rsidR="000E5675">
        <w:rPr>
          <w:i/>
          <w:iCs/>
        </w:rPr>
        <w:t>Id</w:t>
      </w:r>
      <w:r w:rsidR="000E5675">
        <w:t>. at 2.</w:t>
      </w:r>
    </w:p>
  </w:footnote>
  <w:footnote w:id="13">
    <w:p w:rsidR="006B3B5C" w:rsidP="006B3B5C" w14:paraId="5EB8CD2C" w14:textId="77777777">
      <w:pPr>
        <w:pStyle w:val="FootnoteText"/>
      </w:pPr>
      <w:r>
        <w:rPr>
          <w:rStyle w:val="FootnoteReference"/>
        </w:rPr>
        <w:footnoteRef/>
      </w:r>
      <w:r>
        <w:t xml:space="preserve"> </w:t>
      </w:r>
      <w:r w:rsidRPr="000E5675" w:rsidR="000E5675">
        <w:rPr>
          <w:i/>
          <w:iCs/>
        </w:rPr>
        <w:t>Id</w:t>
      </w:r>
      <w:r w:rsidR="000E5675">
        <w:t xml:space="preserve">. </w:t>
      </w:r>
      <w:r>
        <w:t xml:space="preserve">at </w:t>
      </w:r>
      <w:r w:rsidR="00D53A8F">
        <w:t>3</w:t>
      </w:r>
      <w:r>
        <w:t>.</w:t>
      </w:r>
    </w:p>
  </w:footnote>
  <w:footnote w:id="14">
    <w:p w:rsidR="006B3B5C" w:rsidP="006B3B5C" w14:paraId="72A40040" w14:textId="77777777">
      <w:pPr>
        <w:pStyle w:val="FootnoteText"/>
      </w:pPr>
      <w:r>
        <w:rPr>
          <w:rStyle w:val="FootnoteReference"/>
        </w:rPr>
        <w:footnoteRef/>
      </w:r>
      <w:r>
        <w:t xml:space="preserve"> 47 U.S.C. § 310(d).</w:t>
      </w:r>
    </w:p>
  </w:footnote>
  <w:footnote w:id="15">
    <w:p w:rsidR="006B3B5C" w:rsidP="006B3B5C" w14:paraId="18AA8D57" w14:textId="77777777">
      <w:pPr>
        <w:pStyle w:val="FootnoteText"/>
      </w:pPr>
      <w:r>
        <w:rPr>
          <w:rStyle w:val="FootnoteReference"/>
        </w:rPr>
        <w:footnoteRef/>
      </w:r>
      <w:r>
        <w:t xml:space="preserve"> </w:t>
      </w:r>
      <w:r w:rsidRPr="00654518">
        <w:rPr>
          <w:i/>
          <w:iCs/>
        </w:rPr>
        <w:t>See, e.g.</w:t>
      </w:r>
      <w:r w:rsidRPr="0046640F">
        <w:rPr>
          <w:iCs/>
        </w:rPr>
        <w:t>,</w:t>
      </w:r>
      <w:r w:rsidRPr="00654518">
        <w:rPr>
          <w:i/>
          <w:iCs/>
        </w:rPr>
        <w:t xml:space="preserve"> </w:t>
      </w:r>
      <w:r w:rsidRPr="00606362" w:rsidR="006E3C61">
        <w:rPr>
          <w:i/>
          <w:iCs/>
        </w:rPr>
        <w:t>SBC Communications Inc. and AT&amp;T Corp. Applications for Approval of Transfer of Control</w:t>
      </w:r>
      <w:r w:rsidRPr="00606362" w:rsidR="006E3C61">
        <w:t xml:space="preserve">, WC Docket No. 05-65, Memorandum Opinion and Order, 20 FCC Rcd 18290, 18300 </w:t>
      </w:r>
      <w:r w:rsidR="006E3C61">
        <w:t>para</w:t>
      </w:r>
      <w:r w:rsidR="006E3C61">
        <w:t>.</w:t>
      </w:r>
      <w:r w:rsidRPr="00606362" w:rsidR="006E3C61">
        <w:t xml:space="preserve"> 16 (2005)</w:t>
      </w:r>
      <w:r w:rsidR="006E3C61">
        <w:t>.</w:t>
      </w:r>
    </w:p>
  </w:footnote>
  <w:footnote w:id="16">
    <w:p w:rsidR="006B3B5C" w:rsidRPr="00A15BB1" w:rsidP="006B3B5C" w14:paraId="61FD0045" w14:textId="77777777">
      <w:pPr>
        <w:pStyle w:val="FootnoteText"/>
        <w:rPr>
          <w:iCs/>
        </w:rPr>
      </w:pPr>
      <w:r>
        <w:rPr>
          <w:rStyle w:val="FootnoteReference"/>
        </w:rPr>
        <w:footnoteRef/>
      </w:r>
      <w:r>
        <w:t xml:space="preserve"> </w:t>
      </w:r>
      <w:r>
        <w:rPr>
          <w:i/>
          <w:iCs/>
        </w:rPr>
        <w:t>Id.</w:t>
      </w:r>
    </w:p>
  </w:footnote>
  <w:footnote w:id="17">
    <w:p w:rsidR="006B3B5C" w:rsidRPr="00E43301" w:rsidP="006B3B5C" w14:paraId="420043B6" w14:textId="77777777">
      <w:pPr>
        <w:pStyle w:val="FootnoteText"/>
      </w:pPr>
      <w:r w:rsidRPr="008C7C9E">
        <w:rPr>
          <w:rStyle w:val="FootnoteReference"/>
        </w:rPr>
        <w:footnoteRef/>
      </w:r>
      <w:r w:rsidRPr="008C7C9E">
        <w:t xml:space="preserve"> 47 U.S.C. § 309</w:t>
      </w:r>
      <w:r>
        <w:t>(e)</w:t>
      </w:r>
      <w:r w:rsidRPr="008C7C9E">
        <w:t xml:space="preserve">; </w:t>
      </w:r>
      <w:r w:rsidRPr="008C7C9E">
        <w:rPr>
          <w:i/>
        </w:rPr>
        <w:t xml:space="preserve">see also </w:t>
      </w:r>
      <w:r>
        <w:rPr>
          <w:i/>
        </w:rPr>
        <w:t>General Motors Corporation and Hughes Electronics Corporation, Transferors, and the News Corporation Limited</w:t>
      </w:r>
      <w:r w:rsidRPr="008C7C9E">
        <w:rPr>
          <w:i/>
        </w:rPr>
        <w:t>,</w:t>
      </w:r>
      <w:r>
        <w:rPr>
          <w:i/>
        </w:rPr>
        <w:t xml:space="preserve"> Transferee</w:t>
      </w:r>
      <w:r>
        <w:t>,</w:t>
      </w:r>
      <w:r w:rsidRPr="008C7C9E">
        <w:rPr>
          <w:i/>
        </w:rPr>
        <w:t xml:space="preserve"> </w:t>
      </w:r>
      <w:r w:rsidRPr="008C7C9E">
        <w:t xml:space="preserve">19 FCC Rcd </w:t>
      </w:r>
      <w:r>
        <w:t>473,</w:t>
      </w:r>
      <w:r w:rsidRPr="008C7C9E">
        <w:t xml:space="preserve"> 483</w:t>
      </w:r>
      <w:r>
        <w:t>, para. 15</w:t>
      </w:r>
      <w:r w:rsidRPr="008C7C9E">
        <w:t xml:space="preserve"> n.49</w:t>
      </w:r>
      <w:r>
        <w:t xml:space="preserve"> (2004)</w:t>
      </w:r>
      <w:r w:rsidRPr="008C7C9E">
        <w:t>;</w:t>
      </w:r>
      <w:r w:rsidRPr="00E43301">
        <w:rPr>
          <w:i/>
        </w:rPr>
        <w:t xml:space="preserve"> </w:t>
      </w:r>
      <w:r>
        <w:rPr>
          <w:i/>
        </w:rPr>
        <w:t>Application of EchoStar Communications Corporation, General Motors Corporation, and Hughes Electronics Corporation and EchoStar Communications Corporation</w:t>
      </w:r>
      <w:r>
        <w:t>, Hearing Designation Order, 17 FCC Rcd 20559, 20574,</w:t>
      </w:r>
      <w:r>
        <w:rPr>
          <w:i/>
        </w:rPr>
        <w:t xml:space="preserve"> </w:t>
      </w:r>
      <w:r>
        <w:t>para. 211 (2002).</w:t>
      </w:r>
    </w:p>
  </w:footnote>
  <w:footnote w:id="18">
    <w:p w:rsidR="00B214DF" w14:paraId="1F32857F" w14:textId="77777777">
      <w:pPr>
        <w:pStyle w:val="FootnoteText"/>
      </w:pPr>
      <w:r>
        <w:rPr>
          <w:rStyle w:val="FootnoteReference"/>
        </w:rPr>
        <w:footnoteRef/>
      </w:r>
      <w:r>
        <w:t xml:space="preserve"> </w:t>
      </w:r>
      <w:r w:rsidRPr="00736B9F" w:rsidR="006E3C61">
        <w:rPr>
          <w:i/>
          <w:iCs/>
        </w:rPr>
        <w:t xml:space="preserve">Stanford </w:t>
      </w:r>
      <w:r w:rsidRPr="00736B9F" w:rsidR="006E3C61">
        <w:rPr>
          <w:i/>
          <w:iCs/>
        </w:rPr>
        <w:t>Springel</w:t>
      </w:r>
      <w:r w:rsidRPr="00736B9F" w:rsidR="006E3C61">
        <w:rPr>
          <w:i/>
          <w:iCs/>
        </w:rPr>
        <w:t xml:space="preserve"> As Chapter 11 Trustee for the Bankruptcy Estate of Innovative Communication Corporation, Transferor and Assignor, and National Rural Utilities Cooperative Finance Corporation and Its Subsidiaries, Transferees and Assignees</w:t>
      </w:r>
      <w:r w:rsidRPr="00736B9F" w:rsidR="006E3C61">
        <w:t>, 24 FCC Rcd 14360, 14369, para. 19 (WCB/MB/WTB/IB 2009)</w:t>
      </w:r>
      <w:r w:rsidR="006E3C61">
        <w:t xml:space="preserve">; </w:t>
      </w:r>
      <w:r w:rsidRPr="00736B9F" w:rsidR="006E3C61">
        <w:rPr>
          <w:i/>
          <w:iCs/>
        </w:rPr>
        <w:t xml:space="preserve">see also </w:t>
      </w:r>
      <w:r w:rsidRPr="00736B9F" w:rsidR="006E3C61">
        <w:rPr>
          <w:i/>
          <w:iCs/>
          <w:szCs w:val="22"/>
        </w:rPr>
        <w:t>LaRose</w:t>
      </w:r>
      <w:r w:rsidRPr="00F27D37" w:rsidR="006E3C61">
        <w:rPr>
          <w:szCs w:val="22"/>
        </w:rPr>
        <w:t xml:space="preserve">, 494 F.2d </w:t>
      </w:r>
      <w:r w:rsidR="00441103">
        <w:rPr>
          <w:szCs w:val="22"/>
        </w:rPr>
        <w:t>at</w:t>
      </w:r>
      <w:r w:rsidRPr="00F27D37" w:rsidR="006E3C61">
        <w:rPr>
          <w:szCs w:val="22"/>
        </w:rPr>
        <w:t xml:space="preserve"> 1146 n</w:t>
      </w:r>
      <w:r w:rsidR="006E3C61">
        <w:rPr>
          <w:szCs w:val="22"/>
        </w:rPr>
        <w:t>.</w:t>
      </w:r>
      <w:r w:rsidRPr="00F27D37" w:rsidR="006E3C61">
        <w:rPr>
          <w:szCs w:val="22"/>
        </w:rPr>
        <w:t>2 (in applying its policies where an application arises from bankruptcy, the Commission should consider “the public interest in the protection of innocent creditors”).</w:t>
      </w:r>
    </w:p>
  </w:footnote>
  <w:footnote w:id="19">
    <w:p w:rsidR="0060283E" w14:paraId="70380D95" w14:textId="77777777">
      <w:pPr>
        <w:pStyle w:val="FootnoteText"/>
      </w:pPr>
      <w:r>
        <w:rPr>
          <w:rStyle w:val="FootnoteReference"/>
        </w:rPr>
        <w:footnoteRef/>
      </w:r>
      <w:r>
        <w:t xml:space="preserve"> </w:t>
      </w:r>
      <w:r w:rsidRPr="0060283E">
        <w:rPr>
          <w:i/>
          <w:iCs/>
        </w:rPr>
        <w:t>See</w:t>
      </w:r>
      <w:r>
        <w:t xml:space="preserve"> Applications, Attach. 6, </w:t>
      </w:r>
      <w:r w:rsidR="00570D96">
        <w:t>Ex. C.</w:t>
      </w:r>
    </w:p>
  </w:footnote>
  <w:footnote w:id="20">
    <w:p w:rsidR="00B214DF" w14:paraId="316E1307" w14:textId="77777777">
      <w:pPr>
        <w:pStyle w:val="FootnoteText"/>
      </w:pPr>
      <w:r>
        <w:rPr>
          <w:rStyle w:val="FootnoteReference"/>
        </w:rPr>
        <w:footnoteRef/>
      </w:r>
      <w:r>
        <w:t xml:space="preserve"> </w:t>
      </w:r>
      <w:r w:rsidRPr="00736B9F" w:rsidR="006E3C61">
        <w:rPr>
          <w:i/>
          <w:iCs/>
        </w:rPr>
        <w:t>Worldcom</w:t>
      </w:r>
      <w:r w:rsidRPr="00736B9F" w:rsidR="006E3C61">
        <w:rPr>
          <w:i/>
          <w:iCs/>
        </w:rPr>
        <w:t>, Inc.</w:t>
      </w:r>
      <w:r w:rsidR="006E3C61">
        <w:t xml:space="preserve">, 18 FCC Rcd </w:t>
      </w:r>
      <w:r w:rsidR="00441103">
        <w:t>at</w:t>
      </w:r>
      <w:r w:rsidR="006E3C61">
        <w:t xml:space="preserve"> 26503, para. 29.</w:t>
      </w:r>
    </w:p>
  </w:footnote>
  <w:footnote w:id="21">
    <w:p w:rsidR="006841ED" w:rsidP="006841ED" w14:paraId="66DCBDCB" w14:textId="77777777">
      <w:pPr>
        <w:pStyle w:val="FootnoteText"/>
      </w:pPr>
      <w:r>
        <w:rPr>
          <w:rStyle w:val="FootnoteReference"/>
        </w:rPr>
        <w:footnoteRef/>
      </w:r>
      <w:r>
        <w:t xml:space="preserve"> 47 CFR § 1.3.</w:t>
      </w:r>
    </w:p>
  </w:footnote>
  <w:footnote w:id="22">
    <w:p w:rsidR="006841ED" w:rsidP="006841ED" w14:paraId="3D6A152C" w14:textId="77777777">
      <w:pPr>
        <w:pStyle w:val="FootnoteText"/>
      </w:pPr>
      <w:r>
        <w:rPr>
          <w:rStyle w:val="FootnoteReference"/>
        </w:rPr>
        <w:footnoteRef/>
      </w:r>
      <w:r>
        <w:t xml:space="preserve"> </w:t>
      </w:r>
      <w:r>
        <w:rPr>
          <w:i/>
        </w:rPr>
        <w:t>WAIT Radio v. FCC</w:t>
      </w:r>
      <w:r>
        <w:t>, 418 F.2d 1153, 1159 (D.C. Cir. 1969) (</w:t>
      </w:r>
      <w:r w:rsidRPr="00086C33">
        <w:rPr>
          <w:i/>
        </w:rPr>
        <w:t>WAIT Radio</w:t>
      </w:r>
      <w:r>
        <w:t xml:space="preserve">); </w:t>
      </w:r>
      <w:r w:rsidRPr="00EB6532">
        <w:rPr>
          <w:bCs/>
          <w:i/>
          <w:iCs/>
        </w:rPr>
        <w:t>Network</w:t>
      </w:r>
      <w:r w:rsidRPr="00EB6532">
        <w:rPr>
          <w:i/>
          <w:iCs/>
        </w:rPr>
        <w:t xml:space="preserve"> </w:t>
      </w:r>
      <w:r w:rsidRPr="00EB6532">
        <w:rPr>
          <w:bCs/>
          <w:i/>
          <w:iCs/>
        </w:rPr>
        <w:t>IP</w:t>
      </w:r>
      <w:r w:rsidRPr="00EB6532">
        <w:rPr>
          <w:i/>
          <w:iCs/>
        </w:rPr>
        <w:t>, LLC v. FCC</w:t>
      </w:r>
      <w:r w:rsidRPr="00EB6532">
        <w:t>, 548 F.3d 116, 125-128 (D.C. Cir. 2008)</w:t>
      </w:r>
      <w:r>
        <w:t>.</w:t>
      </w:r>
    </w:p>
  </w:footnote>
  <w:footnote w:id="23">
    <w:p w:rsidR="006841ED" w:rsidP="006841ED" w14:paraId="29BB1F90" w14:textId="77777777">
      <w:pPr>
        <w:pStyle w:val="FootnoteText"/>
      </w:pPr>
      <w:r>
        <w:rPr>
          <w:rStyle w:val="FootnoteReference"/>
        </w:rPr>
        <w:footnoteRef/>
      </w:r>
      <w:r>
        <w:t xml:space="preserve"> </w:t>
      </w:r>
      <w:r>
        <w:rPr>
          <w:i/>
        </w:rPr>
        <w:t>Northeast Cellular Telephone Co. v. FCC</w:t>
      </w:r>
      <w:r>
        <w:t>, 897 F.2d 1164, 1166 (D.C. Cir. 1990).</w:t>
      </w:r>
    </w:p>
  </w:footnote>
  <w:footnote w:id="24">
    <w:p w:rsidR="006841ED" w:rsidP="006841ED" w14:paraId="0AB6A458" w14:textId="77777777">
      <w:pPr>
        <w:pStyle w:val="FootnoteText"/>
      </w:pPr>
      <w:r>
        <w:rPr>
          <w:rStyle w:val="FootnoteReference"/>
        </w:rPr>
        <w:footnoteRef/>
      </w:r>
      <w:r>
        <w:t xml:space="preserve"> </w:t>
      </w:r>
      <w:r>
        <w:rPr>
          <w:i/>
        </w:rPr>
        <w:t>WAIT Radio</w:t>
      </w:r>
      <w:r>
        <w:t>, 418 F.2d</w:t>
      </w:r>
      <w:r>
        <w:rPr>
          <w:i/>
        </w:rPr>
        <w:t xml:space="preserve"> </w:t>
      </w:r>
      <w:r>
        <w:t>at 1157.</w:t>
      </w:r>
    </w:p>
  </w:footnote>
  <w:footnote w:id="25">
    <w:p w:rsidR="006841ED" w:rsidP="006841ED" w14:paraId="1BCB6CF5" w14:textId="77777777">
      <w:pPr>
        <w:pStyle w:val="FootnoteText"/>
      </w:pPr>
      <w:r>
        <w:rPr>
          <w:rStyle w:val="FootnoteReference"/>
        </w:rPr>
        <w:footnoteRef/>
      </w:r>
      <w:r>
        <w:t xml:space="preserve"> 47 CFR § 1.5000(a)(1).</w:t>
      </w:r>
    </w:p>
  </w:footnote>
  <w:footnote w:id="26">
    <w:p w:rsidR="006841ED" w:rsidRPr="00806096" w:rsidP="006841ED" w14:paraId="661FB431" w14:textId="77777777">
      <w:pPr>
        <w:pStyle w:val="FootnoteText"/>
      </w:pPr>
      <w:r>
        <w:rPr>
          <w:rStyle w:val="FootnoteReference"/>
        </w:rPr>
        <w:footnoteRef/>
      </w:r>
      <w:r>
        <w:t xml:space="preserve"> </w:t>
      </w:r>
      <w:r w:rsidRPr="00806096">
        <w:rPr>
          <w:i/>
        </w:rPr>
        <w:t>Maritime Communications/Land Mobile, LLC</w:t>
      </w:r>
      <w:r w:rsidRPr="00806096">
        <w:t xml:space="preserve">, 31 FCC Rcd 13729, 13737-38 (2016); </w:t>
      </w:r>
      <w:r w:rsidRPr="00736B9F">
        <w:rPr>
          <w:i/>
          <w:iCs/>
        </w:rPr>
        <w:t xml:space="preserve">see also </w:t>
      </w:r>
      <w:r w:rsidRPr="00736B9F">
        <w:rPr>
          <w:i/>
          <w:iCs/>
          <w:szCs w:val="22"/>
        </w:rPr>
        <w:t>LaRose v. FCC</w:t>
      </w:r>
      <w:r w:rsidRPr="00F27D37">
        <w:rPr>
          <w:szCs w:val="22"/>
        </w:rPr>
        <w:t>, 494 F.2d 1145, 1146 n</w:t>
      </w:r>
      <w:r>
        <w:rPr>
          <w:szCs w:val="22"/>
        </w:rPr>
        <w:t>.</w:t>
      </w:r>
      <w:r w:rsidRPr="00F27D37">
        <w:rPr>
          <w:szCs w:val="22"/>
        </w:rPr>
        <w:t>2 (D.C. Cir. 1974)</w:t>
      </w:r>
      <w:r w:rsidRPr="00806096">
        <w:t>.</w:t>
      </w:r>
    </w:p>
  </w:footnote>
  <w:footnote w:id="27">
    <w:p w:rsidR="006841ED" w:rsidRPr="00806096" w:rsidP="006841ED" w14:paraId="695096B0" w14:textId="77777777">
      <w:pPr>
        <w:pStyle w:val="FootnoteText"/>
      </w:pPr>
      <w:r w:rsidRPr="00806096">
        <w:rPr>
          <w:rStyle w:val="FootnoteReference"/>
        </w:rPr>
        <w:footnoteRef/>
      </w:r>
      <w:r w:rsidRPr="00806096">
        <w:t xml:space="preserve"> </w:t>
      </w:r>
      <w:r w:rsidRPr="00806096">
        <w:rPr>
          <w:i/>
        </w:rPr>
        <w:t xml:space="preserve">Stanford </w:t>
      </w:r>
      <w:r w:rsidRPr="00806096">
        <w:rPr>
          <w:i/>
        </w:rPr>
        <w:t>Springel</w:t>
      </w:r>
      <w:r w:rsidRPr="00806096">
        <w:rPr>
          <w:i/>
        </w:rPr>
        <w:t xml:space="preserve"> As Chapter 11 Trustee. for the Bankruptcy Estate of Innovative Communication Corporation, Transferor and Assignor, and National Rural Utilities Cooperative Finance Corporation and Its Subsidiaries, Transferees and Assignees</w:t>
      </w:r>
      <w:r w:rsidRPr="00806096">
        <w:t>, 24 FCC Rcd 14360, 14369, para. 19 (</w:t>
      </w:r>
      <w:r>
        <w:t xml:space="preserve">WCB/MB/WTB/IB </w:t>
      </w:r>
      <w:r w:rsidRPr="00806096">
        <w:t>2009)</w:t>
      </w:r>
      <w:r>
        <w:t>.</w:t>
      </w:r>
    </w:p>
  </w:footnote>
  <w:footnote w:id="28">
    <w:p w:rsidR="006841ED" w:rsidRPr="00CD3645" w:rsidP="006841ED" w14:paraId="53B1C470" w14:textId="77777777">
      <w:pPr>
        <w:shd w:val="clear" w:color="auto" w:fill="FFFFFF"/>
        <w:rPr>
          <w:rFonts w:ascii="Times New Roman" w:hAnsi="Times New Roman"/>
          <w:color w:val="000000"/>
          <w:sz w:val="20"/>
          <w:szCs w:val="20"/>
        </w:rPr>
      </w:pPr>
      <w:r w:rsidRPr="00CD3645">
        <w:rPr>
          <w:rStyle w:val="FootnoteReference"/>
          <w:szCs w:val="20"/>
        </w:rPr>
        <w:footnoteRef/>
      </w:r>
      <w:r w:rsidRPr="00CD3645">
        <w:rPr>
          <w:rFonts w:ascii="Times New Roman" w:hAnsi="Times New Roman"/>
          <w:i/>
          <w:iCs/>
          <w:color w:val="000000"/>
          <w:sz w:val="20"/>
          <w:szCs w:val="20"/>
        </w:rPr>
        <w:t xml:space="preserve"> </w:t>
      </w:r>
      <w:r w:rsidRPr="00441103">
        <w:rPr>
          <w:rFonts w:ascii="Times New Roman" w:hAnsi="Times New Roman"/>
          <w:i/>
          <w:iCs/>
          <w:color w:val="000000"/>
          <w:sz w:val="20"/>
          <w:szCs w:val="20"/>
        </w:rPr>
        <w:t>Worldcom</w:t>
      </w:r>
      <w:r w:rsidRPr="00441103">
        <w:rPr>
          <w:rFonts w:ascii="Times New Roman" w:hAnsi="Times New Roman"/>
          <w:i/>
          <w:iCs/>
          <w:color w:val="000000"/>
          <w:sz w:val="20"/>
          <w:szCs w:val="20"/>
        </w:rPr>
        <w:t>, Inc</w:t>
      </w:r>
      <w:r w:rsidRPr="00441103">
        <w:rPr>
          <w:rFonts w:ascii="Times New Roman" w:hAnsi="Times New Roman"/>
          <w:color w:val="000000"/>
          <w:sz w:val="20"/>
          <w:szCs w:val="20"/>
        </w:rPr>
        <w:t>., 18 FCC Rcd 26484, 26503, para. 29 (2003);</w:t>
      </w:r>
      <w:r w:rsidRPr="00CD3645">
        <w:rPr>
          <w:rFonts w:ascii="Times New Roman" w:hAnsi="Times New Roman"/>
          <w:color w:val="000000"/>
          <w:sz w:val="20"/>
          <w:szCs w:val="20"/>
        </w:rPr>
        <w:t xml:space="preserve"> </w:t>
      </w:r>
      <w:r w:rsidRPr="00CD3645">
        <w:rPr>
          <w:rFonts w:ascii="Times New Roman" w:hAnsi="Times New Roman"/>
          <w:i/>
          <w:sz w:val="20"/>
          <w:szCs w:val="20"/>
        </w:rPr>
        <w:t>see also</w:t>
      </w:r>
      <w:r w:rsidRPr="00CD3645">
        <w:rPr>
          <w:rFonts w:ascii="Times New Roman" w:hAnsi="Times New Roman"/>
          <w:sz w:val="20"/>
          <w:szCs w:val="20"/>
        </w:rPr>
        <w:t xml:space="preserve"> </w:t>
      </w:r>
      <w:r w:rsidRPr="00CD3645">
        <w:rPr>
          <w:rFonts w:ascii="Times New Roman" w:hAnsi="Times New Roman"/>
          <w:i/>
          <w:sz w:val="20"/>
          <w:szCs w:val="20"/>
        </w:rPr>
        <w:t>LaRose</w:t>
      </w:r>
      <w:r w:rsidRPr="00CD3645">
        <w:rPr>
          <w:rFonts w:ascii="Times New Roman" w:hAnsi="Times New Roman"/>
          <w:sz w:val="20"/>
          <w:szCs w:val="20"/>
        </w:rPr>
        <w:t>, 494 F.2d at 1146 n</w:t>
      </w:r>
      <w:r>
        <w:rPr>
          <w:rFonts w:ascii="Times New Roman" w:hAnsi="Times New Roman"/>
          <w:sz w:val="20"/>
          <w:szCs w:val="20"/>
        </w:rPr>
        <w:t>.</w:t>
      </w:r>
      <w:r w:rsidRPr="00CD3645">
        <w:rPr>
          <w:rFonts w:ascii="Times New Roman" w:hAnsi="Times New Roman"/>
          <w:sz w:val="20"/>
          <w:szCs w:val="20"/>
        </w:rPr>
        <w:t>2</w:t>
      </w:r>
      <w:r>
        <w:rPr>
          <w:rFonts w:ascii="Times New Roman" w:hAnsi="Times New Roman"/>
          <w:sz w:val="20"/>
          <w:szCs w:val="20"/>
        </w:rPr>
        <w:t>.</w:t>
      </w:r>
    </w:p>
  </w:footnote>
  <w:footnote w:id="29">
    <w:p w:rsidR="006841ED" w:rsidP="006841ED" w14:paraId="65C9E91B" w14:textId="77777777">
      <w:pPr>
        <w:pStyle w:val="FootnoteText"/>
      </w:pPr>
      <w:r>
        <w:rPr>
          <w:rStyle w:val="FootnoteReference"/>
        </w:rPr>
        <w:footnoteRef/>
      </w:r>
      <w:r>
        <w:t xml:space="preserve"> </w:t>
      </w:r>
      <w:r w:rsidRPr="00CD3645">
        <w:rPr>
          <w:i/>
          <w:iCs/>
        </w:rPr>
        <w:t xml:space="preserve">Mobile Satellite Ventures Subsidiary LLC and </w:t>
      </w:r>
      <w:r w:rsidRPr="00CD3645">
        <w:rPr>
          <w:i/>
          <w:iCs/>
        </w:rPr>
        <w:t>SkyTerra</w:t>
      </w:r>
      <w:r w:rsidRPr="00CD3645">
        <w:rPr>
          <w:i/>
          <w:iCs/>
        </w:rPr>
        <w:t xml:space="preserve"> Communications Inc.</w:t>
      </w:r>
      <w:r w:rsidRPr="00CD3645">
        <w:t xml:space="preserve">, </w:t>
      </w:r>
      <w:r w:rsidRPr="00CD3645">
        <w:rPr>
          <w:i/>
          <w:iCs/>
        </w:rPr>
        <w:t>Petition for Declaratory Ruling Under Section 310(b)(4) of the Communications Act, as Amended</w:t>
      </w:r>
      <w:r w:rsidRPr="00CD3645">
        <w:t xml:space="preserve">, Order and Declaratory Ruling, 23 FCC Rcd 4436, 4444, para. 18 (2008) (granting the petitioners authority to hold on an interim basis up to a non-controlling 49.99% equity and voting interest in </w:t>
      </w:r>
      <w:r w:rsidRPr="00CD3645">
        <w:t>SkyTerra</w:t>
      </w:r>
      <w:r w:rsidRPr="00CD3645">
        <w:t xml:space="preserve"> Communications subject to and without prejudice to any action the Commission may take on the associated request for permanent authority).</w:t>
      </w:r>
      <w:r w:rsidRPr="007800C0">
        <w:t xml:space="preserve">  </w:t>
      </w:r>
    </w:p>
  </w:footnote>
  <w:footnote w:id="30">
    <w:p w:rsidR="006841ED" w:rsidP="006841ED" w14:paraId="0E00AAA5" w14:textId="77777777">
      <w:pPr>
        <w:pStyle w:val="FootnoteText"/>
      </w:pPr>
      <w:r>
        <w:rPr>
          <w:rStyle w:val="FootnoteReference"/>
        </w:rPr>
        <w:footnoteRef/>
      </w:r>
      <w:r>
        <w:t xml:space="preserve"> </w:t>
      </w:r>
      <w:r w:rsidRPr="00A24906">
        <w:rPr>
          <w:i/>
          <w:iCs/>
        </w:rPr>
        <w:t>See Fusion Connect, Inc., Debtor-In-Possession</w:t>
      </w:r>
      <w:r w:rsidRPr="00A24906">
        <w:t xml:space="preserve">, Public Notice, DA 20-43 (WCB 2020) (finding temporary and limited waiver of section 1.5000(a)(1) would effectively provide interim section 310(b)(4) authority only, in order to enable </w:t>
      </w:r>
      <w:r>
        <w:t>petitioner’s</w:t>
      </w:r>
      <w:r w:rsidRPr="00A24906">
        <w:t xml:space="preserve"> prompt emergence from bankruptcy while preserving the Commission</w:t>
      </w:r>
      <w:r>
        <w:t>’</w:t>
      </w:r>
      <w:r w:rsidRPr="00A24906">
        <w:t>s ability to review and rule on its proposed foreign ownership upon emergence from bankruptcy)</w:t>
      </w:r>
      <w:r>
        <w:t>;</w:t>
      </w:r>
      <w:r w:rsidRPr="00A24906">
        <w:t xml:space="preserve"> </w:t>
      </w:r>
      <w:r w:rsidRPr="00B409FA">
        <w:rPr>
          <w:i/>
          <w:iCs/>
        </w:rPr>
        <w:t>see also id</w:t>
      </w:r>
      <w:r w:rsidRPr="00A24906">
        <w:t xml:space="preserve">. (stating that “facilitating successful and timely emergence from bankruptcy </w:t>
      </w:r>
      <w:r>
        <w:t>‘</w:t>
      </w:r>
      <w:r w:rsidRPr="00A24906">
        <w:t>advances the public interest by providing economic and social benefits, especially including the compensation of innocent creditors</w:t>
      </w:r>
      <w:r>
        <w:t>’</w:t>
      </w:r>
      <w:r w:rsidRPr="00A2490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B95" w14:paraId="76A41B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31B95" w:rsidP="00D31B95" w14:paraId="13B2F5F1" w14:textId="63C8D98C">
    <w:pPr>
      <w:pStyle w:val="NoSpacing"/>
      <w:ind w:left="2160" w:firstLine="720"/>
      <w:rPr>
        <w:rFonts w:ascii="Times New Roman" w:hAnsi="Times New Roman"/>
        <w:b/>
        <w:bCs/>
      </w:rPr>
    </w:pPr>
    <w:r w:rsidRPr="00D31B95">
      <w:rPr>
        <w:rFonts w:ascii="Times New Roman" w:hAnsi="Times New Roman"/>
        <w:b/>
        <w:bCs/>
      </w:rPr>
      <w:t>Federal Communications Commission</w:t>
    </w:r>
    <w:r w:rsidRPr="00D31B95">
      <w:rPr>
        <w:rFonts w:ascii="Times New Roman" w:hAnsi="Times New Roman"/>
        <w:b/>
        <w:bCs/>
      </w:rPr>
      <w:tab/>
    </w:r>
    <w:r w:rsidR="00D31B95">
      <w:rPr>
        <w:rFonts w:ascii="Times New Roman" w:hAnsi="Times New Roman"/>
        <w:b/>
        <w:bCs/>
      </w:rPr>
      <w:t xml:space="preserve">   </w:t>
    </w:r>
    <w:r w:rsidR="00D31B95">
      <w:rPr>
        <w:rFonts w:ascii="Times New Roman" w:hAnsi="Times New Roman"/>
        <w:b/>
        <w:bCs/>
      </w:rPr>
      <w:tab/>
    </w:r>
    <w:r w:rsidR="00D31B95">
      <w:rPr>
        <w:rFonts w:ascii="Times New Roman" w:hAnsi="Times New Roman"/>
        <w:b/>
        <w:bCs/>
      </w:rPr>
      <w:tab/>
    </w:r>
    <w:r w:rsidR="00D31B95">
      <w:rPr>
        <w:rFonts w:ascii="Times New Roman" w:hAnsi="Times New Roman"/>
        <w:b/>
        <w:bCs/>
      </w:rPr>
      <w:t>DA 21-426</w:t>
    </w:r>
  </w:p>
  <w:p w:rsidR="00D25FB5" w:rsidRPr="00D31B95" w:rsidP="00D31B95" w14:paraId="5391EA14" w14:textId="77777777">
    <w:pPr>
      <w:tabs>
        <w:tab w:val="left" w:pos="-720"/>
      </w:tabs>
      <w:suppressAutoHyphens/>
      <w:spacing w:line="19" w:lineRule="exact"/>
      <w:jc w:val="center"/>
      <w:rPr>
        <w:rFonts w:ascii="Times New Roman" w:hAnsi="Times New Roman"/>
        <w:b/>
        <w:bCs/>
        <w:spacing w:val="-2"/>
      </w:rPr>
    </w:pPr>
    <w:r>
      <w:rPr>
        <w:rFonts w:ascii="Times New Roman" w:hAnsi="Times New Roman"/>
        <w:b/>
        <w:bCs/>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804FC2" w14:paraId="1FCDDEB4" w14:textId="77777777">
    <w:pPr>
      <w:spacing w:after="389" w:line="100" w:lineRule="exact"/>
      <w:rPr>
        <w:rFonts w:ascii="Times New Roman" w:hAnsi="Times New Roman"/>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04FC2" w:rsidP="00804FC2" w14:paraId="222E6EB4" w14:textId="2859238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804FC2">
      <w:tab/>
      <w:t>Federal Communications Commission</w:t>
    </w:r>
    <w:r w:rsidRPr="00804FC2">
      <w:tab/>
    </w:r>
    <w:r w:rsidR="00D31B95">
      <w:t>DA 21-426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CE"/>
    <w:rsid w:val="0001295E"/>
    <w:rsid w:val="00020A70"/>
    <w:rsid w:val="00036039"/>
    <w:rsid w:val="00037F90"/>
    <w:rsid w:val="00040778"/>
    <w:rsid w:val="00045403"/>
    <w:rsid w:val="00046661"/>
    <w:rsid w:val="000512C3"/>
    <w:rsid w:val="00063F6E"/>
    <w:rsid w:val="0006608D"/>
    <w:rsid w:val="00070019"/>
    <w:rsid w:val="00086C33"/>
    <w:rsid w:val="000875BF"/>
    <w:rsid w:val="00090DB0"/>
    <w:rsid w:val="00092DD6"/>
    <w:rsid w:val="00093DB0"/>
    <w:rsid w:val="00095540"/>
    <w:rsid w:val="00096D8C"/>
    <w:rsid w:val="000A0A29"/>
    <w:rsid w:val="000C0B65"/>
    <w:rsid w:val="000C452F"/>
    <w:rsid w:val="000C6964"/>
    <w:rsid w:val="000D2BCA"/>
    <w:rsid w:val="000D52DD"/>
    <w:rsid w:val="000D62A9"/>
    <w:rsid w:val="000E05FE"/>
    <w:rsid w:val="000E3D42"/>
    <w:rsid w:val="000E4FFF"/>
    <w:rsid w:val="000E5675"/>
    <w:rsid w:val="000F45DE"/>
    <w:rsid w:val="000F7C2C"/>
    <w:rsid w:val="00105894"/>
    <w:rsid w:val="0010718E"/>
    <w:rsid w:val="00114872"/>
    <w:rsid w:val="0011528A"/>
    <w:rsid w:val="00122BD5"/>
    <w:rsid w:val="00123724"/>
    <w:rsid w:val="00123E7B"/>
    <w:rsid w:val="001263CA"/>
    <w:rsid w:val="00126A1A"/>
    <w:rsid w:val="00133F79"/>
    <w:rsid w:val="00141CF2"/>
    <w:rsid w:val="001577B3"/>
    <w:rsid w:val="00161768"/>
    <w:rsid w:val="00164105"/>
    <w:rsid w:val="001826C8"/>
    <w:rsid w:val="00182926"/>
    <w:rsid w:val="00182E36"/>
    <w:rsid w:val="00185B7C"/>
    <w:rsid w:val="00194261"/>
    <w:rsid w:val="00194A66"/>
    <w:rsid w:val="001A2EE4"/>
    <w:rsid w:val="001B2344"/>
    <w:rsid w:val="001B64A9"/>
    <w:rsid w:val="001C3039"/>
    <w:rsid w:val="001C78BD"/>
    <w:rsid w:val="001D0AB9"/>
    <w:rsid w:val="001D28F2"/>
    <w:rsid w:val="001D6BCF"/>
    <w:rsid w:val="001E01CA"/>
    <w:rsid w:val="001E6A2C"/>
    <w:rsid w:val="00206687"/>
    <w:rsid w:val="00214024"/>
    <w:rsid w:val="00221CA3"/>
    <w:rsid w:val="0022216B"/>
    <w:rsid w:val="00227B0F"/>
    <w:rsid w:val="00227C99"/>
    <w:rsid w:val="00252C0F"/>
    <w:rsid w:val="002538CF"/>
    <w:rsid w:val="002628EA"/>
    <w:rsid w:val="002703B1"/>
    <w:rsid w:val="00275CF5"/>
    <w:rsid w:val="00276DBA"/>
    <w:rsid w:val="0028301F"/>
    <w:rsid w:val="00285017"/>
    <w:rsid w:val="002A2D2E"/>
    <w:rsid w:val="002A523D"/>
    <w:rsid w:val="002B53DE"/>
    <w:rsid w:val="002C00E8"/>
    <w:rsid w:val="002C3C6A"/>
    <w:rsid w:val="002C64C5"/>
    <w:rsid w:val="002E3798"/>
    <w:rsid w:val="002E5BEA"/>
    <w:rsid w:val="002F4B58"/>
    <w:rsid w:val="003003A1"/>
    <w:rsid w:val="00301981"/>
    <w:rsid w:val="00302FEC"/>
    <w:rsid w:val="003054FC"/>
    <w:rsid w:val="00317B39"/>
    <w:rsid w:val="00324005"/>
    <w:rsid w:val="00331C28"/>
    <w:rsid w:val="0033243D"/>
    <w:rsid w:val="003357A8"/>
    <w:rsid w:val="003419EF"/>
    <w:rsid w:val="00343749"/>
    <w:rsid w:val="00343C4D"/>
    <w:rsid w:val="00345CCE"/>
    <w:rsid w:val="003660ED"/>
    <w:rsid w:val="00374C3A"/>
    <w:rsid w:val="00376130"/>
    <w:rsid w:val="0038673E"/>
    <w:rsid w:val="003902DE"/>
    <w:rsid w:val="00394673"/>
    <w:rsid w:val="003B0550"/>
    <w:rsid w:val="003B694F"/>
    <w:rsid w:val="003C3CDB"/>
    <w:rsid w:val="003C723C"/>
    <w:rsid w:val="003E08B6"/>
    <w:rsid w:val="003E59FF"/>
    <w:rsid w:val="003E67DB"/>
    <w:rsid w:val="003E6CC3"/>
    <w:rsid w:val="003F171C"/>
    <w:rsid w:val="003F5C88"/>
    <w:rsid w:val="004126BA"/>
    <w:rsid w:val="00412FC5"/>
    <w:rsid w:val="00413385"/>
    <w:rsid w:val="00422276"/>
    <w:rsid w:val="004242F1"/>
    <w:rsid w:val="00427F23"/>
    <w:rsid w:val="00434535"/>
    <w:rsid w:val="00434EAC"/>
    <w:rsid w:val="0043583B"/>
    <w:rsid w:val="00437333"/>
    <w:rsid w:val="00441103"/>
    <w:rsid w:val="004432CA"/>
    <w:rsid w:val="00445411"/>
    <w:rsid w:val="00445A00"/>
    <w:rsid w:val="0044648C"/>
    <w:rsid w:val="00451B0F"/>
    <w:rsid w:val="0046583F"/>
    <w:rsid w:val="0046625C"/>
    <w:rsid w:val="0046640F"/>
    <w:rsid w:val="00467656"/>
    <w:rsid w:val="00477E56"/>
    <w:rsid w:val="00482082"/>
    <w:rsid w:val="00493BF8"/>
    <w:rsid w:val="00497D8D"/>
    <w:rsid w:val="004A2FAF"/>
    <w:rsid w:val="004A56B3"/>
    <w:rsid w:val="004B744D"/>
    <w:rsid w:val="004C0900"/>
    <w:rsid w:val="004C2EE3"/>
    <w:rsid w:val="004C7AB5"/>
    <w:rsid w:val="004D0935"/>
    <w:rsid w:val="004D10D5"/>
    <w:rsid w:val="004E4A22"/>
    <w:rsid w:val="004F1C51"/>
    <w:rsid w:val="004F559C"/>
    <w:rsid w:val="005005B6"/>
    <w:rsid w:val="00500EAA"/>
    <w:rsid w:val="00511968"/>
    <w:rsid w:val="005254AA"/>
    <w:rsid w:val="00540161"/>
    <w:rsid w:val="00555A06"/>
    <w:rsid w:val="0055614C"/>
    <w:rsid w:val="00560B9D"/>
    <w:rsid w:val="00561B1A"/>
    <w:rsid w:val="00563FB6"/>
    <w:rsid w:val="00566D06"/>
    <w:rsid w:val="00570D96"/>
    <w:rsid w:val="00571CCC"/>
    <w:rsid w:val="00575B63"/>
    <w:rsid w:val="005804B0"/>
    <w:rsid w:val="00584E41"/>
    <w:rsid w:val="00586FCB"/>
    <w:rsid w:val="00590F14"/>
    <w:rsid w:val="00596743"/>
    <w:rsid w:val="005A105E"/>
    <w:rsid w:val="005A5790"/>
    <w:rsid w:val="005D500F"/>
    <w:rsid w:val="005E0A52"/>
    <w:rsid w:val="005E14C2"/>
    <w:rsid w:val="005E7B57"/>
    <w:rsid w:val="005F39A9"/>
    <w:rsid w:val="006008FA"/>
    <w:rsid w:val="0060283E"/>
    <w:rsid w:val="00604CDA"/>
    <w:rsid w:val="00606362"/>
    <w:rsid w:val="00607BA5"/>
    <w:rsid w:val="0061180A"/>
    <w:rsid w:val="00611EE9"/>
    <w:rsid w:val="00626EB6"/>
    <w:rsid w:val="00632639"/>
    <w:rsid w:val="00654518"/>
    <w:rsid w:val="00655D03"/>
    <w:rsid w:val="006610BD"/>
    <w:rsid w:val="00667B82"/>
    <w:rsid w:val="00675491"/>
    <w:rsid w:val="00675EE6"/>
    <w:rsid w:val="0067632B"/>
    <w:rsid w:val="00682956"/>
    <w:rsid w:val="00683388"/>
    <w:rsid w:val="00683F84"/>
    <w:rsid w:val="006841ED"/>
    <w:rsid w:val="00695283"/>
    <w:rsid w:val="006A5142"/>
    <w:rsid w:val="006A6A81"/>
    <w:rsid w:val="006B2128"/>
    <w:rsid w:val="006B3B5C"/>
    <w:rsid w:val="006B62B6"/>
    <w:rsid w:val="006C57A5"/>
    <w:rsid w:val="006C69EE"/>
    <w:rsid w:val="006C7E7E"/>
    <w:rsid w:val="006E3C61"/>
    <w:rsid w:val="006E7BC3"/>
    <w:rsid w:val="006F3F53"/>
    <w:rsid w:val="006F7393"/>
    <w:rsid w:val="006F7E37"/>
    <w:rsid w:val="0070224F"/>
    <w:rsid w:val="007115F7"/>
    <w:rsid w:val="0072052A"/>
    <w:rsid w:val="007314C1"/>
    <w:rsid w:val="00736B9F"/>
    <w:rsid w:val="00750C41"/>
    <w:rsid w:val="007538A3"/>
    <w:rsid w:val="00763AE0"/>
    <w:rsid w:val="00766D74"/>
    <w:rsid w:val="00770CD2"/>
    <w:rsid w:val="007800C0"/>
    <w:rsid w:val="00782D59"/>
    <w:rsid w:val="00785689"/>
    <w:rsid w:val="007901C1"/>
    <w:rsid w:val="00790710"/>
    <w:rsid w:val="007944E7"/>
    <w:rsid w:val="0079754B"/>
    <w:rsid w:val="007A1E6D"/>
    <w:rsid w:val="007A2E34"/>
    <w:rsid w:val="007A30ED"/>
    <w:rsid w:val="007A7DF5"/>
    <w:rsid w:val="007B0EB2"/>
    <w:rsid w:val="007B646B"/>
    <w:rsid w:val="007C4A21"/>
    <w:rsid w:val="007C543E"/>
    <w:rsid w:val="007D4120"/>
    <w:rsid w:val="007D4DE3"/>
    <w:rsid w:val="007D5BCA"/>
    <w:rsid w:val="007E04D1"/>
    <w:rsid w:val="007E2519"/>
    <w:rsid w:val="007E5472"/>
    <w:rsid w:val="007E7E95"/>
    <w:rsid w:val="008013C5"/>
    <w:rsid w:val="00804FC2"/>
    <w:rsid w:val="00806096"/>
    <w:rsid w:val="00810B6F"/>
    <w:rsid w:val="00822CE0"/>
    <w:rsid w:val="008240FA"/>
    <w:rsid w:val="0083021F"/>
    <w:rsid w:val="0083213C"/>
    <w:rsid w:val="00834C68"/>
    <w:rsid w:val="00841AB1"/>
    <w:rsid w:val="008432ED"/>
    <w:rsid w:val="00844F95"/>
    <w:rsid w:val="0084537A"/>
    <w:rsid w:val="00845905"/>
    <w:rsid w:val="00847B80"/>
    <w:rsid w:val="00850876"/>
    <w:rsid w:val="00852F0D"/>
    <w:rsid w:val="00853E79"/>
    <w:rsid w:val="008568BE"/>
    <w:rsid w:val="008568FA"/>
    <w:rsid w:val="00863E14"/>
    <w:rsid w:val="008770FC"/>
    <w:rsid w:val="00882142"/>
    <w:rsid w:val="008A0B81"/>
    <w:rsid w:val="008A4BC2"/>
    <w:rsid w:val="008A7518"/>
    <w:rsid w:val="008C68F1"/>
    <w:rsid w:val="008C7C9E"/>
    <w:rsid w:val="008D118F"/>
    <w:rsid w:val="008D3333"/>
    <w:rsid w:val="008D5B28"/>
    <w:rsid w:val="008E081D"/>
    <w:rsid w:val="008F014C"/>
    <w:rsid w:val="00903CC5"/>
    <w:rsid w:val="00906866"/>
    <w:rsid w:val="0090796D"/>
    <w:rsid w:val="00911F68"/>
    <w:rsid w:val="0092178F"/>
    <w:rsid w:val="00921803"/>
    <w:rsid w:val="009236D8"/>
    <w:rsid w:val="00926503"/>
    <w:rsid w:val="0092670F"/>
    <w:rsid w:val="00932119"/>
    <w:rsid w:val="00937536"/>
    <w:rsid w:val="0095419F"/>
    <w:rsid w:val="009722BC"/>
    <w:rsid w:val="009726D8"/>
    <w:rsid w:val="00985A1D"/>
    <w:rsid w:val="00992B46"/>
    <w:rsid w:val="00994A01"/>
    <w:rsid w:val="00996010"/>
    <w:rsid w:val="009B4761"/>
    <w:rsid w:val="009B7AC6"/>
    <w:rsid w:val="009C392F"/>
    <w:rsid w:val="009D033F"/>
    <w:rsid w:val="009D6FD7"/>
    <w:rsid w:val="009D7308"/>
    <w:rsid w:val="009E59F6"/>
    <w:rsid w:val="009F76DB"/>
    <w:rsid w:val="00A00B3E"/>
    <w:rsid w:val="00A00F7B"/>
    <w:rsid w:val="00A0421E"/>
    <w:rsid w:val="00A04E39"/>
    <w:rsid w:val="00A07659"/>
    <w:rsid w:val="00A1242B"/>
    <w:rsid w:val="00A12C8F"/>
    <w:rsid w:val="00A13213"/>
    <w:rsid w:val="00A15BB1"/>
    <w:rsid w:val="00A24906"/>
    <w:rsid w:val="00A27374"/>
    <w:rsid w:val="00A278D4"/>
    <w:rsid w:val="00A32C3B"/>
    <w:rsid w:val="00A45F4F"/>
    <w:rsid w:val="00A468C2"/>
    <w:rsid w:val="00A600A9"/>
    <w:rsid w:val="00A6407A"/>
    <w:rsid w:val="00A65EDA"/>
    <w:rsid w:val="00A72586"/>
    <w:rsid w:val="00A738EB"/>
    <w:rsid w:val="00A821B0"/>
    <w:rsid w:val="00A83295"/>
    <w:rsid w:val="00A83D43"/>
    <w:rsid w:val="00A85DDA"/>
    <w:rsid w:val="00A960C4"/>
    <w:rsid w:val="00AA55B7"/>
    <w:rsid w:val="00AA5B9E"/>
    <w:rsid w:val="00AB2407"/>
    <w:rsid w:val="00AB3920"/>
    <w:rsid w:val="00AB53DF"/>
    <w:rsid w:val="00AB62F3"/>
    <w:rsid w:val="00AB79E6"/>
    <w:rsid w:val="00AC15B4"/>
    <w:rsid w:val="00AC403A"/>
    <w:rsid w:val="00AC5D65"/>
    <w:rsid w:val="00AD2666"/>
    <w:rsid w:val="00AD65E0"/>
    <w:rsid w:val="00AE07CA"/>
    <w:rsid w:val="00AF1A70"/>
    <w:rsid w:val="00B00820"/>
    <w:rsid w:val="00B04592"/>
    <w:rsid w:val="00B074C8"/>
    <w:rsid w:val="00B07D0A"/>
    <w:rsid w:val="00B07E5C"/>
    <w:rsid w:val="00B214DF"/>
    <w:rsid w:val="00B216E6"/>
    <w:rsid w:val="00B23589"/>
    <w:rsid w:val="00B311C3"/>
    <w:rsid w:val="00B409FA"/>
    <w:rsid w:val="00B414C6"/>
    <w:rsid w:val="00B41FB7"/>
    <w:rsid w:val="00B46008"/>
    <w:rsid w:val="00B66BEA"/>
    <w:rsid w:val="00B71A47"/>
    <w:rsid w:val="00B71A8D"/>
    <w:rsid w:val="00B7620B"/>
    <w:rsid w:val="00B811F7"/>
    <w:rsid w:val="00B8195E"/>
    <w:rsid w:val="00B82F2D"/>
    <w:rsid w:val="00B84C98"/>
    <w:rsid w:val="00B868B4"/>
    <w:rsid w:val="00B945E1"/>
    <w:rsid w:val="00B95FCA"/>
    <w:rsid w:val="00BA28D6"/>
    <w:rsid w:val="00BA5DC6"/>
    <w:rsid w:val="00BA6196"/>
    <w:rsid w:val="00BB16A3"/>
    <w:rsid w:val="00BB78E6"/>
    <w:rsid w:val="00BB78EB"/>
    <w:rsid w:val="00BC113D"/>
    <w:rsid w:val="00BC6D8C"/>
    <w:rsid w:val="00BC6EAA"/>
    <w:rsid w:val="00BC7C12"/>
    <w:rsid w:val="00BD12D2"/>
    <w:rsid w:val="00BD22C5"/>
    <w:rsid w:val="00BE5D4D"/>
    <w:rsid w:val="00BE7BEA"/>
    <w:rsid w:val="00BF4109"/>
    <w:rsid w:val="00C00016"/>
    <w:rsid w:val="00C10D8C"/>
    <w:rsid w:val="00C1522F"/>
    <w:rsid w:val="00C20D68"/>
    <w:rsid w:val="00C21FD0"/>
    <w:rsid w:val="00C2289F"/>
    <w:rsid w:val="00C33678"/>
    <w:rsid w:val="00C34006"/>
    <w:rsid w:val="00C35826"/>
    <w:rsid w:val="00C36B4C"/>
    <w:rsid w:val="00C37DE6"/>
    <w:rsid w:val="00C41F68"/>
    <w:rsid w:val="00C41F93"/>
    <w:rsid w:val="00C426B1"/>
    <w:rsid w:val="00C43DCE"/>
    <w:rsid w:val="00C4649F"/>
    <w:rsid w:val="00C51A0B"/>
    <w:rsid w:val="00C52ABE"/>
    <w:rsid w:val="00C62ED4"/>
    <w:rsid w:val="00C66160"/>
    <w:rsid w:val="00C679C4"/>
    <w:rsid w:val="00C70DE2"/>
    <w:rsid w:val="00C71070"/>
    <w:rsid w:val="00C721AC"/>
    <w:rsid w:val="00C90D6A"/>
    <w:rsid w:val="00C90FDB"/>
    <w:rsid w:val="00C97D26"/>
    <w:rsid w:val="00CA247E"/>
    <w:rsid w:val="00CA5481"/>
    <w:rsid w:val="00CA56E3"/>
    <w:rsid w:val="00CA6D21"/>
    <w:rsid w:val="00CC39A7"/>
    <w:rsid w:val="00CC4178"/>
    <w:rsid w:val="00CC504C"/>
    <w:rsid w:val="00CC72B6"/>
    <w:rsid w:val="00CD3645"/>
    <w:rsid w:val="00CE61DC"/>
    <w:rsid w:val="00CE61E4"/>
    <w:rsid w:val="00CF487D"/>
    <w:rsid w:val="00CF6825"/>
    <w:rsid w:val="00D0218D"/>
    <w:rsid w:val="00D03FE9"/>
    <w:rsid w:val="00D0672E"/>
    <w:rsid w:val="00D13E80"/>
    <w:rsid w:val="00D1782D"/>
    <w:rsid w:val="00D25FB5"/>
    <w:rsid w:val="00D31B95"/>
    <w:rsid w:val="00D3751E"/>
    <w:rsid w:val="00D42657"/>
    <w:rsid w:val="00D44223"/>
    <w:rsid w:val="00D4480B"/>
    <w:rsid w:val="00D50D76"/>
    <w:rsid w:val="00D53A8F"/>
    <w:rsid w:val="00D55076"/>
    <w:rsid w:val="00D55218"/>
    <w:rsid w:val="00D70A0B"/>
    <w:rsid w:val="00D71AF7"/>
    <w:rsid w:val="00D73EA9"/>
    <w:rsid w:val="00D73FE2"/>
    <w:rsid w:val="00D77CD0"/>
    <w:rsid w:val="00D95494"/>
    <w:rsid w:val="00DA2529"/>
    <w:rsid w:val="00DB130A"/>
    <w:rsid w:val="00DB2EBB"/>
    <w:rsid w:val="00DB36BB"/>
    <w:rsid w:val="00DC101B"/>
    <w:rsid w:val="00DC10A1"/>
    <w:rsid w:val="00DC36BE"/>
    <w:rsid w:val="00DC655F"/>
    <w:rsid w:val="00DD0B59"/>
    <w:rsid w:val="00DD3671"/>
    <w:rsid w:val="00DD66EE"/>
    <w:rsid w:val="00DD7EBD"/>
    <w:rsid w:val="00DE4848"/>
    <w:rsid w:val="00DE6CF3"/>
    <w:rsid w:val="00DF5151"/>
    <w:rsid w:val="00DF62B6"/>
    <w:rsid w:val="00DF74CB"/>
    <w:rsid w:val="00E007EB"/>
    <w:rsid w:val="00E0583C"/>
    <w:rsid w:val="00E07225"/>
    <w:rsid w:val="00E11236"/>
    <w:rsid w:val="00E24FD4"/>
    <w:rsid w:val="00E378EB"/>
    <w:rsid w:val="00E43301"/>
    <w:rsid w:val="00E50CA3"/>
    <w:rsid w:val="00E51A86"/>
    <w:rsid w:val="00E528CB"/>
    <w:rsid w:val="00E5409F"/>
    <w:rsid w:val="00E556F8"/>
    <w:rsid w:val="00E61291"/>
    <w:rsid w:val="00E74774"/>
    <w:rsid w:val="00E82E37"/>
    <w:rsid w:val="00E848C2"/>
    <w:rsid w:val="00E87221"/>
    <w:rsid w:val="00E93256"/>
    <w:rsid w:val="00EA3592"/>
    <w:rsid w:val="00EB6532"/>
    <w:rsid w:val="00EB79DF"/>
    <w:rsid w:val="00ED4518"/>
    <w:rsid w:val="00ED74CB"/>
    <w:rsid w:val="00EE1345"/>
    <w:rsid w:val="00EE4EDD"/>
    <w:rsid w:val="00EE6488"/>
    <w:rsid w:val="00EF64BE"/>
    <w:rsid w:val="00F021FA"/>
    <w:rsid w:val="00F02E76"/>
    <w:rsid w:val="00F0775F"/>
    <w:rsid w:val="00F171EB"/>
    <w:rsid w:val="00F25999"/>
    <w:rsid w:val="00F27D37"/>
    <w:rsid w:val="00F40E00"/>
    <w:rsid w:val="00F41D90"/>
    <w:rsid w:val="00F427CA"/>
    <w:rsid w:val="00F446A1"/>
    <w:rsid w:val="00F45566"/>
    <w:rsid w:val="00F51008"/>
    <w:rsid w:val="00F52EDD"/>
    <w:rsid w:val="00F620CB"/>
    <w:rsid w:val="00F62E97"/>
    <w:rsid w:val="00F63400"/>
    <w:rsid w:val="00F63B76"/>
    <w:rsid w:val="00F64209"/>
    <w:rsid w:val="00F65316"/>
    <w:rsid w:val="00F65D08"/>
    <w:rsid w:val="00F73D2B"/>
    <w:rsid w:val="00F81ED4"/>
    <w:rsid w:val="00F82329"/>
    <w:rsid w:val="00F82721"/>
    <w:rsid w:val="00F93BF5"/>
    <w:rsid w:val="00F969B9"/>
    <w:rsid w:val="00FA7644"/>
    <w:rsid w:val="00FA7C65"/>
    <w:rsid w:val="00FB3267"/>
    <w:rsid w:val="00FB61BB"/>
    <w:rsid w:val="00FC2D58"/>
    <w:rsid w:val="00FC5D94"/>
    <w:rsid w:val="00FC6819"/>
    <w:rsid w:val="00FC734F"/>
    <w:rsid w:val="00FD0E55"/>
    <w:rsid w:val="00FD19EA"/>
    <w:rsid w:val="00FD79FA"/>
    <w:rsid w:val="00FF4A84"/>
    <w:rsid w:val="00FF78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9D6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BE"/>
    <w:pPr>
      <w:spacing w:after="160" w:line="259" w:lineRule="auto"/>
    </w:pPr>
    <w:rPr>
      <w:rFonts w:ascii="Calibri" w:eastAsia="Calibri" w:hAnsi="Calibri"/>
      <w:sz w:val="22"/>
      <w:szCs w:val="22"/>
    </w:rPr>
  </w:style>
  <w:style w:type="paragraph" w:styleId="Heading1">
    <w:name w:val="heading 1"/>
    <w:basedOn w:val="Normal"/>
    <w:next w:val="ParaNum"/>
    <w:qFormat/>
    <w:rsid w:val="000A0A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0A29"/>
    <w:pPr>
      <w:keepNext/>
      <w:numPr>
        <w:ilvl w:val="1"/>
        <w:numId w:val="3"/>
      </w:numPr>
      <w:spacing w:after="120"/>
      <w:outlineLvl w:val="1"/>
    </w:pPr>
    <w:rPr>
      <w:b/>
    </w:rPr>
  </w:style>
  <w:style w:type="paragraph" w:styleId="Heading3">
    <w:name w:val="heading 3"/>
    <w:basedOn w:val="Normal"/>
    <w:next w:val="ParaNum"/>
    <w:qFormat/>
    <w:rsid w:val="000A0A29"/>
    <w:pPr>
      <w:keepNext/>
      <w:numPr>
        <w:ilvl w:val="2"/>
        <w:numId w:val="3"/>
      </w:numPr>
      <w:tabs>
        <w:tab w:val="left" w:pos="2160"/>
      </w:tabs>
      <w:spacing w:after="120"/>
      <w:outlineLvl w:val="2"/>
    </w:pPr>
    <w:rPr>
      <w:b/>
    </w:rPr>
  </w:style>
  <w:style w:type="paragraph" w:styleId="Heading4">
    <w:name w:val="heading 4"/>
    <w:basedOn w:val="Normal"/>
    <w:next w:val="ParaNum"/>
    <w:qFormat/>
    <w:rsid w:val="000A0A29"/>
    <w:pPr>
      <w:keepNext/>
      <w:numPr>
        <w:ilvl w:val="3"/>
        <w:numId w:val="3"/>
      </w:numPr>
      <w:tabs>
        <w:tab w:val="left" w:pos="2880"/>
      </w:tabs>
      <w:spacing w:after="120"/>
      <w:outlineLvl w:val="3"/>
    </w:pPr>
    <w:rPr>
      <w:b/>
    </w:rPr>
  </w:style>
  <w:style w:type="paragraph" w:styleId="Heading5">
    <w:name w:val="heading 5"/>
    <w:basedOn w:val="Normal"/>
    <w:next w:val="ParaNum"/>
    <w:qFormat/>
    <w:rsid w:val="000A0A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0A29"/>
    <w:pPr>
      <w:numPr>
        <w:ilvl w:val="5"/>
        <w:numId w:val="3"/>
      </w:numPr>
      <w:tabs>
        <w:tab w:val="left" w:pos="4320"/>
      </w:tabs>
      <w:spacing w:after="120"/>
      <w:outlineLvl w:val="5"/>
    </w:pPr>
    <w:rPr>
      <w:b/>
    </w:rPr>
  </w:style>
  <w:style w:type="paragraph" w:styleId="Heading7">
    <w:name w:val="heading 7"/>
    <w:basedOn w:val="Normal"/>
    <w:next w:val="ParaNum"/>
    <w:qFormat/>
    <w:rsid w:val="000A0A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0A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0A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EF64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4BE"/>
  </w:style>
  <w:style w:type="paragraph" w:customStyle="1" w:styleId="ParaNum">
    <w:name w:val="ParaNum"/>
    <w:basedOn w:val="Normal"/>
    <w:rsid w:val="000A0A29"/>
    <w:pPr>
      <w:numPr>
        <w:numId w:val="2"/>
      </w:numPr>
      <w:spacing w:after="120"/>
    </w:pPr>
  </w:style>
  <w:style w:type="paragraph" w:styleId="EndnoteText">
    <w:name w:val="endnote text"/>
    <w:basedOn w:val="Normal"/>
    <w:semiHidden/>
    <w:rsid w:val="000A0A29"/>
    <w:rPr>
      <w:sz w:val="20"/>
    </w:rPr>
  </w:style>
  <w:style w:type="character" w:styleId="EndnoteReference">
    <w:name w:val="endnote reference"/>
    <w:semiHidden/>
    <w:rsid w:val="000A0A29"/>
    <w:rPr>
      <w:vertAlign w:val="superscript"/>
    </w:rPr>
  </w:style>
  <w:style w:type="paragraph" w:styleId="FootnoteText">
    <w:name w:val="footnote text"/>
    <w:aliases w:val="Footnote Text Char Char Char Char Char Char,Footnote Text Char Char1 Char Char,Footnote Text Char1,Footnote Text Char1 Char Char Char Char,Footnote Text Char2 Char Char,Footnote Text Char3 Char,Footnote Text Char4 Char1,Footnote Text Char7"/>
    <w:link w:val="FootnoteTextChar"/>
    <w:rsid w:val="00A24906"/>
    <w:pPr>
      <w:keepLines/>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0A0A29"/>
    <w:rPr>
      <w:rFonts w:ascii="Times New Roman" w:hAnsi="Times New Roman"/>
      <w:dstrike w:val="0"/>
      <w:color w:val="auto"/>
      <w:sz w:val="20"/>
      <w:vertAlign w:val="superscript"/>
    </w:rPr>
  </w:style>
  <w:style w:type="paragraph" w:styleId="TOC1">
    <w:name w:val="toc 1"/>
    <w:basedOn w:val="Normal"/>
    <w:next w:val="Normal"/>
    <w:semiHidden/>
    <w:rsid w:val="000A0A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0A29"/>
    <w:pPr>
      <w:tabs>
        <w:tab w:val="left" w:pos="720"/>
        <w:tab w:val="right" w:leader="dot" w:pos="9360"/>
      </w:tabs>
      <w:suppressAutoHyphens/>
      <w:ind w:left="720" w:right="720" w:hanging="360"/>
    </w:pPr>
    <w:rPr>
      <w:noProof/>
    </w:rPr>
  </w:style>
  <w:style w:type="paragraph" w:styleId="TOC3">
    <w:name w:val="toc 3"/>
    <w:basedOn w:val="Normal"/>
    <w:next w:val="Normal"/>
    <w:semiHidden/>
    <w:rsid w:val="000A0A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0A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0A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0A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0A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0A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0A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0A29"/>
    <w:pPr>
      <w:tabs>
        <w:tab w:val="right" w:pos="9360"/>
      </w:tabs>
      <w:suppressAutoHyphens/>
    </w:pPr>
  </w:style>
  <w:style w:type="character" w:customStyle="1" w:styleId="EquationCaption">
    <w:name w:val="_Equation Caption"/>
    <w:rsid w:val="000A0A29"/>
  </w:style>
  <w:style w:type="paragraph" w:styleId="Header">
    <w:name w:val="header"/>
    <w:basedOn w:val="Normal"/>
    <w:autoRedefine/>
    <w:rsid w:val="00804FC2"/>
    <w:pPr>
      <w:tabs>
        <w:tab w:val="center" w:pos="4680"/>
        <w:tab w:val="right" w:pos="9360"/>
      </w:tabs>
    </w:pPr>
    <w:rPr>
      <w:rFonts w:ascii="Times New Roman" w:hAnsi="Times New Roman"/>
      <w:b/>
    </w:rPr>
  </w:style>
  <w:style w:type="paragraph" w:styleId="Footer">
    <w:name w:val="footer"/>
    <w:basedOn w:val="Normal"/>
    <w:link w:val="FooterChar"/>
    <w:uiPriority w:val="99"/>
    <w:rsid w:val="000A0A29"/>
    <w:pPr>
      <w:tabs>
        <w:tab w:val="center" w:pos="4320"/>
        <w:tab w:val="right" w:pos="8640"/>
      </w:tabs>
    </w:pPr>
  </w:style>
  <w:style w:type="character" w:styleId="PageNumber">
    <w:name w:val="page number"/>
    <w:rsid w:val="000A0A29"/>
  </w:style>
  <w:style w:type="paragraph" w:styleId="BlockText">
    <w:name w:val="Block Text"/>
    <w:basedOn w:val="Normal"/>
    <w:rsid w:val="000A0A29"/>
    <w:pPr>
      <w:spacing w:after="240"/>
      <w:ind w:left="1440" w:right="1440"/>
    </w:pPr>
  </w:style>
  <w:style w:type="paragraph" w:customStyle="1" w:styleId="Paratitle">
    <w:name w:val="Para title"/>
    <w:basedOn w:val="Normal"/>
    <w:rsid w:val="000A0A29"/>
    <w:pPr>
      <w:tabs>
        <w:tab w:val="center" w:pos="9270"/>
      </w:tabs>
      <w:spacing w:after="240"/>
    </w:pPr>
    <w:rPr>
      <w:spacing w:val="-2"/>
    </w:rPr>
  </w:style>
  <w:style w:type="paragraph" w:customStyle="1" w:styleId="Bullet">
    <w:name w:val="Bullet"/>
    <w:basedOn w:val="Normal"/>
    <w:rsid w:val="000A0A29"/>
    <w:pPr>
      <w:tabs>
        <w:tab w:val="left" w:pos="2160"/>
      </w:tabs>
      <w:spacing w:after="220"/>
      <w:ind w:left="2160" w:hanging="720"/>
    </w:pPr>
  </w:style>
  <w:style w:type="paragraph" w:customStyle="1" w:styleId="TableFormat">
    <w:name w:val="TableFormat"/>
    <w:basedOn w:val="Bullet"/>
    <w:rsid w:val="000A0A29"/>
    <w:pPr>
      <w:tabs>
        <w:tab w:val="clear" w:pos="2160"/>
        <w:tab w:val="left" w:pos="5040"/>
      </w:tabs>
      <w:ind w:left="5040" w:hanging="3600"/>
    </w:pPr>
  </w:style>
  <w:style w:type="paragraph" w:customStyle="1" w:styleId="TOCTitle">
    <w:name w:val="TOC Title"/>
    <w:basedOn w:val="Normal"/>
    <w:rsid w:val="000A0A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0A29"/>
    <w:pPr>
      <w:jc w:val="center"/>
    </w:pPr>
    <w:rPr>
      <w:rFonts w:ascii="Times New Roman Bold" w:hAnsi="Times New Roman Bold"/>
      <w:b/>
      <w:bCs/>
      <w:caps/>
    </w:rPr>
  </w:style>
  <w:style w:type="character" w:styleId="Hyperlink">
    <w:name w:val="Hyperlink"/>
    <w:rsid w:val="000A0A29"/>
    <w:rPr>
      <w:color w:val="0000FF"/>
      <w:u w:val="single"/>
    </w:rPr>
  </w:style>
  <w:style w:type="character" w:customStyle="1" w:styleId="FooterChar">
    <w:name w:val="Footer Char"/>
    <w:link w:val="Footer"/>
    <w:uiPriority w:val="99"/>
    <w:rsid w:val="000A0A29"/>
    <w:rPr>
      <w:snapToGrid w:val="0"/>
      <w:kern w:val="28"/>
      <w:sz w:val="22"/>
    </w:rPr>
  </w:style>
  <w:style w:type="character" w:customStyle="1" w:styleId="FootnoteTextChar">
    <w:name w:val="Footnote Text Char"/>
    <w:aliases w:val="Footnote Text Char Char Char Char Char Char Char,Footnote Text Char Char1 Char Char Char,Footnote Text Char1 Char Char Char Char Char,Footnote Text Char2 Char Char Char,Footnote Text Char3 Char Char,Footnote Text Char7 Char"/>
    <w:link w:val="FootnoteText"/>
    <w:rsid w:val="00A24906"/>
  </w:style>
  <w:style w:type="paragraph" w:styleId="BodyText">
    <w:name w:val="Body Text"/>
    <w:basedOn w:val="Normal"/>
    <w:link w:val="BodyTextChar"/>
    <w:rsid w:val="006B3B5C"/>
    <w:pPr>
      <w:numPr>
        <w:numId w:val="7"/>
      </w:numPr>
      <w:spacing w:after="120"/>
      <w:jc w:val="both"/>
    </w:pPr>
  </w:style>
  <w:style w:type="character" w:customStyle="1" w:styleId="BodyTextChar">
    <w:name w:val="Body Text Char"/>
    <w:link w:val="BodyText"/>
    <w:rsid w:val="006B3B5C"/>
    <w:rPr>
      <w:snapToGrid w:val="0"/>
      <w:kern w:val="28"/>
      <w:sz w:val="22"/>
    </w:rPr>
  </w:style>
  <w:style w:type="paragraph" w:styleId="BalloonText">
    <w:name w:val="Balloon Text"/>
    <w:basedOn w:val="Normal"/>
    <w:link w:val="BalloonTextChar"/>
    <w:rsid w:val="006B3B5C"/>
    <w:pPr>
      <w:spacing w:after="120"/>
    </w:pPr>
    <w:rPr>
      <w:rFonts w:ascii="Tahoma" w:hAnsi="Tahoma" w:cs="Tahoma"/>
      <w:snapToGrid w:val="0"/>
      <w:sz w:val="16"/>
      <w:szCs w:val="16"/>
    </w:rPr>
  </w:style>
  <w:style w:type="character" w:customStyle="1" w:styleId="BalloonTextChar">
    <w:name w:val="Balloon Text Char"/>
    <w:link w:val="BalloonText"/>
    <w:rsid w:val="006B3B5C"/>
    <w:rPr>
      <w:rFonts w:ascii="Tahoma" w:hAnsi="Tahoma" w:cs="Tahoma"/>
      <w:sz w:val="16"/>
      <w:szCs w:val="16"/>
    </w:rPr>
  </w:style>
  <w:style w:type="character" w:styleId="Emphasis">
    <w:name w:val="Emphasis"/>
    <w:uiPriority w:val="20"/>
    <w:qFormat/>
    <w:rsid w:val="006B3B5C"/>
    <w:rPr>
      <w:i/>
      <w:iCs/>
    </w:rPr>
  </w:style>
  <w:style w:type="character" w:customStyle="1" w:styleId="UnresolvedMention">
    <w:name w:val="Unresolved Mention"/>
    <w:uiPriority w:val="99"/>
    <w:semiHidden/>
    <w:unhideWhenUsed/>
    <w:rsid w:val="00CC504C"/>
    <w:rPr>
      <w:color w:val="605E5C"/>
      <w:shd w:val="clear" w:color="auto" w:fill="E1DFDD"/>
    </w:rPr>
  </w:style>
  <w:style w:type="character" w:styleId="CommentReference">
    <w:name w:val="annotation reference"/>
    <w:rsid w:val="00063F6E"/>
    <w:rPr>
      <w:sz w:val="16"/>
      <w:szCs w:val="16"/>
    </w:rPr>
  </w:style>
  <w:style w:type="paragraph" w:styleId="CommentText">
    <w:name w:val="annotation text"/>
    <w:basedOn w:val="Normal"/>
    <w:link w:val="CommentTextChar"/>
    <w:rsid w:val="00063F6E"/>
    <w:rPr>
      <w:sz w:val="20"/>
    </w:rPr>
  </w:style>
  <w:style w:type="character" w:customStyle="1" w:styleId="CommentTextChar">
    <w:name w:val="Comment Text Char"/>
    <w:link w:val="CommentText"/>
    <w:rsid w:val="00063F6E"/>
    <w:rPr>
      <w:snapToGrid w:val="0"/>
      <w:kern w:val="28"/>
    </w:rPr>
  </w:style>
  <w:style w:type="paragraph" w:styleId="CommentSubject">
    <w:name w:val="annotation subject"/>
    <w:basedOn w:val="CommentText"/>
    <w:next w:val="CommentText"/>
    <w:link w:val="CommentSubjectChar"/>
    <w:rsid w:val="00063F6E"/>
    <w:rPr>
      <w:b/>
      <w:bCs/>
    </w:rPr>
  </w:style>
  <w:style w:type="character" w:customStyle="1" w:styleId="CommentSubjectChar">
    <w:name w:val="Comment Subject Char"/>
    <w:link w:val="CommentSubject"/>
    <w:rsid w:val="00063F6E"/>
    <w:rPr>
      <w:b/>
      <w:bCs/>
      <w:snapToGrid w:val="0"/>
      <w:kern w:val="28"/>
    </w:rPr>
  </w:style>
  <w:style w:type="character" w:customStyle="1" w:styleId="cohl">
    <w:name w:val="co_hl"/>
    <w:rsid w:val="00B46008"/>
  </w:style>
  <w:style w:type="paragraph" w:customStyle="1" w:styleId="Default">
    <w:name w:val="Default"/>
    <w:rsid w:val="000C6964"/>
    <w:pPr>
      <w:autoSpaceDE w:val="0"/>
      <w:autoSpaceDN w:val="0"/>
      <w:adjustRightInd w:val="0"/>
    </w:pPr>
    <w:rPr>
      <w:color w:val="000000"/>
      <w:sz w:val="24"/>
      <w:szCs w:val="24"/>
    </w:rPr>
  </w:style>
  <w:style w:type="paragraph" w:styleId="NoSpacing">
    <w:name w:val="No Spacing"/>
    <w:uiPriority w:val="1"/>
    <w:qFormat/>
    <w:rsid w:val="00D31B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