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65EB3E2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CBC4858" w14:textId="77777777">
      <w:pPr>
        <w:pStyle w:val="StyleBoldCentered"/>
      </w:pPr>
      <w:r>
        <w:t>F</w:t>
      </w:r>
      <w:r>
        <w:rPr>
          <w:caps w:val="0"/>
        </w:rPr>
        <w:t>ederal Communications Commission</w:t>
      </w:r>
    </w:p>
    <w:p w:rsidR="004C2EE3" w:rsidP="00096D8C" w14:paraId="2E301A35" w14:textId="77777777">
      <w:pPr>
        <w:pStyle w:val="StyleBoldCentered"/>
      </w:pPr>
      <w:r>
        <w:rPr>
          <w:caps w:val="0"/>
        </w:rPr>
        <w:t>Washington, D.C. 20554</w:t>
      </w:r>
    </w:p>
    <w:p w:rsidR="004C2EE3" w:rsidP="0070224F" w14:paraId="066A2C9D" w14:textId="77777777"/>
    <w:p w:rsidR="004C2EE3" w:rsidP="0070224F" w14:paraId="323E2FD8" w14:textId="77777777"/>
    <w:tbl>
      <w:tblPr>
        <w:tblW w:w="0" w:type="auto"/>
        <w:tblLayout w:type="fixed"/>
        <w:tblLook w:val="0000"/>
      </w:tblPr>
      <w:tblGrid>
        <w:gridCol w:w="4698"/>
        <w:gridCol w:w="630"/>
        <w:gridCol w:w="4248"/>
      </w:tblGrid>
      <w:tr w14:paraId="625F1127" w14:textId="77777777">
        <w:tblPrEx>
          <w:tblW w:w="0" w:type="auto"/>
          <w:tblLayout w:type="fixed"/>
          <w:tblLook w:val="0000"/>
        </w:tblPrEx>
        <w:tc>
          <w:tcPr>
            <w:tcW w:w="4698" w:type="dxa"/>
          </w:tcPr>
          <w:p w:rsidR="004C2EE3" w14:paraId="16BE3CC6" w14:textId="77777777">
            <w:pPr>
              <w:tabs>
                <w:tab w:val="center" w:pos="4680"/>
              </w:tabs>
              <w:suppressAutoHyphens/>
              <w:rPr>
                <w:spacing w:val="-2"/>
              </w:rPr>
            </w:pPr>
            <w:r>
              <w:rPr>
                <w:spacing w:val="-2"/>
              </w:rPr>
              <w:t>In the Matter of</w:t>
            </w:r>
          </w:p>
          <w:p w:rsidR="004C2EE3" w14:paraId="1B2E4076" w14:textId="77777777">
            <w:pPr>
              <w:tabs>
                <w:tab w:val="center" w:pos="4680"/>
              </w:tabs>
              <w:suppressAutoHyphens/>
              <w:rPr>
                <w:spacing w:val="-2"/>
              </w:rPr>
            </w:pPr>
          </w:p>
          <w:p w:rsidR="004C2EE3" w:rsidP="007115F7" w14:paraId="586BC21D" w14:textId="77777777">
            <w:pPr>
              <w:tabs>
                <w:tab w:val="center" w:pos="4680"/>
              </w:tabs>
              <w:suppressAutoHyphens/>
              <w:rPr>
                <w:spacing w:val="-2"/>
              </w:rPr>
            </w:pPr>
            <w:r>
              <w:rPr>
                <w:spacing w:val="-2"/>
              </w:rPr>
              <w:t>July 1, 2021</w:t>
            </w:r>
          </w:p>
          <w:p w:rsidR="009B775D" w:rsidRPr="007115F7" w:rsidP="007115F7" w14:paraId="3902A4CF" w14:textId="77777777">
            <w:pPr>
              <w:tabs>
                <w:tab w:val="center" w:pos="4680"/>
              </w:tabs>
              <w:suppressAutoHyphens/>
              <w:rPr>
                <w:spacing w:val="-2"/>
              </w:rPr>
            </w:pPr>
            <w:r>
              <w:rPr>
                <w:spacing w:val="-2"/>
              </w:rPr>
              <w:t>Annual Access Charge Tariff Filings</w:t>
            </w:r>
          </w:p>
        </w:tc>
        <w:tc>
          <w:tcPr>
            <w:tcW w:w="630" w:type="dxa"/>
          </w:tcPr>
          <w:p w:rsidR="004C2EE3" w14:paraId="35795D9C" w14:textId="77777777">
            <w:pPr>
              <w:tabs>
                <w:tab w:val="center" w:pos="4680"/>
              </w:tabs>
              <w:suppressAutoHyphens/>
              <w:rPr>
                <w:b/>
                <w:spacing w:val="-2"/>
              </w:rPr>
            </w:pPr>
            <w:r>
              <w:rPr>
                <w:b/>
                <w:spacing w:val="-2"/>
              </w:rPr>
              <w:t>)</w:t>
            </w:r>
          </w:p>
          <w:p w:rsidR="004C2EE3" w14:paraId="0C08FD4C" w14:textId="77777777">
            <w:pPr>
              <w:tabs>
                <w:tab w:val="center" w:pos="4680"/>
              </w:tabs>
              <w:suppressAutoHyphens/>
              <w:rPr>
                <w:b/>
                <w:spacing w:val="-2"/>
              </w:rPr>
            </w:pPr>
            <w:r>
              <w:rPr>
                <w:b/>
                <w:spacing w:val="-2"/>
              </w:rPr>
              <w:t>)</w:t>
            </w:r>
          </w:p>
          <w:p w:rsidR="004C2EE3" w14:paraId="4FE9F4FF" w14:textId="77777777">
            <w:pPr>
              <w:tabs>
                <w:tab w:val="center" w:pos="4680"/>
              </w:tabs>
              <w:suppressAutoHyphens/>
              <w:rPr>
                <w:b/>
                <w:spacing w:val="-2"/>
              </w:rPr>
            </w:pPr>
            <w:r>
              <w:rPr>
                <w:b/>
                <w:spacing w:val="-2"/>
              </w:rPr>
              <w:t>)</w:t>
            </w:r>
          </w:p>
          <w:p w:rsidR="004C2EE3" w14:paraId="5D68B0CE" w14:textId="77777777">
            <w:pPr>
              <w:tabs>
                <w:tab w:val="center" w:pos="4680"/>
              </w:tabs>
              <w:suppressAutoHyphens/>
              <w:rPr>
                <w:b/>
                <w:spacing w:val="-2"/>
              </w:rPr>
            </w:pPr>
            <w:r>
              <w:rPr>
                <w:b/>
                <w:spacing w:val="-2"/>
              </w:rPr>
              <w:t>)</w:t>
            </w:r>
          </w:p>
          <w:p w:rsidR="004C2EE3" w:rsidRPr="00CF05F5" w14:paraId="052DD38A" w14:textId="251BBEAB">
            <w:pPr>
              <w:tabs>
                <w:tab w:val="center" w:pos="4680"/>
              </w:tabs>
              <w:suppressAutoHyphens/>
              <w:rPr>
                <w:b/>
                <w:spacing w:val="-2"/>
              </w:rPr>
            </w:pPr>
            <w:r>
              <w:rPr>
                <w:b/>
                <w:spacing w:val="-2"/>
              </w:rPr>
              <w:t>)</w:t>
            </w:r>
          </w:p>
        </w:tc>
        <w:tc>
          <w:tcPr>
            <w:tcW w:w="4248" w:type="dxa"/>
          </w:tcPr>
          <w:p w:rsidR="004C2EE3" w14:paraId="4A1900AA" w14:textId="77777777">
            <w:pPr>
              <w:tabs>
                <w:tab w:val="center" w:pos="4680"/>
              </w:tabs>
              <w:suppressAutoHyphens/>
              <w:rPr>
                <w:spacing w:val="-2"/>
              </w:rPr>
            </w:pPr>
          </w:p>
          <w:p w:rsidR="004C2EE3" w14:paraId="3C3B680E" w14:textId="77777777">
            <w:pPr>
              <w:pStyle w:val="TOAHeading"/>
              <w:tabs>
                <w:tab w:val="center" w:pos="4680"/>
                <w:tab w:val="clear" w:pos="9360"/>
              </w:tabs>
              <w:rPr>
                <w:spacing w:val="-2"/>
              </w:rPr>
            </w:pPr>
          </w:p>
          <w:p w:rsidR="004C2EE3" w14:paraId="4E13A2F3" w14:textId="1230FFA6">
            <w:pPr>
              <w:tabs>
                <w:tab w:val="center" w:pos="4680"/>
              </w:tabs>
              <w:suppressAutoHyphens/>
              <w:rPr>
                <w:spacing w:val="-2"/>
              </w:rPr>
            </w:pPr>
            <w:r>
              <w:rPr>
                <w:spacing w:val="-2"/>
              </w:rPr>
              <w:t xml:space="preserve">WC Docket No. </w:t>
            </w:r>
            <w:r w:rsidRPr="00CE77D4">
              <w:rPr>
                <w:spacing w:val="-2"/>
              </w:rPr>
              <w:t>21-148</w:t>
            </w:r>
          </w:p>
        </w:tc>
      </w:tr>
    </w:tbl>
    <w:p w:rsidR="004C2EE3" w:rsidP="0070224F" w14:paraId="7421ECF1" w14:textId="77777777"/>
    <w:p w:rsidR="00841AB1" w:rsidP="00F021FA" w14:paraId="548BC958" w14:textId="77777777">
      <w:pPr>
        <w:pStyle w:val="StyleBoldCentered"/>
      </w:pPr>
      <w:r>
        <w:t>orDER</w:t>
      </w:r>
    </w:p>
    <w:p w:rsidR="004C2EE3" w14:paraId="11B80F1C" w14:textId="77777777">
      <w:pPr>
        <w:tabs>
          <w:tab w:val="left" w:pos="-720"/>
        </w:tabs>
        <w:suppressAutoHyphens/>
        <w:spacing w:line="227" w:lineRule="auto"/>
        <w:rPr>
          <w:spacing w:val="-2"/>
        </w:rPr>
      </w:pPr>
    </w:p>
    <w:p w:rsidR="004C2EE3" w:rsidP="00133F79" w14:paraId="5D286C5A" w14:textId="2256652B">
      <w:pPr>
        <w:tabs>
          <w:tab w:val="left" w:pos="720"/>
          <w:tab w:val="right" w:pos="9360"/>
        </w:tabs>
        <w:suppressAutoHyphens/>
        <w:spacing w:line="227" w:lineRule="auto"/>
        <w:rPr>
          <w:spacing w:val="-2"/>
        </w:rPr>
      </w:pPr>
      <w:r>
        <w:rPr>
          <w:b/>
          <w:spacing w:val="-2"/>
        </w:rPr>
        <w:t xml:space="preserve">Adopted:  </w:t>
      </w:r>
      <w:r w:rsidR="00CE77D4">
        <w:rPr>
          <w:b/>
          <w:spacing w:val="-2"/>
        </w:rPr>
        <w:t xml:space="preserve">April </w:t>
      </w:r>
      <w:r w:rsidR="002948D2">
        <w:rPr>
          <w:b/>
          <w:spacing w:val="-2"/>
        </w:rPr>
        <w:t>16</w:t>
      </w:r>
      <w:r w:rsidR="00CE77D4">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E77D4">
        <w:rPr>
          <w:b/>
          <w:spacing w:val="-2"/>
        </w:rPr>
        <w:t xml:space="preserve">April </w:t>
      </w:r>
      <w:r w:rsidR="002948D2">
        <w:rPr>
          <w:b/>
          <w:spacing w:val="-2"/>
        </w:rPr>
        <w:t>16</w:t>
      </w:r>
      <w:r w:rsidR="00CE77D4">
        <w:rPr>
          <w:b/>
          <w:spacing w:val="-2"/>
        </w:rPr>
        <w:t>, 2021</w:t>
      </w:r>
    </w:p>
    <w:p w:rsidR="00822CE0" w14:paraId="72D1A7F6" w14:textId="77777777"/>
    <w:p w:rsidR="004C2EE3" w14:paraId="70257E74" w14:textId="77777777">
      <w:pPr>
        <w:rPr>
          <w:spacing w:val="-2"/>
        </w:rPr>
      </w:pPr>
      <w:r>
        <w:t xml:space="preserve">By </w:t>
      </w:r>
      <w:r w:rsidR="004E4A22">
        <w:t>the</w:t>
      </w:r>
      <w:r w:rsidR="002A2D2E">
        <w:t xml:space="preserve"> </w:t>
      </w:r>
      <w:r w:rsidR="002131CA">
        <w:rPr>
          <w:spacing w:val="-2"/>
        </w:rPr>
        <w:t>Chief, Pricing Policy Division</w:t>
      </w:r>
      <w:r>
        <w:rPr>
          <w:spacing w:val="-2"/>
        </w:rPr>
        <w:t>:</w:t>
      </w:r>
    </w:p>
    <w:p w:rsidR="002131CA" w14:paraId="69710C2B" w14:textId="77777777">
      <w:pPr>
        <w:rPr>
          <w:spacing w:val="-2"/>
        </w:rPr>
      </w:pPr>
    </w:p>
    <w:p w:rsidR="002131CA" w:rsidP="002131CA" w14:paraId="30ECBA58" w14:textId="77777777">
      <w:pPr>
        <w:tabs>
          <w:tab w:val="left" w:pos="2880"/>
          <w:tab w:val="left" w:pos="3600"/>
          <w:tab w:val="left" w:pos="5760"/>
        </w:tabs>
        <w:rPr>
          <w:spacing w:val="-2"/>
          <w:szCs w:val="24"/>
        </w:rPr>
      </w:pPr>
      <w:bookmarkStart w:id="0" w:name="_Hlk508631324"/>
      <w:r>
        <w:rPr>
          <w:spacing w:val="-2"/>
          <w:szCs w:val="24"/>
        </w:rPr>
        <w:t>15-DAY TARIFF FILINGS:</w:t>
      </w:r>
      <w:r>
        <w:rPr>
          <w:spacing w:val="-2"/>
          <w:szCs w:val="24"/>
        </w:rPr>
        <w:tab/>
      </w:r>
      <w:r>
        <w:rPr>
          <w:spacing w:val="-2"/>
          <w:szCs w:val="24"/>
        </w:rPr>
        <w:tab/>
        <w:t>June 16, 2021</w:t>
      </w:r>
    </w:p>
    <w:p w:rsidR="002131CA" w:rsidP="002131CA" w14:paraId="04B58AF4" w14:textId="77777777">
      <w:pPr>
        <w:tabs>
          <w:tab w:val="left" w:pos="2880"/>
          <w:tab w:val="left" w:pos="3600"/>
          <w:tab w:val="left" w:pos="5760"/>
        </w:tabs>
        <w:rPr>
          <w:spacing w:val="-2"/>
          <w:szCs w:val="24"/>
        </w:rPr>
      </w:pPr>
      <w:r>
        <w:rPr>
          <w:spacing w:val="-2"/>
          <w:szCs w:val="24"/>
        </w:rPr>
        <w:t>EFFECTIVE:</w:t>
      </w:r>
      <w:r>
        <w:rPr>
          <w:spacing w:val="-2"/>
          <w:szCs w:val="24"/>
        </w:rPr>
        <w:tab/>
      </w:r>
      <w:r>
        <w:rPr>
          <w:spacing w:val="-2"/>
          <w:szCs w:val="24"/>
        </w:rPr>
        <w:tab/>
        <w:t>July 1, 2021</w:t>
      </w:r>
    </w:p>
    <w:p w:rsidR="002131CA" w:rsidP="002131CA" w14:paraId="43A062F8" w14:textId="77777777">
      <w:pPr>
        <w:tabs>
          <w:tab w:val="left" w:pos="2880"/>
          <w:tab w:val="left" w:pos="3600"/>
          <w:tab w:val="left" w:pos="5760"/>
        </w:tabs>
        <w:rPr>
          <w:spacing w:val="-2"/>
          <w:szCs w:val="24"/>
        </w:rPr>
      </w:pPr>
      <w:r>
        <w:rPr>
          <w:spacing w:val="-2"/>
          <w:szCs w:val="24"/>
        </w:rPr>
        <w:t>PETITIONS:</w:t>
      </w:r>
      <w:r>
        <w:rPr>
          <w:spacing w:val="-2"/>
          <w:szCs w:val="24"/>
        </w:rPr>
        <w:tab/>
      </w:r>
      <w:r>
        <w:rPr>
          <w:spacing w:val="-2"/>
          <w:szCs w:val="24"/>
        </w:rPr>
        <w:tab/>
      </w:r>
      <w:r w:rsidR="00163417">
        <w:rPr>
          <w:spacing w:val="-2"/>
          <w:szCs w:val="24"/>
        </w:rPr>
        <w:t>June 23, 2021</w:t>
      </w:r>
    </w:p>
    <w:p w:rsidR="002131CA" w:rsidRPr="00693B8E" w:rsidP="002131CA" w14:paraId="7B01A400" w14:textId="3EC9E415">
      <w:pPr>
        <w:tabs>
          <w:tab w:val="left" w:pos="2880"/>
          <w:tab w:val="left" w:pos="3600"/>
          <w:tab w:val="left" w:pos="5760"/>
        </w:tabs>
        <w:rPr>
          <w:spacing w:val="-2"/>
          <w:szCs w:val="24"/>
        </w:rPr>
      </w:pPr>
      <w:r>
        <w:rPr>
          <w:spacing w:val="-2"/>
          <w:szCs w:val="24"/>
        </w:rPr>
        <w:t>REPLIES:</w:t>
      </w:r>
      <w:r>
        <w:rPr>
          <w:spacing w:val="-2"/>
          <w:szCs w:val="24"/>
        </w:rPr>
        <w:tab/>
      </w:r>
      <w:r>
        <w:rPr>
          <w:spacing w:val="-2"/>
          <w:szCs w:val="24"/>
        </w:rPr>
        <w:tab/>
      </w:r>
      <w:r w:rsidR="00163417">
        <w:rPr>
          <w:spacing w:val="-2"/>
          <w:szCs w:val="24"/>
        </w:rPr>
        <w:t>June 2</w:t>
      </w:r>
      <w:r w:rsidR="003A5BF5">
        <w:rPr>
          <w:spacing w:val="-2"/>
          <w:szCs w:val="24"/>
        </w:rPr>
        <w:t>8</w:t>
      </w:r>
      <w:r w:rsidR="00163417">
        <w:rPr>
          <w:spacing w:val="-2"/>
          <w:szCs w:val="24"/>
        </w:rPr>
        <w:t>, 2021</w:t>
      </w:r>
      <w:r>
        <w:rPr>
          <w:spacing w:val="-2"/>
          <w:szCs w:val="24"/>
        </w:rPr>
        <w:t xml:space="preserve"> </w:t>
      </w:r>
      <w:r w:rsidRPr="00693B8E">
        <w:rPr>
          <w:spacing w:val="-2"/>
          <w:szCs w:val="24"/>
        </w:rPr>
        <w:t>(due no later than 12:00 p.m. (noon) Eastern Time)</w:t>
      </w:r>
    </w:p>
    <w:p w:rsidR="002131CA" w:rsidRPr="006508B2" w:rsidP="002131CA" w14:paraId="08FD8106" w14:textId="77777777">
      <w:pPr>
        <w:tabs>
          <w:tab w:val="left" w:pos="2880"/>
          <w:tab w:val="left" w:pos="5760"/>
        </w:tabs>
        <w:rPr>
          <w:color w:val="FF0000"/>
          <w:spacing w:val="-2"/>
          <w:szCs w:val="24"/>
        </w:rPr>
      </w:pPr>
    </w:p>
    <w:p w:rsidR="002131CA" w:rsidP="002131CA" w14:paraId="004B81C0" w14:textId="77777777">
      <w:pPr>
        <w:tabs>
          <w:tab w:val="left" w:pos="2880"/>
          <w:tab w:val="left" w:pos="3600"/>
          <w:tab w:val="left" w:pos="5760"/>
        </w:tabs>
        <w:rPr>
          <w:spacing w:val="-2"/>
          <w:szCs w:val="24"/>
        </w:rPr>
      </w:pPr>
      <w:r>
        <w:rPr>
          <w:spacing w:val="-2"/>
          <w:szCs w:val="24"/>
        </w:rPr>
        <w:t>7-DAY TARIFF FILINGS:</w:t>
      </w:r>
      <w:r>
        <w:rPr>
          <w:spacing w:val="-2"/>
          <w:szCs w:val="24"/>
        </w:rPr>
        <w:tab/>
      </w:r>
      <w:r>
        <w:rPr>
          <w:spacing w:val="-2"/>
          <w:szCs w:val="24"/>
        </w:rPr>
        <w:tab/>
        <w:t xml:space="preserve">June </w:t>
      </w:r>
      <w:r w:rsidRPr="00067AA0">
        <w:rPr>
          <w:spacing w:val="-2"/>
          <w:szCs w:val="24"/>
        </w:rPr>
        <w:t>2</w:t>
      </w:r>
      <w:r>
        <w:rPr>
          <w:spacing w:val="-2"/>
          <w:szCs w:val="24"/>
        </w:rPr>
        <w:t>4, 2021</w:t>
      </w:r>
    </w:p>
    <w:p w:rsidR="002131CA" w:rsidP="002131CA" w14:paraId="6BBD498F" w14:textId="77777777">
      <w:pPr>
        <w:tabs>
          <w:tab w:val="left" w:pos="2880"/>
          <w:tab w:val="left" w:pos="3600"/>
          <w:tab w:val="left" w:pos="5760"/>
        </w:tabs>
        <w:rPr>
          <w:spacing w:val="-2"/>
          <w:szCs w:val="24"/>
        </w:rPr>
      </w:pPr>
      <w:r>
        <w:rPr>
          <w:spacing w:val="-2"/>
          <w:szCs w:val="24"/>
        </w:rPr>
        <w:t>EFFECTIVE:</w:t>
      </w:r>
      <w:r>
        <w:rPr>
          <w:spacing w:val="-2"/>
          <w:szCs w:val="24"/>
        </w:rPr>
        <w:tab/>
      </w:r>
      <w:r>
        <w:rPr>
          <w:spacing w:val="-2"/>
          <w:szCs w:val="24"/>
        </w:rPr>
        <w:tab/>
        <w:t>July 1, 2021</w:t>
      </w:r>
    </w:p>
    <w:p w:rsidR="002131CA" w:rsidRPr="006508B2" w:rsidP="002131CA" w14:paraId="57BBF699" w14:textId="79044E0F">
      <w:pPr>
        <w:tabs>
          <w:tab w:val="left" w:pos="2880"/>
          <w:tab w:val="left" w:pos="3600"/>
          <w:tab w:val="left" w:pos="5760"/>
        </w:tabs>
        <w:rPr>
          <w:color w:val="FF0000"/>
          <w:spacing w:val="-2"/>
          <w:szCs w:val="24"/>
        </w:rPr>
      </w:pPr>
      <w:r>
        <w:rPr>
          <w:spacing w:val="-2"/>
          <w:szCs w:val="24"/>
        </w:rPr>
        <w:t>PETITIONS:</w:t>
      </w:r>
      <w:r>
        <w:rPr>
          <w:spacing w:val="-2"/>
          <w:szCs w:val="24"/>
        </w:rPr>
        <w:tab/>
      </w:r>
      <w:r>
        <w:rPr>
          <w:spacing w:val="-2"/>
          <w:szCs w:val="24"/>
        </w:rPr>
        <w:tab/>
      </w:r>
      <w:r w:rsidR="00163417">
        <w:rPr>
          <w:spacing w:val="-2"/>
          <w:szCs w:val="24"/>
        </w:rPr>
        <w:t>June 2</w:t>
      </w:r>
      <w:r w:rsidR="003A5BF5">
        <w:rPr>
          <w:spacing w:val="-2"/>
          <w:szCs w:val="24"/>
        </w:rPr>
        <w:t>8</w:t>
      </w:r>
      <w:r w:rsidR="00163417">
        <w:rPr>
          <w:spacing w:val="-2"/>
          <w:szCs w:val="24"/>
        </w:rPr>
        <w:t>, 2021</w:t>
      </w:r>
      <w:r>
        <w:rPr>
          <w:spacing w:val="-2"/>
          <w:szCs w:val="24"/>
        </w:rPr>
        <w:t xml:space="preserve"> (due no later than 12:00 p.m. (noon) Eastern Time)</w:t>
      </w:r>
    </w:p>
    <w:p w:rsidR="002131CA" w:rsidRPr="00B7617D" w:rsidP="00B7617D" w14:paraId="7AD50F81" w14:textId="4190A459">
      <w:pPr>
        <w:tabs>
          <w:tab w:val="left" w:pos="2880"/>
          <w:tab w:val="left" w:pos="3600"/>
          <w:tab w:val="left" w:pos="5760"/>
        </w:tabs>
        <w:rPr>
          <w:spacing w:val="-2"/>
          <w:szCs w:val="24"/>
        </w:rPr>
      </w:pPr>
      <w:r>
        <w:rPr>
          <w:spacing w:val="-2"/>
          <w:szCs w:val="24"/>
        </w:rPr>
        <w:t>REPLIES:</w:t>
      </w:r>
      <w:r>
        <w:rPr>
          <w:spacing w:val="-2"/>
          <w:szCs w:val="24"/>
        </w:rPr>
        <w:tab/>
      </w:r>
      <w:r>
        <w:rPr>
          <w:spacing w:val="-2"/>
          <w:szCs w:val="24"/>
        </w:rPr>
        <w:tab/>
      </w:r>
      <w:r w:rsidR="00163417">
        <w:rPr>
          <w:spacing w:val="-2"/>
          <w:szCs w:val="24"/>
        </w:rPr>
        <w:t xml:space="preserve">June </w:t>
      </w:r>
      <w:r w:rsidR="003A5BF5">
        <w:rPr>
          <w:spacing w:val="-2"/>
          <w:szCs w:val="24"/>
        </w:rPr>
        <w:t>30</w:t>
      </w:r>
      <w:r w:rsidR="00163417">
        <w:rPr>
          <w:spacing w:val="-2"/>
          <w:szCs w:val="24"/>
        </w:rPr>
        <w:t>, 202</w:t>
      </w:r>
      <w:r w:rsidR="003A5BF5">
        <w:rPr>
          <w:spacing w:val="-2"/>
          <w:szCs w:val="24"/>
        </w:rPr>
        <w:t>1</w:t>
      </w:r>
      <w:r>
        <w:rPr>
          <w:spacing w:val="-2"/>
          <w:szCs w:val="24"/>
        </w:rPr>
        <w:t xml:space="preserve"> (due no later than 12:00 p.m. (noon) Eastern Time) </w:t>
      </w:r>
      <w:bookmarkEnd w:id="0"/>
    </w:p>
    <w:p w:rsidR="00822CE0" w14:paraId="5AC0B196" w14:textId="77777777">
      <w:pPr>
        <w:rPr>
          <w:spacing w:val="-2"/>
        </w:rPr>
      </w:pPr>
    </w:p>
    <w:p w:rsidR="00412FC5" w:rsidP="00C36B4C" w14:paraId="2D69ACB9" w14:textId="77777777">
      <w:pPr>
        <w:pStyle w:val="Heading1"/>
      </w:pPr>
      <w:r>
        <w:t>introduction</w:t>
      </w:r>
    </w:p>
    <w:p w:rsidR="00372709" w:rsidP="0057149E" w14:paraId="73FC6ED2" w14:textId="1D41D3BF">
      <w:pPr>
        <w:pStyle w:val="ParaNum"/>
        <w:widowControl/>
      </w:pPr>
      <w:r>
        <w:t>In this</w:t>
      </w:r>
      <w:r w:rsidRPr="008452C9">
        <w:t xml:space="preserve"> </w:t>
      </w:r>
      <w:r>
        <w:t>O</w:t>
      </w:r>
      <w:r w:rsidRPr="008452C9">
        <w:t>rder</w:t>
      </w:r>
      <w:r>
        <w:t>, we establish</w:t>
      </w:r>
      <w:r w:rsidRPr="008452C9">
        <w:t xml:space="preserve"> procedures for the </w:t>
      </w:r>
      <w:r>
        <w:t>2021</w:t>
      </w:r>
      <w:r w:rsidRPr="008452C9">
        <w:t xml:space="preserve"> filing of annual access charge tariffs and Tariff Review Plans (TRPs) for incumbent local exchange carrie</w:t>
      </w:r>
      <w:r>
        <w:t>rs (LECs) subject to price cap regulation, as well as rate-of-</w:t>
      </w:r>
      <w:r w:rsidRPr="008452C9">
        <w:t>return LECs subject to section</w:t>
      </w:r>
      <w:r w:rsidR="00201D54">
        <w:t>s</w:t>
      </w:r>
      <w:r w:rsidRPr="008452C9">
        <w:t xml:space="preserve"> 61.3</w:t>
      </w:r>
      <w:r>
        <w:t>8</w:t>
      </w:r>
      <w:r w:rsidR="00F01F52">
        <w:t>,</w:t>
      </w:r>
      <w:r w:rsidR="00201D54">
        <w:t xml:space="preserve"> 61.39</w:t>
      </w:r>
      <w:r w:rsidR="00863443">
        <w:t>,</w:t>
      </w:r>
      <w:r w:rsidR="00F01F52">
        <w:t xml:space="preserve"> and 61.50</w:t>
      </w:r>
      <w:r w:rsidR="0057149E">
        <w:t xml:space="preserve"> </w:t>
      </w:r>
      <w:r>
        <w:t>of the Commission’s rules.</w:t>
      </w:r>
      <w:r>
        <w:rPr>
          <w:rStyle w:val="FootnoteReference"/>
          <w:szCs w:val="24"/>
        </w:rPr>
        <w:footnoteReference w:id="3"/>
      </w:r>
      <w:r w:rsidR="0057149E">
        <w:t xml:space="preserve">  </w:t>
      </w:r>
    </w:p>
    <w:p w:rsidR="002131CA" w:rsidRPr="009374AE" w:rsidP="0057149E" w14:paraId="7B19D8FD" w14:textId="7562BE9D">
      <w:pPr>
        <w:pStyle w:val="ParaNum"/>
        <w:widowControl/>
      </w:pPr>
      <w:r w:rsidRPr="008452C9">
        <w:t xml:space="preserve">This </w:t>
      </w:r>
      <w:r>
        <w:t>O</w:t>
      </w:r>
      <w:r w:rsidRPr="008452C9">
        <w:t>rder</w:t>
      </w:r>
      <w:r w:rsidR="0032120E">
        <w:t>:</w:t>
      </w:r>
      <w:r w:rsidRPr="008452C9">
        <w:t xml:space="preserve"> </w:t>
      </w:r>
      <w:r>
        <w:t xml:space="preserve">(1) sets an effective date of July 1, 2021 for the annual access charge tariff </w:t>
      </w:r>
      <w:bookmarkStart w:id="2" w:name="_Hlk34743626"/>
      <w:r>
        <w:t>filings made on both 15 and 7 days’ notice</w:t>
      </w:r>
      <w:bookmarkEnd w:id="2"/>
      <w:r>
        <w:t xml:space="preserve">; (2) establishes the </w:t>
      </w:r>
      <w:r w:rsidRPr="008452C9">
        <w:t>dates for filing petitions to suspend or reject an</w:t>
      </w:r>
      <w:r>
        <w:t xml:space="preserve"> incumbent</w:t>
      </w:r>
      <w:r w:rsidRPr="008452C9">
        <w:t xml:space="preserve"> LEC</w:t>
      </w:r>
      <w:r>
        <w:t>’s</w:t>
      </w:r>
      <w:r w:rsidRPr="008452C9">
        <w:t xml:space="preserve"> tariff filing and replies to such petitions</w:t>
      </w:r>
      <w:r>
        <w:t>;</w:t>
      </w:r>
      <w:r>
        <w:rPr>
          <w:rStyle w:val="FootnoteReference"/>
        </w:rPr>
        <w:footnoteReference w:id="4"/>
      </w:r>
      <w:r>
        <w:t xml:space="preserve"> </w:t>
      </w:r>
      <w:r w:rsidR="00320A72">
        <w:t xml:space="preserve">(3) </w:t>
      </w:r>
      <w:r w:rsidR="00053BF5">
        <w:t xml:space="preserve">grants a limited </w:t>
      </w:r>
      <w:r w:rsidR="00320A72">
        <w:t>waive</w:t>
      </w:r>
      <w:r w:rsidR="00053BF5">
        <w:t>r of</w:t>
      </w:r>
      <w:r w:rsidRPr="00053BF5" w:rsidR="00053BF5">
        <w:t xml:space="preserve"> section 51.909(a)(4) of the Commission’s rule</w:t>
      </w:r>
      <w:r w:rsidR="00053BF5">
        <w:t>s</w:t>
      </w:r>
      <w:r w:rsidRPr="00053BF5" w:rsidR="00053BF5">
        <w:t xml:space="preserve"> to the National Exchange Carrier Association (NECA)</w:t>
      </w:r>
      <w:r w:rsidR="00053BF5">
        <w:t xml:space="preserve"> </w:t>
      </w:r>
      <w:r w:rsidRPr="00053BF5" w:rsidR="00053BF5">
        <w:t>for purposes of the 2021-22 annual access tariff filing</w:t>
      </w:r>
      <w:r w:rsidR="00614083">
        <w:t xml:space="preserve"> period</w:t>
      </w:r>
      <w:r w:rsidR="00320A72">
        <w:t>;</w:t>
      </w:r>
      <w:r>
        <w:rPr>
          <w:rStyle w:val="FootnoteReference"/>
        </w:rPr>
        <w:footnoteReference w:id="5"/>
      </w:r>
      <w:r w:rsidRPr="00320A72" w:rsidR="00320A72">
        <w:t xml:space="preserve"> </w:t>
      </w:r>
      <w:r>
        <w:t>and (</w:t>
      </w:r>
      <w:r w:rsidR="00320A72">
        <w:t>4</w:t>
      </w:r>
      <w:r>
        <w:t xml:space="preserve">) </w:t>
      </w:r>
      <w:r w:rsidRPr="008452C9">
        <w:t>addresses service of t</w:t>
      </w:r>
      <w:r>
        <w:t xml:space="preserve">he petitions and replies.  </w:t>
      </w:r>
      <w:r w:rsidRPr="008452C9" w:rsidR="00372709">
        <w:t xml:space="preserve">In the </w:t>
      </w:r>
      <w:r w:rsidRPr="008452C9" w:rsidR="00372709">
        <w:rPr>
          <w:i/>
        </w:rPr>
        <w:t xml:space="preserve">USF/ICC Transformation </w:t>
      </w:r>
      <w:r w:rsidRPr="00882EAC" w:rsidR="00372709">
        <w:rPr>
          <w:i/>
        </w:rPr>
        <w:t>Order</w:t>
      </w:r>
      <w:r w:rsidR="00372709">
        <w:t>,</w:t>
      </w:r>
      <w:r w:rsidRPr="008452C9" w:rsidR="00372709">
        <w:t xml:space="preserve"> the Commission adopted rules requiring </w:t>
      </w:r>
      <w:r w:rsidR="00372709">
        <w:t xml:space="preserve">incumbent </w:t>
      </w:r>
      <w:r w:rsidRPr="008452C9" w:rsidR="00372709">
        <w:t xml:space="preserve">LECs to </w:t>
      </w:r>
      <w:r w:rsidR="000C4195">
        <w:t>reduce</w:t>
      </w:r>
      <w:r w:rsidRPr="008452C9" w:rsidR="00372709">
        <w:t xml:space="preserve">, over a period of years, </w:t>
      </w:r>
      <w:r w:rsidR="00372709">
        <w:t xml:space="preserve">many of </w:t>
      </w:r>
      <w:r w:rsidRPr="008452C9" w:rsidR="00372709">
        <w:t xml:space="preserve">their switched access </w:t>
      </w:r>
      <w:r w:rsidR="000C4195">
        <w:t xml:space="preserve">rates.  </w:t>
      </w:r>
      <w:r w:rsidRPr="008452C9" w:rsidR="000C4195">
        <w:t>Th</w:t>
      </w:r>
      <w:r w:rsidR="000C4195">
        <w:t>at</w:t>
      </w:r>
      <w:r w:rsidRPr="008452C9" w:rsidR="000C4195">
        <w:t xml:space="preserve"> </w:t>
      </w:r>
      <w:r w:rsidR="000C4195">
        <w:t>rate transition has been completed.</w:t>
      </w:r>
      <w:r>
        <w:rPr>
          <w:rStyle w:val="FootnoteReference"/>
        </w:rPr>
        <w:footnoteReference w:id="6"/>
      </w:r>
      <w:r w:rsidR="000C4195">
        <w:t xml:space="preserve">  The Commission also </w:t>
      </w:r>
      <w:r w:rsidR="0021539C">
        <w:t xml:space="preserve">established </w:t>
      </w:r>
      <w:r w:rsidR="00611A64">
        <w:t xml:space="preserve">a mechanism </w:t>
      </w:r>
      <w:r w:rsidR="00062708">
        <w:t xml:space="preserve">known as Eligible Recovery </w:t>
      </w:r>
      <w:r w:rsidR="00367772">
        <w:t>that</w:t>
      </w:r>
      <w:r w:rsidR="00611A64">
        <w:t xml:space="preserve"> </w:t>
      </w:r>
      <w:r w:rsidR="004F0CC9">
        <w:t xml:space="preserve">enables </w:t>
      </w:r>
      <w:r w:rsidR="004F0CC9">
        <w:t xml:space="preserve">incumbent LECs to </w:t>
      </w:r>
      <w:r w:rsidR="00611A64">
        <w:t>recover</w:t>
      </w:r>
      <w:r w:rsidR="00367772">
        <w:t xml:space="preserve"> </w:t>
      </w:r>
      <w:r w:rsidR="00611A64">
        <w:t xml:space="preserve">a </w:t>
      </w:r>
      <w:r w:rsidR="00367772">
        <w:t xml:space="preserve">decreasing </w:t>
      </w:r>
      <w:r w:rsidR="000C4195">
        <w:t xml:space="preserve">portion </w:t>
      </w:r>
      <w:r w:rsidR="00611A64">
        <w:t>of the</w:t>
      </w:r>
      <w:r w:rsidR="000C4195">
        <w:t>ir lost revenue</w:t>
      </w:r>
      <w:r w:rsidR="00611A64">
        <w:t xml:space="preserve"> </w:t>
      </w:r>
      <w:r w:rsidR="00EE7012">
        <w:t>a</w:t>
      </w:r>
      <w:r w:rsidR="0021539C">
        <w:t xml:space="preserve">ttributable to </w:t>
      </w:r>
      <w:r w:rsidR="00611A64">
        <w:t>the</w:t>
      </w:r>
      <w:r w:rsidR="000C4195">
        <w:t xml:space="preserve"> required switched access</w:t>
      </w:r>
      <w:r w:rsidR="00611A64">
        <w:t xml:space="preserve"> rate </w:t>
      </w:r>
      <w:r w:rsidR="00367772">
        <w:t>decreases</w:t>
      </w:r>
      <w:r w:rsidR="00611A64">
        <w:t>.</w:t>
      </w:r>
      <w:r>
        <w:rPr>
          <w:sz w:val="20"/>
          <w:vertAlign w:val="superscript"/>
        </w:rPr>
        <w:footnoteReference w:id="7"/>
      </w:r>
      <w:r w:rsidRPr="00797B54" w:rsidR="00372709">
        <w:rPr>
          <w:sz w:val="20"/>
          <w:vertAlign w:val="superscript"/>
        </w:rPr>
        <w:t xml:space="preserve"> </w:t>
      </w:r>
      <w:r w:rsidR="00372709">
        <w:rPr>
          <w:sz w:val="20"/>
          <w:szCs w:val="24"/>
          <w:vertAlign w:val="superscript"/>
        </w:rPr>
        <w:t xml:space="preserve"> </w:t>
      </w:r>
      <w:r w:rsidR="004F0CC9">
        <w:t xml:space="preserve">The </w:t>
      </w:r>
      <w:r w:rsidRPr="008452C9" w:rsidR="00372709">
        <w:t>TRPs implement adjustments</w:t>
      </w:r>
      <w:r w:rsidR="004F0CC9">
        <w:t xml:space="preserve"> to </w:t>
      </w:r>
      <w:r w:rsidR="00C94B6A">
        <w:t>incumbent LECs</w:t>
      </w:r>
      <w:r w:rsidR="00D75CE8">
        <w:t>’ Eligible Recovery</w:t>
      </w:r>
      <w:r w:rsidR="004F0CC9">
        <w:t xml:space="preserve"> </w:t>
      </w:r>
      <w:r w:rsidR="0021539C">
        <w:t xml:space="preserve">as required </w:t>
      </w:r>
      <w:r w:rsidR="00EE7012">
        <w:t>under the Commission’s rules each year</w:t>
      </w:r>
      <w:r w:rsidR="00136CD0">
        <w:t>,</w:t>
      </w:r>
      <w:r w:rsidR="00EE7012">
        <w:t xml:space="preserve"> </w:t>
      </w:r>
      <w:r w:rsidR="004F0CC9">
        <w:t>effective July 1</w:t>
      </w:r>
      <w:r w:rsidRPr="008452C9" w:rsidR="00372709">
        <w:t>.</w:t>
      </w:r>
      <w:r>
        <w:rPr>
          <w:rStyle w:val="FootnoteReference"/>
        </w:rPr>
        <w:footnoteReference w:id="8"/>
      </w:r>
      <w:r w:rsidRPr="008452C9" w:rsidR="00372709">
        <w:t xml:space="preserve">  </w:t>
      </w:r>
      <w:r w:rsidRPr="008452C9">
        <w:t xml:space="preserve">All correspondence and comments in connection with these filings should refer to the caption of this proceeding, </w:t>
      </w:r>
      <w:r w:rsidRPr="0057149E">
        <w:rPr>
          <w:i/>
        </w:rPr>
        <w:t>July 1, 202</w:t>
      </w:r>
      <w:r w:rsidRPr="0057149E" w:rsidR="00C64CE4">
        <w:rPr>
          <w:i/>
        </w:rPr>
        <w:t>1</w:t>
      </w:r>
      <w:r w:rsidRPr="0057149E">
        <w:rPr>
          <w:i/>
        </w:rPr>
        <w:t xml:space="preserve"> Annual Access Charge Tariff Filings</w:t>
      </w:r>
      <w:r>
        <w:t>, WC Docket No.</w:t>
      </w:r>
      <w:r w:rsidR="00C64CE4">
        <w:t xml:space="preserve"> </w:t>
      </w:r>
      <w:r w:rsidRPr="004324BF" w:rsidR="00063EBA">
        <w:t>21-148</w:t>
      </w:r>
      <w:r w:rsidRPr="006C73CB">
        <w:t>.</w:t>
      </w:r>
    </w:p>
    <w:p w:rsidR="002131CA" w:rsidP="001D15A9" w14:paraId="29A66915" w14:textId="77777777">
      <w:pPr>
        <w:pStyle w:val="Heading1"/>
      </w:pPr>
      <w:r>
        <w:t>DISCUSSION</w:t>
      </w:r>
    </w:p>
    <w:p w:rsidR="001D15A9" w:rsidP="001D15A9" w14:paraId="701A182D" w14:textId="77777777">
      <w:pPr>
        <w:pStyle w:val="Heading2"/>
      </w:pPr>
      <w:r>
        <w:t>Tariff Effective Dates and Tariff Filing Dates</w:t>
      </w:r>
    </w:p>
    <w:p w:rsidR="001D15A9" w:rsidP="00CF4D49" w14:paraId="341E767A" w14:textId="1CF7963F">
      <w:pPr>
        <w:pStyle w:val="ParaNum"/>
        <w:widowControl/>
      </w:pPr>
      <w:r w:rsidRPr="008A7535">
        <w:t xml:space="preserve">The Commission’s rules require </w:t>
      </w:r>
      <w:r>
        <w:t xml:space="preserve">incumbent LECs to file </w:t>
      </w:r>
      <w:r w:rsidRPr="008A7535">
        <w:t>annual access charge tariff</w:t>
      </w:r>
      <w:r>
        <w:t>s</w:t>
      </w:r>
      <w:r w:rsidRPr="008A7535">
        <w:t xml:space="preserve"> with a scheduled effective date of July 1</w:t>
      </w:r>
      <w:r>
        <w:t>.</w:t>
      </w:r>
      <w:r>
        <w:rPr>
          <w:vertAlign w:val="superscript"/>
        </w:rPr>
        <w:footnoteReference w:id="9"/>
      </w:r>
      <w:r w:rsidRPr="008A7535">
        <w:t xml:space="preserve">  </w:t>
      </w:r>
      <w:r>
        <w:t>Incumbent LECs are permitted to make their tariff filings either 15 or 7 days prior to the scheduled effective date of their tariff revisions, depending on the type of changes the</w:t>
      </w:r>
      <w:r w:rsidR="00DF2A1D">
        <w:t xml:space="preserve">y </w:t>
      </w:r>
      <w:r>
        <w:t>propose</w:t>
      </w:r>
      <w:r w:rsidR="00DF2A1D">
        <w:t xml:space="preserve"> to make</w:t>
      </w:r>
      <w:r>
        <w:t>.</w:t>
      </w:r>
      <w:r>
        <w:rPr>
          <w:rStyle w:val="FootnoteReference"/>
        </w:rPr>
        <w:footnoteReference w:id="10"/>
      </w:r>
      <w:r>
        <w:t xml:space="preserve">  </w:t>
      </w:r>
    </w:p>
    <w:p w:rsidR="000C7FCF" w:rsidRPr="00C0137F" w:rsidP="00C0137F" w14:paraId="0FB3F12D" w14:textId="5945442F">
      <w:pPr>
        <w:pStyle w:val="ParaNum"/>
        <w:rPr>
          <w:szCs w:val="22"/>
        </w:rPr>
      </w:pPr>
      <w:r>
        <w:t xml:space="preserve">Incumbent </w:t>
      </w:r>
      <w:r w:rsidRPr="00243513">
        <w:t>LECs that file tariffs under the price cap ratemaking methodology are required to file revised annual access charge tariffs every year.</w:t>
      </w:r>
      <w:r>
        <w:rPr>
          <w:rStyle w:val="FootnoteReference"/>
          <w:szCs w:val="24"/>
        </w:rPr>
        <w:footnoteReference w:id="11"/>
      </w:r>
      <w:r w:rsidRPr="00243513">
        <w:t xml:space="preserve">  </w:t>
      </w:r>
      <w:r>
        <w:t xml:space="preserve">Incumbent </w:t>
      </w:r>
      <w:r w:rsidRPr="00243513">
        <w:t xml:space="preserve">LECs that file tariffs under </w:t>
      </w:r>
      <w:r>
        <w:t xml:space="preserve">a </w:t>
      </w:r>
      <w:r w:rsidRPr="00243513">
        <w:t xml:space="preserve">rate-of-return ratemaking methodology are required to file every other year.  </w:t>
      </w:r>
      <w:r w:rsidR="0044204C">
        <w:t xml:space="preserve">Incumbent </w:t>
      </w:r>
      <w:r w:rsidRPr="00243513" w:rsidR="0044204C">
        <w:t>LECs filing pursuant to the requirements of section 61.3</w:t>
      </w:r>
      <w:r w:rsidR="0044204C">
        <w:t>9</w:t>
      </w:r>
      <w:r w:rsidRPr="00243513" w:rsidR="0044204C">
        <w:t xml:space="preserve"> of the Commission’s rules are required to file annual access charge tariffs this year, an </w:t>
      </w:r>
      <w:r w:rsidR="0044204C">
        <w:t>odd</w:t>
      </w:r>
      <w:r w:rsidRPr="00243513" w:rsidR="0044204C">
        <w:t>-numbered year.</w:t>
      </w:r>
      <w:r>
        <w:rPr>
          <w:rStyle w:val="FootnoteReference"/>
          <w:szCs w:val="24"/>
        </w:rPr>
        <w:footnoteReference w:id="12"/>
      </w:r>
      <w:r w:rsidRPr="00243513" w:rsidR="0044204C">
        <w:t xml:space="preserve">  </w:t>
      </w:r>
      <w:r w:rsidR="00B711F6">
        <w:t>Ordinarily, r</w:t>
      </w:r>
      <w:r w:rsidR="00201D54">
        <w:t>ate-of-return incumbent LECs subject to section 61.38 of the Commission’s rules</w:t>
      </w:r>
      <w:r>
        <w:rPr>
          <w:rStyle w:val="FootnoteReference"/>
        </w:rPr>
        <w:footnoteReference w:id="13"/>
      </w:r>
      <w:r w:rsidR="00201D54">
        <w:t xml:space="preserve"> would </w:t>
      </w:r>
      <w:r w:rsidRPr="00C521C6" w:rsidR="00201D54">
        <w:rPr>
          <w:szCs w:val="22"/>
        </w:rPr>
        <w:t>not</w:t>
      </w:r>
      <w:r w:rsidR="009E1D54">
        <w:rPr>
          <w:szCs w:val="22"/>
        </w:rPr>
        <w:t xml:space="preserve"> </w:t>
      </w:r>
      <w:r w:rsidRPr="00C521C6" w:rsidR="00201D54">
        <w:rPr>
          <w:szCs w:val="22"/>
        </w:rPr>
        <w:t xml:space="preserve">be required </w:t>
      </w:r>
      <w:r w:rsidR="00616C85">
        <w:rPr>
          <w:szCs w:val="22"/>
        </w:rPr>
        <w:t xml:space="preserve">to </w:t>
      </w:r>
      <w:r w:rsidRPr="00C521C6" w:rsidR="001230ED">
        <w:rPr>
          <w:szCs w:val="22"/>
        </w:rPr>
        <w:t>file annual access charge tariffs this year, because they file revisions in even-numbered years.</w:t>
      </w:r>
      <w:r>
        <w:rPr>
          <w:rStyle w:val="FootnoteReference"/>
          <w:sz w:val="22"/>
          <w:szCs w:val="22"/>
        </w:rPr>
        <w:footnoteReference w:id="14"/>
      </w:r>
      <w:r w:rsidRPr="00C521C6" w:rsidR="001230ED">
        <w:rPr>
          <w:szCs w:val="22"/>
        </w:rPr>
        <w:t xml:space="preserve">  </w:t>
      </w:r>
      <w:r w:rsidRPr="00AE74D0" w:rsidR="00AE74D0">
        <w:rPr>
          <w:szCs w:val="22"/>
        </w:rPr>
        <w:t xml:space="preserve">Pursuant to the </w:t>
      </w:r>
      <w:r w:rsidRPr="00AE74D0" w:rsidR="00AE74D0">
        <w:rPr>
          <w:i/>
          <w:iCs/>
          <w:szCs w:val="22"/>
        </w:rPr>
        <w:t>USF/ICC Transformation Order</w:t>
      </w:r>
      <w:r w:rsidRPr="00AE74D0" w:rsidR="00AE74D0">
        <w:rPr>
          <w:szCs w:val="22"/>
        </w:rPr>
        <w:t>, however, rate-of-return incumbent LECs</w:t>
      </w:r>
      <w:r w:rsidR="00857951">
        <w:rPr>
          <w:szCs w:val="22"/>
        </w:rPr>
        <w:t xml:space="preserve"> </w:t>
      </w:r>
      <w:r w:rsidRPr="00857951" w:rsidR="00AE74D0">
        <w:rPr>
          <w:szCs w:val="22"/>
        </w:rPr>
        <w:t>subject to section 61.38 of the Commission’s rules must file a TRP this year to comply with the</w:t>
      </w:r>
      <w:r w:rsidR="00857951">
        <w:rPr>
          <w:szCs w:val="22"/>
        </w:rPr>
        <w:t xml:space="preserve"> </w:t>
      </w:r>
      <w:r w:rsidRPr="00857951" w:rsidR="00AE74D0">
        <w:rPr>
          <w:szCs w:val="22"/>
        </w:rPr>
        <w:t>requirements of sections</w:t>
      </w:r>
      <w:r w:rsidR="00857951">
        <w:rPr>
          <w:szCs w:val="22"/>
        </w:rPr>
        <w:t xml:space="preserve"> </w:t>
      </w:r>
      <w:r w:rsidRPr="00857951" w:rsidR="00AE74D0">
        <w:rPr>
          <w:szCs w:val="22"/>
        </w:rPr>
        <w:t>51.917(d)</w:t>
      </w:r>
      <w:r w:rsidR="00857951">
        <w:rPr>
          <w:szCs w:val="22"/>
        </w:rPr>
        <w:t>(1)</w:t>
      </w:r>
      <w:r w:rsidRPr="00857951" w:rsidR="00AE74D0">
        <w:rPr>
          <w:szCs w:val="22"/>
        </w:rPr>
        <w:t>(iv), and 51.917(e) of the Commission’s rules</w:t>
      </w:r>
      <w:r w:rsidR="00857951">
        <w:rPr>
          <w:szCs w:val="22"/>
        </w:rPr>
        <w:t>.</w:t>
      </w:r>
      <w:r>
        <w:rPr>
          <w:rStyle w:val="FootnoteReference"/>
          <w:szCs w:val="22"/>
        </w:rPr>
        <w:footnoteReference w:id="15"/>
      </w:r>
      <w:r w:rsidR="00857951">
        <w:rPr>
          <w:szCs w:val="22"/>
        </w:rPr>
        <w:t xml:space="preserve">  </w:t>
      </w:r>
      <w:r w:rsidRPr="00857951" w:rsidR="00AE74D0">
        <w:rPr>
          <w:szCs w:val="22"/>
        </w:rPr>
        <w:t>Further</w:t>
      </w:r>
      <w:r w:rsidRPr="00857951" w:rsidR="001230ED">
        <w:rPr>
          <w:szCs w:val="22"/>
        </w:rPr>
        <w:t xml:space="preserve">, </w:t>
      </w:r>
      <w:r w:rsidRPr="00857951">
        <w:rPr>
          <w:szCs w:val="22"/>
        </w:rPr>
        <w:t xml:space="preserve">all rate-of-return incumbent LECs </w:t>
      </w:r>
      <w:r w:rsidRPr="00857951" w:rsidR="00C521C6">
        <w:rPr>
          <w:rFonts w:ascii="TimesNewRomanPSMT" w:hAnsi="TimesNewRomanPSMT" w:cs="TimesNewRomanPSMT"/>
          <w:snapToGrid/>
          <w:kern w:val="0"/>
          <w:szCs w:val="22"/>
        </w:rPr>
        <w:t xml:space="preserve">must file a </w:t>
      </w:r>
      <w:r w:rsidRPr="00857951" w:rsidR="00CF05F5">
        <w:rPr>
          <w:rFonts w:ascii="TimesNewRomanPSMT" w:hAnsi="TimesNewRomanPSMT" w:cs="TimesNewRomanPSMT"/>
          <w:snapToGrid/>
          <w:kern w:val="0"/>
          <w:szCs w:val="22"/>
        </w:rPr>
        <w:t>TRP</w:t>
      </w:r>
      <w:r w:rsidRPr="00857951" w:rsidR="00C521C6">
        <w:rPr>
          <w:rFonts w:ascii="TimesNewRomanPSMT" w:hAnsi="TimesNewRomanPSMT" w:cs="TimesNewRomanPSMT"/>
          <w:snapToGrid/>
          <w:kern w:val="0"/>
          <w:szCs w:val="22"/>
        </w:rPr>
        <w:t xml:space="preserve"> this year to </w:t>
      </w:r>
      <w:r w:rsidR="00B711F6">
        <w:rPr>
          <w:szCs w:val="22"/>
        </w:rPr>
        <w:t xml:space="preserve">ensure that their rates </w:t>
      </w:r>
      <w:r w:rsidRPr="00857951">
        <w:rPr>
          <w:szCs w:val="22"/>
        </w:rPr>
        <w:t>comply with the prescribed rate of return for this tariff year, 9.</w:t>
      </w:r>
      <w:r w:rsidRPr="00857951" w:rsidR="005E1383">
        <w:rPr>
          <w:szCs w:val="22"/>
        </w:rPr>
        <w:t>7</w:t>
      </w:r>
      <w:r w:rsidRPr="00857951">
        <w:rPr>
          <w:szCs w:val="22"/>
        </w:rPr>
        <w:t>5%.</w:t>
      </w:r>
      <w:r>
        <w:rPr>
          <w:szCs w:val="22"/>
          <w:vertAlign w:val="superscript"/>
        </w:rPr>
        <w:footnoteReference w:id="16"/>
      </w:r>
    </w:p>
    <w:p w:rsidR="00316AB1" w:rsidP="00861BF2" w14:paraId="165A23C1" w14:textId="13A97C22">
      <w:pPr>
        <w:pStyle w:val="ParaNum"/>
        <w:widowControl/>
      </w:pPr>
      <w:r>
        <w:t>In addition, a</w:t>
      </w:r>
      <w:r w:rsidRPr="0006517A" w:rsidR="00584CC0">
        <w:t xml:space="preserve">ll </w:t>
      </w:r>
      <w:r w:rsidRPr="0006517A" w:rsidR="00DA6CD4">
        <w:t xml:space="preserve">price cap and rate-of-return </w:t>
      </w:r>
      <w:r w:rsidRPr="0006517A" w:rsidR="00584CC0">
        <w:t>i</w:t>
      </w:r>
      <w:r w:rsidRPr="0006517A" w:rsidR="00763E09">
        <w:t xml:space="preserve">ncumbent LECs are required to </w:t>
      </w:r>
      <w:r w:rsidRPr="0006517A" w:rsidR="00AD0E1C">
        <w:t xml:space="preserve">transition their </w:t>
      </w:r>
      <w:r w:rsidRPr="0006517A" w:rsidR="001C3B18">
        <w:t xml:space="preserve">interstate and intrastate </w:t>
      </w:r>
      <w:r w:rsidRPr="0006517A" w:rsidR="00377710">
        <w:t xml:space="preserve">toll free </w:t>
      </w:r>
      <w:r w:rsidRPr="0006517A" w:rsidR="00154994">
        <w:t>(</w:t>
      </w:r>
      <w:r w:rsidRPr="0006517A" w:rsidR="00100260">
        <w:t xml:space="preserve">or </w:t>
      </w:r>
      <w:r w:rsidRPr="0006517A" w:rsidR="00154994">
        <w:t xml:space="preserve">8YY) </w:t>
      </w:r>
      <w:r w:rsidRPr="0006517A" w:rsidR="00763E09">
        <w:t xml:space="preserve">originating end office </w:t>
      </w:r>
      <w:r w:rsidRPr="0006517A" w:rsidR="00377710">
        <w:t>access service rate</w:t>
      </w:r>
      <w:r w:rsidRPr="0006517A" w:rsidR="00DF43A7">
        <w:t>s</w:t>
      </w:r>
      <w:r w:rsidRPr="0006517A" w:rsidR="00A85AEC">
        <w:t xml:space="preserve"> </w:t>
      </w:r>
      <w:r w:rsidRPr="0006517A" w:rsidR="00763E09">
        <w:t>to bill-and-keep</w:t>
      </w:r>
      <w:r w:rsidRPr="0006517A" w:rsidR="00AD0E1C">
        <w:t xml:space="preserve"> </w:t>
      </w:r>
      <w:r w:rsidRPr="0006517A" w:rsidR="00693674">
        <w:t xml:space="preserve">over a </w:t>
      </w:r>
      <w:r w:rsidRPr="0006517A" w:rsidR="00AD0E1C">
        <w:t>three-year period</w:t>
      </w:r>
      <w:r w:rsidRPr="0006517A" w:rsidR="00763E09">
        <w:t>.</w:t>
      </w:r>
      <w:r>
        <w:rPr>
          <w:rStyle w:val="FootnoteReference"/>
          <w:sz w:val="22"/>
          <w:szCs w:val="22"/>
        </w:rPr>
        <w:footnoteReference w:id="17"/>
      </w:r>
      <w:r w:rsidRPr="0006517A" w:rsidR="00763E09">
        <w:t xml:space="preserve">  </w:t>
      </w:r>
      <w:bookmarkStart w:id="6" w:name="_Hlk66357582"/>
      <w:r w:rsidRPr="0006517A" w:rsidR="001D2F54">
        <w:t>As an initial step</w:t>
      </w:r>
      <w:r w:rsidR="00536E73">
        <w:t>,</w:t>
      </w:r>
      <w:r w:rsidR="00D06FF7">
        <w:t xml:space="preserve"> </w:t>
      </w:r>
      <w:r w:rsidRPr="0006517A" w:rsidR="000634E4">
        <w:t xml:space="preserve">rate-of-return </w:t>
      </w:r>
      <w:r w:rsidRPr="0006517A" w:rsidR="001D2F54">
        <w:t xml:space="preserve">incumbent LECs </w:t>
      </w:r>
      <w:r w:rsidR="00235124">
        <w:t xml:space="preserve">were required to </w:t>
      </w:r>
      <w:r w:rsidR="00D01D76">
        <w:t>cap</w:t>
      </w:r>
      <w:r w:rsidR="00235124">
        <w:t xml:space="preserve"> </w:t>
      </w:r>
      <w:r w:rsidRPr="0006517A" w:rsidR="004F750C">
        <w:t>the</w:t>
      </w:r>
      <w:r w:rsidR="00CE14E3">
        <w:t xml:space="preserve"> rate for all </w:t>
      </w:r>
      <w:r w:rsidRPr="0006517A" w:rsidR="001D2F54">
        <w:t xml:space="preserve">intrastate originating access service </w:t>
      </w:r>
      <w:r w:rsidR="00CE14E3">
        <w:t>rate elements for toll free calls, including toll free database query charges,</w:t>
      </w:r>
      <w:r w:rsidRPr="0006517A" w:rsidR="00CE14E3">
        <w:t xml:space="preserve"> </w:t>
      </w:r>
      <w:r w:rsidRPr="0006517A" w:rsidR="001D2F54">
        <w:t>as of December 28, 2020</w:t>
      </w:r>
      <w:bookmarkEnd w:id="6"/>
      <w:r w:rsidRPr="0006517A" w:rsidR="001D2F54">
        <w:t>.</w:t>
      </w:r>
      <w:r>
        <w:rPr>
          <w:rStyle w:val="FootnoteReference"/>
          <w:sz w:val="22"/>
          <w:szCs w:val="22"/>
        </w:rPr>
        <w:footnoteReference w:id="18"/>
      </w:r>
      <w:r w:rsidRPr="0006517A" w:rsidR="001D2F54">
        <w:t xml:space="preserve"> </w:t>
      </w:r>
      <w:r w:rsidR="00D06FF7">
        <w:t xml:space="preserve"> </w:t>
      </w:r>
      <w:r w:rsidR="00536E73">
        <w:t>As part of the transition</w:t>
      </w:r>
      <w:r w:rsidR="00881DE5">
        <w:t>,</w:t>
      </w:r>
      <w:r w:rsidR="00D330DC">
        <w:t xml:space="preserve"> b</w:t>
      </w:r>
      <w:r w:rsidRPr="0006517A" w:rsidR="00A85AEC">
        <w:t>eginning July 1, 2021</w:t>
      </w:r>
      <w:r w:rsidR="00FB5950">
        <w:t>,</w:t>
      </w:r>
      <w:r w:rsidRPr="0006517A" w:rsidR="00A85AEC">
        <w:t xml:space="preserve"> </w:t>
      </w:r>
      <w:r w:rsidR="00D06FF7">
        <w:t xml:space="preserve">price cap and rate-of-return incumbent LECs </w:t>
      </w:r>
      <w:r w:rsidR="00536E73">
        <w:t xml:space="preserve">are required to </w:t>
      </w:r>
      <w:r w:rsidRPr="0006517A" w:rsidR="007F5237">
        <w:t>tariff</w:t>
      </w:r>
      <w:r w:rsidRPr="0006517A" w:rsidR="0016393C">
        <w:t xml:space="preserve"> </w:t>
      </w:r>
      <w:r w:rsidRPr="0006517A" w:rsidR="007F5237">
        <w:t xml:space="preserve">separate </w:t>
      </w:r>
      <w:r w:rsidRPr="0006517A" w:rsidR="0016393C">
        <w:t>rate element</w:t>
      </w:r>
      <w:r w:rsidRPr="0006517A" w:rsidR="00DA6CD4">
        <w:t>s</w:t>
      </w:r>
      <w:r w:rsidRPr="0006517A" w:rsidR="0016393C">
        <w:t xml:space="preserve"> </w:t>
      </w:r>
      <w:r w:rsidRPr="0006517A" w:rsidR="00A85AEC">
        <w:t xml:space="preserve">for </w:t>
      </w:r>
      <w:r w:rsidRPr="0006517A" w:rsidR="001C3B18">
        <w:t xml:space="preserve">toll free and non-toll free interstate and </w:t>
      </w:r>
      <w:r w:rsidRPr="0006517A" w:rsidR="00A85AEC">
        <w:t>intrastate originating end office access service</w:t>
      </w:r>
      <w:r w:rsidR="00881DE5">
        <w:t>.</w:t>
      </w:r>
      <w:r>
        <w:rPr>
          <w:rStyle w:val="FootnoteReference"/>
          <w:szCs w:val="22"/>
        </w:rPr>
        <w:footnoteReference w:id="19"/>
      </w:r>
      <w:r w:rsidR="00881DE5">
        <w:t xml:space="preserve">  </w:t>
      </w:r>
      <w:r w:rsidR="00536E73">
        <w:t>These i</w:t>
      </w:r>
      <w:r w:rsidR="00881DE5">
        <w:t>ncumbent LECs then</w:t>
      </w:r>
      <w:r w:rsidRPr="0006517A" w:rsidR="00F33711">
        <w:t xml:space="preserve"> </w:t>
      </w:r>
      <w:r w:rsidR="000142EE">
        <w:t xml:space="preserve">must </w:t>
      </w:r>
      <w:r w:rsidRPr="0006517A" w:rsidR="00A85AEC">
        <w:t xml:space="preserve">reduce </w:t>
      </w:r>
      <w:r w:rsidRPr="0006517A" w:rsidR="007F5237">
        <w:t>th</w:t>
      </w:r>
      <w:r w:rsidRPr="0006517A" w:rsidR="001C3B18">
        <w:t>eir</w:t>
      </w:r>
      <w:r w:rsidRPr="0006517A" w:rsidR="007F5237">
        <w:t xml:space="preserve"> intrastate </w:t>
      </w:r>
      <w:r w:rsidRPr="0006517A" w:rsidR="001C3B18">
        <w:t xml:space="preserve">toll free </w:t>
      </w:r>
      <w:r w:rsidR="00881DE5">
        <w:t xml:space="preserve">originating end office access service </w:t>
      </w:r>
      <w:r w:rsidRPr="0006517A" w:rsidR="007F5237">
        <w:t>rate</w:t>
      </w:r>
      <w:r w:rsidRPr="0006517A" w:rsidR="001C3B18">
        <w:t>s</w:t>
      </w:r>
      <w:r w:rsidRPr="0006517A" w:rsidR="007F5237">
        <w:t xml:space="preserve"> </w:t>
      </w:r>
      <w:r w:rsidRPr="0006517A" w:rsidR="0022380D">
        <w:t xml:space="preserve">to interstate levels when </w:t>
      </w:r>
      <w:r w:rsidRPr="0006517A" w:rsidR="007F5237">
        <w:t>intrastate rates</w:t>
      </w:r>
      <w:r w:rsidRPr="0006517A" w:rsidR="0022380D">
        <w:t xml:space="preserve"> </w:t>
      </w:r>
      <w:r w:rsidRPr="0006517A" w:rsidR="00D64313">
        <w:t>exceed</w:t>
      </w:r>
      <w:r w:rsidRPr="0006517A" w:rsidR="0022380D">
        <w:t xml:space="preserve"> comparable interstate rates</w:t>
      </w:r>
      <w:r w:rsidRPr="0006517A" w:rsidR="00763E09">
        <w:t>.</w:t>
      </w:r>
      <w:r>
        <w:rPr>
          <w:rStyle w:val="FootnoteReference"/>
          <w:sz w:val="22"/>
          <w:szCs w:val="22"/>
        </w:rPr>
        <w:footnoteReference w:id="20"/>
      </w:r>
      <w:r w:rsidRPr="0006517A" w:rsidR="00DF43A7">
        <w:t xml:space="preserve"> </w:t>
      </w:r>
      <w:r w:rsidRPr="0006517A" w:rsidR="00D73F8B">
        <w:t xml:space="preserve"> </w:t>
      </w:r>
      <w:r w:rsidR="00FB5950">
        <w:t>Also</w:t>
      </w:r>
      <w:r w:rsidR="00A81184">
        <w:t>, all i</w:t>
      </w:r>
      <w:r w:rsidR="001C3B18">
        <w:t xml:space="preserve">ncumbent LECs </w:t>
      </w:r>
      <w:r w:rsidR="00A81184">
        <w:t xml:space="preserve">are required to </w:t>
      </w:r>
      <w:r w:rsidR="001C3B18">
        <w:t>tariff rate elements for interstate and in</w:t>
      </w:r>
      <w:r w:rsidR="00E7703F">
        <w:t xml:space="preserve">trastate non-toll free originating transport service between an end office and tandem switch and remove </w:t>
      </w:r>
      <w:r w:rsidR="00D561C0">
        <w:t>these</w:t>
      </w:r>
      <w:r w:rsidR="000142EE">
        <w:t xml:space="preserve"> rate elements</w:t>
      </w:r>
      <w:r w:rsidR="00E7703F">
        <w:t xml:space="preserve"> from </w:t>
      </w:r>
      <w:r w:rsidR="00C75C84">
        <w:t>their</w:t>
      </w:r>
      <w:r w:rsidR="00E7703F">
        <w:t xml:space="preserve"> tariff</w:t>
      </w:r>
      <w:r w:rsidR="00C75C84">
        <w:t>s</w:t>
      </w:r>
      <w:r w:rsidR="00E7703F">
        <w:t xml:space="preserve"> </w:t>
      </w:r>
      <w:r w:rsidR="00D561C0">
        <w:t>for toll free originating traffic</w:t>
      </w:r>
      <w:r w:rsidR="00B711F6">
        <w:t>,</w:t>
      </w:r>
      <w:r w:rsidR="00D561C0">
        <w:t xml:space="preserve"> </w:t>
      </w:r>
      <w:r w:rsidR="00E7703F">
        <w:t xml:space="preserve">consistent with </w:t>
      </w:r>
      <w:r w:rsidR="009173B5">
        <w:t xml:space="preserve">a </w:t>
      </w:r>
      <w:r w:rsidR="00E7703F">
        <w:t>bill-and-keep</w:t>
      </w:r>
      <w:r w:rsidR="009173B5">
        <w:t xml:space="preserve"> methodology</w:t>
      </w:r>
      <w:r w:rsidR="00E7703F">
        <w:t>.</w:t>
      </w:r>
      <w:r>
        <w:rPr>
          <w:rStyle w:val="FootnoteReference"/>
        </w:rPr>
        <w:footnoteReference w:id="21"/>
      </w:r>
      <w:r w:rsidR="00E7703F">
        <w:t xml:space="preserve">  </w:t>
      </w:r>
      <w:r w:rsidR="00A81184">
        <w:t>Further, all i</w:t>
      </w:r>
      <w:r w:rsidR="00D06FF7">
        <w:t xml:space="preserve">ncumbent LECs </w:t>
      </w:r>
      <w:r w:rsidR="00A81184">
        <w:t xml:space="preserve">are required to </w:t>
      </w:r>
      <w:r w:rsidR="00D06FF7">
        <w:t xml:space="preserve">tariff a single rate element </w:t>
      </w:r>
      <w:r w:rsidR="00B711F6">
        <w:t xml:space="preserve">of no more than $0.001 per minute </w:t>
      </w:r>
      <w:r w:rsidR="00D06FF7">
        <w:t>for joint tandem switched transport access service for toll free calls.</w:t>
      </w:r>
      <w:r>
        <w:rPr>
          <w:rStyle w:val="FootnoteReference"/>
        </w:rPr>
        <w:footnoteReference w:id="22"/>
      </w:r>
      <w:r w:rsidR="00D06FF7">
        <w:t xml:space="preserve">  </w:t>
      </w:r>
      <w:r w:rsidR="00B711F6">
        <w:t>In addition</w:t>
      </w:r>
      <w:r w:rsidR="00D06FF7">
        <w:t xml:space="preserve">, </w:t>
      </w:r>
      <w:r w:rsidR="0086761C">
        <w:t xml:space="preserve">beginning July 1, 2021, </w:t>
      </w:r>
      <w:r w:rsidR="00D06FF7">
        <w:t xml:space="preserve">incumbent LECs </w:t>
      </w:r>
      <w:r w:rsidR="00A81184">
        <w:t xml:space="preserve">are required to </w:t>
      </w:r>
      <w:r w:rsidR="0086761C">
        <w:t xml:space="preserve">reduce the </w:t>
      </w:r>
      <w:r w:rsidR="00D06FF7">
        <w:t xml:space="preserve">intrastate and interstate toll free database query charges </w:t>
      </w:r>
      <w:r w:rsidR="0086761C">
        <w:t xml:space="preserve">in their tariffs to </w:t>
      </w:r>
      <w:r w:rsidR="00D06FF7">
        <w:t>no more than $0.004248 per query.</w:t>
      </w:r>
      <w:r>
        <w:rPr>
          <w:rStyle w:val="FootnoteReference"/>
        </w:rPr>
        <w:footnoteReference w:id="23"/>
      </w:r>
      <w:r w:rsidR="00D06FF7">
        <w:t xml:space="preserve"> </w:t>
      </w:r>
      <w:r w:rsidR="00B05260">
        <w:t xml:space="preserve"> Incumbent LECs charging database query charges lower than this rate, however, may not increase their rates.</w:t>
      </w:r>
      <w:r>
        <w:rPr>
          <w:rStyle w:val="FootnoteReference"/>
        </w:rPr>
        <w:footnoteReference w:id="24"/>
      </w:r>
      <w:r w:rsidR="00B05260">
        <w:t xml:space="preserve"> </w:t>
      </w:r>
      <w:r w:rsidR="00D06FF7">
        <w:t xml:space="preserve"> </w:t>
      </w:r>
      <w:bookmarkStart w:id="8" w:name="_Hlk68614587"/>
      <w:r w:rsidR="00442E81">
        <w:t xml:space="preserve"> </w:t>
      </w:r>
    </w:p>
    <w:bookmarkEnd w:id="8"/>
    <w:p w:rsidR="0059259B" w:rsidP="00861BF2" w14:paraId="661D09DF" w14:textId="2D3EAC4E">
      <w:pPr>
        <w:pStyle w:val="Heading2"/>
      </w:pPr>
      <w:r>
        <w:t>Limited Waiver of NECA Switched Access Rate Cap Adjustment Rule</w:t>
      </w:r>
    </w:p>
    <w:p w:rsidR="0059259B" w:rsidRPr="0059259B" w:rsidP="00822279" w14:paraId="64BA96F1" w14:textId="29A1355D">
      <w:pPr>
        <w:pStyle w:val="ParaNum"/>
        <w:widowControl/>
      </w:pPr>
      <w:r>
        <w:rPr>
          <w:szCs w:val="22"/>
        </w:rPr>
        <w:t>We</w:t>
      </w:r>
      <w:r w:rsidRPr="00DD3A6F">
        <w:rPr>
          <w:szCs w:val="22"/>
        </w:rPr>
        <w:t xml:space="preserve"> find that good cause exists to grant</w:t>
      </w:r>
      <w:r>
        <w:rPr>
          <w:szCs w:val="22"/>
        </w:rPr>
        <w:t xml:space="preserve"> NECA, on our own motion</w:t>
      </w:r>
      <w:r>
        <w:t xml:space="preserve">, </w:t>
      </w:r>
      <w:r w:rsidRPr="00DD3A6F">
        <w:rPr>
          <w:szCs w:val="22"/>
        </w:rPr>
        <w:t xml:space="preserve">a limited waiver of section 51.909(a)(4) </w:t>
      </w:r>
      <w:r>
        <w:rPr>
          <w:szCs w:val="22"/>
        </w:rPr>
        <w:t xml:space="preserve">of the Commission’s rules </w:t>
      </w:r>
      <w:r w:rsidRPr="00DD3A6F">
        <w:rPr>
          <w:szCs w:val="22"/>
        </w:rPr>
        <w:t xml:space="preserve">for purposes of the </w:t>
      </w:r>
      <w:r>
        <w:rPr>
          <w:szCs w:val="22"/>
        </w:rPr>
        <w:t>2021-22</w:t>
      </w:r>
      <w:r w:rsidRPr="00DD3A6F">
        <w:rPr>
          <w:szCs w:val="22"/>
        </w:rPr>
        <w:t xml:space="preserve"> annual access tariff filing period.</w:t>
      </w:r>
      <w:r>
        <w:rPr>
          <w:szCs w:val="22"/>
          <w:vertAlign w:val="superscript"/>
        </w:rPr>
        <w:footnoteReference w:id="25"/>
      </w:r>
      <w:r w:rsidRPr="00DD3A6F">
        <w:rPr>
          <w:szCs w:val="22"/>
        </w:rPr>
        <w:t xml:space="preserve">  </w:t>
      </w:r>
      <w:r>
        <w:rPr>
          <w:szCs w:val="22"/>
        </w:rPr>
        <w:t>S</w:t>
      </w:r>
      <w:r w:rsidRPr="00503E0D">
        <w:rPr>
          <w:szCs w:val="22"/>
        </w:rPr>
        <w:t>ection 51.909(a)(4)</w:t>
      </w:r>
      <w:r>
        <w:rPr>
          <w:szCs w:val="22"/>
        </w:rPr>
        <w:t xml:space="preserve"> requires</w:t>
      </w:r>
      <w:r w:rsidRPr="00503E0D">
        <w:rPr>
          <w:szCs w:val="22"/>
        </w:rPr>
        <w:t xml:space="preserve"> NECA to adjust its switched access rate caps </w:t>
      </w:r>
      <w:r>
        <w:rPr>
          <w:szCs w:val="22"/>
        </w:rPr>
        <w:t>when carriers</w:t>
      </w:r>
      <w:r w:rsidRPr="00503E0D">
        <w:rPr>
          <w:szCs w:val="22"/>
        </w:rPr>
        <w:t xml:space="preserve"> ent</w:t>
      </w:r>
      <w:r>
        <w:rPr>
          <w:szCs w:val="22"/>
        </w:rPr>
        <w:t xml:space="preserve">er and exit </w:t>
      </w:r>
      <w:r w:rsidRPr="00503E0D">
        <w:rPr>
          <w:szCs w:val="22"/>
        </w:rPr>
        <w:t xml:space="preserve">the NECA </w:t>
      </w:r>
      <w:r>
        <w:rPr>
          <w:szCs w:val="22"/>
        </w:rPr>
        <w:t xml:space="preserve">tariff </w:t>
      </w:r>
      <w:r w:rsidRPr="00503E0D">
        <w:rPr>
          <w:szCs w:val="22"/>
        </w:rPr>
        <w:t>pool</w:t>
      </w:r>
      <w:r>
        <w:rPr>
          <w:szCs w:val="22"/>
        </w:rPr>
        <w:t>s and notify carriers participating in the traffic-sensitive pool of the change by May 1</w:t>
      </w:r>
      <w:r w:rsidRPr="00272FD2">
        <w:t>.</w:t>
      </w:r>
      <w:r>
        <w:rPr>
          <w:vertAlign w:val="superscript"/>
        </w:rPr>
        <w:footnoteReference w:id="26"/>
      </w:r>
      <w:r w:rsidR="00D87399">
        <w:t xml:space="preserve">  </w:t>
      </w:r>
      <w:r>
        <w:t xml:space="preserve">Only six carriers elected to enter or exit the NECA tariff pools for the 2021-22 annual access </w:t>
      </w:r>
      <w:r>
        <w:t>tariff filing period.</w:t>
      </w:r>
      <w:r>
        <w:rPr>
          <w:rStyle w:val="FootnoteReference"/>
        </w:rPr>
        <w:footnoteReference w:id="27"/>
      </w:r>
      <w:r>
        <w:t xml:space="preserve">  NECA has orally represented to Commission staff that the net effect of these elections on overall NECA tariff pool switched access rates would be approximately 0.0034% and that Connect America Fund intercarrier compensation (CAF ICC) support would increase by approximately $9,000 if NECA complied with </w:t>
      </w:r>
      <w:r w:rsidRPr="00160BCE">
        <w:t>section 51.909(a)(4)</w:t>
      </w:r>
      <w:r>
        <w:t xml:space="preserve">.  We find that the impact of these elections on NECA’s switched access rate caps and CAF ICC support would be </w:t>
      </w:r>
      <w:r w:rsidRPr="009468E3">
        <w:rPr>
          <w:i/>
          <w:iCs/>
        </w:rPr>
        <w:t>de minimis</w:t>
      </w:r>
      <w:r>
        <w:t xml:space="preserve">.  We further find that the administrative burdens on NECA to comply with section 51.909(a)(4) outweigh </w:t>
      </w:r>
      <w:r>
        <w:rPr>
          <w:szCs w:val="22"/>
        </w:rPr>
        <w:t>any</w:t>
      </w:r>
      <w:r w:rsidRPr="00DD3A6F">
        <w:rPr>
          <w:szCs w:val="22"/>
        </w:rPr>
        <w:t xml:space="preserve"> benefits</w:t>
      </w:r>
      <w:r>
        <w:rPr>
          <w:szCs w:val="22"/>
        </w:rPr>
        <w:t xml:space="preserve"> from such </w:t>
      </w:r>
      <w:r>
        <w:rPr>
          <w:i/>
          <w:szCs w:val="22"/>
        </w:rPr>
        <w:t xml:space="preserve">de minimis </w:t>
      </w:r>
      <w:r w:rsidRPr="00DD3A6F">
        <w:rPr>
          <w:szCs w:val="22"/>
        </w:rPr>
        <w:t>rate changes</w:t>
      </w:r>
      <w:r>
        <w:rPr>
          <w:szCs w:val="22"/>
        </w:rPr>
        <w:t>.</w:t>
      </w:r>
      <w:r w:rsidRPr="00DD3A6F">
        <w:rPr>
          <w:szCs w:val="22"/>
        </w:rPr>
        <w:t xml:space="preserve"> </w:t>
      </w:r>
      <w:r>
        <w:rPr>
          <w:szCs w:val="22"/>
        </w:rPr>
        <w:t xml:space="preserve"> </w:t>
      </w:r>
      <w:r>
        <w:t>Accordingly, consistent with prior precedent, we conclude that special circumstances warrant a deviation from section 51.909(a)(4) and find that granting NECA a limited waiver for purposes of the 2021-22 annual access tariff filing period will serve the public interest.</w:t>
      </w:r>
      <w:r>
        <w:rPr>
          <w:rStyle w:val="FootnoteReference"/>
        </w:rPr>
        <w:footnoteReference w:id="28"/>
      </w:r>
      <w:r>
        <w:t xml:space="preserve"> </w:t>
      </w:r>
    </w:p>
    <w:p w:rsidR="0044204C" w:rsidRPr="00433C92" w:rsidP="00A352C2" w14:paraId="0538106F" w14:textId="770CB22D">
      <w:pPr>
        <w:pStyle w:val="Heading2"/>
      </w:pPr>
      <w:r>
        <w:t xml:space="preserve">Tariff and Tariff Review Plan Filing Instructions </w:t>
      </w:r>
    </w:p>
    <w:p w:rsidR="00163417" w:rsidRPr="004B1573" w:rsidP="00163417" w14:paraId="52DB37EF" w14:textId="5C7B6D35">
      <w:pPr>
        <w:pStyle w:val="ParaNum"/>
        <w:widowControl/>
        <w:rPr>
          <w:b/>
          <w:bCs/>
          <w:caps/>
          <w:szCs w:val="24"/>
        </w:rPr>
      </w:pPr>
      <w:r w:rsidRPr="009374AE">
        <w:rPr>
          <w:szCs w:val="22"/>
        </w:rPr>
        <w:t>Incumbent</w:t>
      </w:r>
      <w:r w:rsidRPr="004B1573">
        <w:rPr>
          <w:szCs w:val="24"/>
        </w:rPr>
        <w:t xml:space="preserve"> LEC</w:t>
      </w:r>
      <w:r w:rsidRPr="004B1573">
        <w:rPr>
          <w:bCs/>
          <w:szCs w:val="24"/>
        </w:rPr>
        <w:t>s</w:t>
      </w:r>
      <w:r w:rsidRPr="004B1573">
        <w:rPr>
          <w:szCs w:val="24"/>
        </w:rPr>
        <w:t xml:space="preserve"> </w:t>
      </w:r>
      <w:r w:rsidRPr="004B1573">
        <w:rPr>
          <w:bCs/>
          <w:szCs w:val="24"/>
        </w:rPr>
        <w:t xml:space="preserve">must use the Commission’s </w:t>
      </w:r>
      <w:r w:rsidRPr="004B1573">
        <w:rPr>
          <w:szCs w:val="24"/>
        </w:rPr>
        <w:t>Electronic</w:t>
      </w:r>
      <w:r w:rsidRPr="004B1573">
        <w:rPr>
          <w:bCs/>
          <w:szCs w:val="24"/>
        </w:rPr>
        <w:t xml:space="preserve"> Tariff Filing System (ETFS) to file all of their tariff material.</w:t>
      </w:r>
      <w:r>
        <w:rPr>
          <w:rStyle w:val="FootnoteReference"/>
          <w:bCs/>
          <w:szCs w:val="24"/>
        </w:rPr>
        <w:footnoteReference w:id="29"/>
      </w:r>
      <w:r w:rsidRPr="004B1573">
        <w:rPr>
          <w:bCs/>
          <w:szCs w:val="24"/>
        </w:rPr>
        <w:t xml:space="preserve">  Incumbent LECs should make every effort to file as early in the day as possible to </w:t>
      </w:r>
      <w:r w:rsidRPr="004B1573">
        <w:t>avoid</w:t>
      </w:r>
      <w:r w:rsidRPr="004B1573">
        <w:rPr>
          <w:bCs/>
          <w:szCs w:val="24"/>
        </w:rPr>
        <w:t xml:space="preserve"> any complications in meeting the applicable filing deadlines.  Incumbent LEC</w:t>
      </w:r>
      <w:r w:rsidR="004F4700">
        <w:rPr>
          <w:bCs/>
          <w:szCs w:val="24"/>
        </w:rPr>
        <w:t>s’</w:t>
      </w:r>
      <w:r w:rsidRPr="004B1573">
        <w:rPr>
          <w:bCs/>
          <w:szCs w:val="24"/>
        </w:rPr>
        <w:t xml:space="preserve"> </w:t>
      </w:r>
      <w:r w:rsidR="00572AAF">
        <w:rPr>
          <w:bCs/>
          <w:szCs w:val="24"/>
        </w:rPr>
        <w:t>15</w:t>
      </w:r>
      <w:r w:rsidR="00895623">
        <w:rPr>
          <w:bCs/>
          <w:szCs w:val="24"/>
        </w:rPr>
        <w:t xml:space="preserve"> </w:t>
      </w:r>
      <w:r w:rsidR="00572AAF">
        <w:rPr>
          <w:bCs/>
          <w:szCs w:val="24"/>
        </w:rPr>
        <w:t>days’</w:t>
      </w:r>
      <w:r w:rsidR="00895623">
        <w:rPr>
          <w:bCs/>
          <w:szCs w:val="24"/>
        </w:rPr>
        <w:t xml:space="preserve"> </w:t>
      </w:r>
      <w:r w:rsidR="00572AAF">
        <w:rPr>
          <w:bCs/>
          <w:szCs w:val="24"/>
        </w:rPr>
        <w:t xml:space="preserve">notice </w:t>
      </w:r>
      <w:r w:rsidRPr="004B1573">
        <w:rPr>
          <w:bCs/>
          <w:szCs w:val="24"/>
        </w:rPr>
        <w:t>tariff filings</w:t>
      </w:r>
      <w:r w:rsidR="00572AAF">
        <w:rPr>
          <w:bCs/>
          <w:szCs w:val="24"/>
        </w:rPr>
        <w:t xml:space="preserve"> </w:t>
      </w:r>
      <w:r w:rsidRPr="004B1573">
        <w:rPr>
          <w:bCs/>
          <w:szCs w:val="24"/>
        </w:rPr>
        <w:t xml:space="preserve">must be received by ETFS after 7:00 p.m. Eastern Time on </w:t>
      </w:r>
      <w:r>
        <w:rPr>
          <w:bCs/>
          <w:szCs w:val="24"/>
        </w:rPr>
        <w:t>June 15, 2021</w:t>
      </w:r>
      <w:r w:rsidRPr="004B1573">
        <w:rPr>
          <w:bCs/>
          <w:szCs w:val="24"/>
        </w:rPr>
        <w:t xml:space="preserve"> and before 7:00 p.m. Eastern Time on </w:t>
      </w:r>
      <w:r>
        <w:rPr>
          <w:bCs/>
          <w:szCs w:val="24"/>
        </w:rPr>
        <w:t>June 16, 2021</w:t>
      </w:r>
      <w:r w:rsidRPr="004B1573">
        <w:rPr>
          <w:bCs/>
          <w:szCs w:val="24"/>
        </w:rPr>
        <w:t xml:space="preserve"> for the filing to be considered officially received on </w:t>
      </w:r>
      <w:r>
        <w:rPr>
          <w:bCs/>
          <w:szCs w:val="24"/>
        </w:rPr>
        <w:t>June 16, 202</w:t>
      </w:r>
      <w:r w:rsidR="00C00818">
        <w:rPr>
          <w:bCs/>
          <w:szCs w:val="24"/>
        </w:rPr>
        <w:t>1</w:t>
      </w:r>
      <w:r w:rsidRPr="004B1573">
        <w:rPr>
          <w:bCs/>
          <w:szCs w:val="24"/>
        </w:rPr>
        <w:t>.  Incumbent LEC</w:t>
      </w:r>
      <w:r w:rsidR="004F4700">
        <w:rPr>
          <w:bCs/>
          <w:szCs w:val="24"/>
        </w:rPr>
        <w:t>s’</w:t>
      </w:r>
      <w:r w:rsidRPr="004B1573">
        <w:rPr>
          <w:bCs/>
          <w:szCs w:val="24"/>
        </w:rPr>
        <w:t xml:space="preserve"> </w:t>
      </w:r>
      <w:r w:rsidR="00572AAF">
        <w:t>7</w:t>
      </w:r>
      <w:r w:rsidR="00895623">
        <w:t xml:space="preserve"> </w:t>
      </w:r>
      <w:r w:rsidR="00572AAF">
        <w:t>days’</w:t>
      </w:r>
      <w:r w:rsidR="00895623">
        <w:t xml:space="preserve"> </w:t>
      </w:r>
      <w:r w:rsidR="00572AAF">
        <w:t xml:space="preserve">notice </w:t>
      </w:r>
      <w:r w:rsidRPr="004B1573">
        <w:rPr>
          <w:bCs/>
          <w:szCs w:val="24"/>
        </w:rPr>
        <w:t>tariff filings</w:t>
      </w:r>
      <w:r w:rsidR="00572AAF">
        <w:rPr>
          <w:bCs/>
          <w:szCs w:val="24"/>
        </w:rPr>
        <w:t xml:space="preserve"> </w:t>
      </w:r>
      <w:r w:rsidRPr="004B1573">
        <w:rPr>
          <w:bCs/>
          <w:szCs w:val="24"/>
        </w:rPr>
        <w:t xml:space="preserve">must be received after 7:00 p.m. Eastern Time on </w:t>
      </w:r>
      <w:r>
        <w:rPr>
          <w:bCs/>
          <w:szCs w:val="24"/>
        </w:rPr>
        <w:t>June 23, 202</w:t>
      </w:r>
      <w:r w:rsidR="00C00818">
        <w:rPr>
          <w:bCs/>
          <w:szCs w:val="24"/>
        </w:rPr>
        <w:t>1</w:t>
      </w:r>
      <w:r w:rsidRPr="004B1573">
        <w:rPr>
          <w:bCs/>
          <w:szCs w:val="24"/>
        </w:rPr>
        <w:t xml:space="preserve"> and before 7:00 p.m. Eastern Time on </w:t>
      </w:r>
      <w:r>
        <w:rPr>
          <w:bCs/>
          <w:szCs w:val="24"/>
        </w:rPr>
        <w:t>June 24, 202</w:t>
      </w:r>
      <w:r w:rsidR="00C00818">
        <w:rPr>
          <w:bCs/>
          <w:szCs w:val="24"/>
        </w:rPr>
        <w:t>1</w:t>
      </w:r>
      <w:r w:rsidRPr="004B1573">
        <w:rPr>
          <w:bCs/>
          <w:szCs w:val="24"/>
        </w:rPr>
        <w:t xml:space="preserve"> for the filing to be considered officially received on </w:t>
      </w:r>
      <w:r>
        <w:rPr>
          <w:bCs/>
          <w:szCs w:val="24"/>
        </w:rPr>
        <w:t>June 24, 202</w:t>
      </w:r>
      <w:r w:rsidR="00C00818">
        <w:rPr>
          <w:bCs/>
          <w:szCs w:val="24"/>
        </w:rPr>
        <w:t>1</w:t>
      </w:r>
      <w:r w:rsidRPr="004B1573">
        <w:rPr>
          <w:bCs/>
          <w:szCs w:val="24"/>
        </w:rPr>
        <w:t>.</w:t>
      </w:r>
    </w:p>
    <w:p w:rsidR="00163417" w:rsidP="00163417" w14:paraId="3EFD9BD9" w14:textId="5C2FC043">
      <w:pPr>
        <w:pStyle w:val="ParaNum"/>
        <w:widowControl/>
      </w:pPr>
      <w:r>
        <w:t xml:space="preserve">Copies of the information filed </w:t>
      </w:r>
      <w:r w:rsidRPr="00BD5A96">
        <w:rPr>
          <w:bCs/>
          <w:szCs w:val="24"/>
        </w:rPr>
        <w:t>electronically</w:t>
      </w:r>
      <w:r>
        <w:t xml:space="preserve"> may be obtained via the Internet using ETFS at </w:t>
      </w:r>
      <w:hyperlink r:id="rId5" w:history="1">
        <w:r>
          <w:rPr>
            <w:rStyle w:val="Hyperlink"/>
          </w:rPr>
          <w:t>https://apps.fcc.gov/etfs/etfsHome.action</w:t>
        </w:r>
      </w:hyperlink>
      <w:r>
        <w:t>.  For more information, contact either Robin Cohn, Pricing Policy Division, Wireline Competition Bureau, at (202) 418-1540, or Richard Kwiatkowski, Economic Analysis Division, Office of Economics and Analytics, at (202) 418-1383.</w:t>
      </w:r>
    </w:p>
    <w:p w:rsidR="006A790E" w:rsidP="004E4353" w14:paraId="2250AD60" w14:textId="705F6EC0">
      <w:pPr>
        <w:pStyle w:val="Heading2"/>
      </w:pPr>
      <w:r>
        <w:t>Pleading Filing Dates and Procedures</w:t>
      </w:r>
    </w:p>
    <w:p w:rsidR="004E4353" w:rsidRPr="00BD5A96" w:rsidP="004E4353" w14:paraId="6BDC671D" w14:textId="79637FEA">
      <w:pPr>
        <w:pStyle w:val="ParaNum"/>
        <w:widowControl/>
        <w:rPr>
          <w:rStyle w:val="FootnoteReference"/>
          <w:szCs w:val="24"/>
          <w:vertAlign w:val="baseline"/>
        </w:rPr>
      </w:pPr>
      <w:r>
        <w:t xml:space="preserve">Petitions to suspend or reject 15 days’ notice tariff filings will be due </w:t>
      </w:r>
      <w:r w:rsidRPr="005A1AE6">
        <w:t xml:space="preserve">no later than </w:t>
      </w:r>
      <w:r>
        <w:t>June 23, 202</w:t>
      </w:r>
      <w:r w:rsidR="008C1F12">
        <w:t>1</w:t>
      </w:r>
      <w:r>
        <w:t xml:space="preserve">, and replies will be due no later than </w:t>
      </w:r>
      <w:r w:rsidR="00201D54">
        <w:t>12:00 p.m. Eastern Time</w:t>
      </w:r>
      <w:r w:rsidRPr="00201D54" w:rsidR="00201D54">
        <w:t xml:space="preserve"> </w:t>
      </w:r>
      <w:r w:rsidR="00201D54">
        <w:t xml:space="preserve">(noon) on </w:t>
      </w:r>
      <w:r>
        <w:t>June 2</w:t>
      </w:r>
      <w:r w:rsidR="008C1F12">
        <w:t>8</w:t>
      </w:r>
      <w:r>
        <w:t>, 202</w:t>
      </w:r>
      <w:r w:rsidR="008C1F12">
        <w:t>1</w:t>
      </w:r>
      <w:r>
        <w:t xml:space="preserve">.  Petitions to suspend or reject 7 days’ notice tariff filings will be due no later than </w:t>
      </w:r>
      <w:r w:rsidR="00201D54">
        <w:t>12:00 p.m. E</w:t>
      </w:r>
      <w:r w:rsidR="001126A7">
        <w:t xml:space="preserve">astern Time </w:t>
      </w:r>
      <w:r w:rsidR="00201D54">
        <w:t xml:space="preserve">(noon) on </w:t>
      </w:r>
      <w:r>
        <w:t>June 2</w:t>
      </w:r>
      <w:r w:rsidR="008C1F12">
        <w:t>8</w:t>
      </w:r>
      <w:r>
        <w:t>, 202</w:t>
      </w:r>
      <w:r w:rsidR="008C1F12">
        <w:t>1</w:t>
      </w:r>
      <w:r>
        <w:t xml:space="preserve">, and replies will be due no later than </w:t>
      </w:r>
      <w:r w:rsidR="00201D54">
        <w:t>12:00 p.m. E</w:t>
      </w:r>
      <w:r w:rsidR="001126A7">
        <w:t>astern Time</w:t>
      </w:r>
      <w:r w:rsidR="00201D54">
        <w:t xml:space="preserve"> (noon) on </w:t>
      </w:r>
      <w:r>
        <w:t xml:space="preserve">June </w:t>
      </w:r>
      <w:r w:rsidR="008C1F12">
        <w:t>30</w:t>
      </w:r>
      <w:r>
        <w:t xml:space="preserve">, 2020.  </w:t>
      </w:r>
      <w:r w:rsidRPr="003728C9">
        <w:t xml:space="preserve">We waive </w:t>
      </w:r>
      <w:r w:rsidR="0091600B">
        <w:t xml:space="preserve">those </w:t>
      </w:r>
      <w:r w:rsidRPr="003728C9">
        <w:t>portions of sections 1.4(f), 1.773(a) and 1.773(b) of the Commission’s rules</w:t>
      </w:r>
      <w:r>
        <w:t xml:space="preserve"> that are inconsistent with these deadlines.</w:t>
      </w:r>
      <w:r>
        <w:rPr>
          <w:sz w:val="20"/>
          <w:vertAlign w:val="superscript"/>
        </w:rPr>
        <w:footnoteReference w:id="30"/>
      </w:r>
      <w:r w:rsidRPr="00AA0D5E">
        <w:rPr>
          <w:sz w:val="20"/>
        </w:rPr>
        <w:t xml:space="preserve"> </w:t>
      </w:r>
    </w:p>
    <w:p w:rsidR="004E4353" w:rsidRPr="00E97BD1" w:rsidP="004E4353" w14:paraId="24583D95" w14:textId="28BCCED4">
      <w:pPr>
        <w:pStyle w:val="ParaNum"/>
        <w:widowControl/>
        <w:rPr>
          <w:b/>
          <w:szCs w:val="24"/>
        </w:rPr>
      </w:pPr>
      <w:r>
        <w:rPr>
          <w:szCs w:val="24"/>
        </w:rPr>
        <w:t>Pursuant to sections 1.419 and 1.773 of the Commission’s rules, interested parties may file petitions to suspend or reject tariff filings, and replies thereto, on or before the dates indicated in this document.</w:t>
      </w:r>
      <w:r>
        <w:rPr>
          <w:rStyle w:val="FootnoteReference"/>
          <w:szCs w:val="24"/>
        </w:rPr>
        <w:footnoteReference w:id="31"/>
      </w:r>
      <w:r w:rsidR="00E4446A">
        <w:rPr>
          <w:szCs w:val="24"/>
        </w:rPr>
        <w:t xml:space="preserve"> </w:t>
      </w:r>
      <w:r>
        <w:rPr>
          <w:szCs w:val="24"/>
        </w:rPr>
        <w:t xml:space="preserve"> Pleadings </w:t>
      </w:r>
      <w:r w:rsidR="00651259">
        <w:rPr>
          <w:szCs w:val="24"/>
        </w:rPr>
        <w:t>must</w:t>
      </w:r>
      <w:r>
        <w:rPr>
          <w:szCs w:val="24"/>
        </w:rPr>
        <w:t xml:space="preserve"> reference </w:t>
      </w:r>
      <w:r>
        <w:rPr>
          <w:b/>
          <w:szCs w:val="24"/>
        </w:rPr>
        <w:t xml:space="preserve">WC Docket No. </w:t>
      </w:r>
      <w:r w:rsidRPr="00063EBA" w:rsidR="00063EBA">
        <w:rPr>
          <w:b/>
          <w:szCs w:val="24"/>
        </w:rPr>
        <w:t>21-148</w:t>
      </w:r>
      <w:r w:rsidRPr="00063EBA" w:rsidR="00063EBA">
        <w:rPr>
          <w:b/>
          <w:szCs w:val="24"/>
        </w:rPr>
        <w:t xml:space="preserve"> </w:t>
      </w:r>
      <w:r w:rsidRPr="00651259" w:rsidR="00651259">
        <w:rPr>
          <w:bCs/>
          <w:szCs w:val="24"/>
        </w:rPr>
        <w:t>and</w:t>
      </w:r>
      <w:r w:rsidR="00651259">
        <w:rPr>
          <w:szCs w:val="24"/>
        </w:rPr>
        <w:t xml:space="preserve"> must </w:t>
      </w:r>
      <w:r w:rsidR="0068691A">
        <w:rPr>
          <w:szCs w:val="24"/>
        </w:rPr>
        <w:t>be addressed to the Commission’s Secretary, Office of the Secretary, Federal Communications Commission</w:t>
      </w:r>
      <w:r w:rsidR="00651259">
        <w:rPr>
          <w:szCs w:val="24"/>
        </w:rPr>
        <w:t xml:space="preserve">.  </w:t>
      </w:r>
    </w:p>
    <w:p w:rsidR="0068691A" w:rsidRPr="0034612B" w:rsidP="0068691A" w14:paraId="799EE682" w14:textId="6991B5F4">
      <w:pPr>
        <w:pStyle w:val="ParaNum"/>
        <w:widowControl/>
        <w:numPr>
          <w:ilvl w:val="0"/>
          <w:numId w:val="9"/>
        </w:numPr>
      </w:pPr>
      <w:r>
        <w:t xml:space="preserve">Electronic Filers:  Pleadings may be filed electronically using the Internet by accessing </w:t>
      </w:r>
      <w:r w:rsidR="006E5558">
        <w:t xml:space="preserve">the </w:t>
      </w:r>
      <w:r w:rsidR="003D2C4A">
        <w:t>Commission’s Electronic Comment Filing System (</w:t>
      </w:r>
      <w:r>
        <w:t>ECFS</w:t>
      </w:r>
      <w:r w:rsidR="003D2C4A">
        <w:t>)</w:t>
      </w:r>
      <w:r>
        <w:t xml:space="preserve">: </w:t>
      </w:r>
      <w:hyperlink r:id="rId6" w:history="1">
        <w:r w:rsidR="00525FE5">
          <w:rPr>
            <w:rStyle w:val="Hyperlink"/>
          </w:rPr>
          <w:t>www</w:t>
        </w:r>
        <w:r w:rsidRPr="0034612B" w:rsidR="00525FE5">
          <w:rPr>
            <w:rStyle w:val="Hyperlink"/>
          </w:rPr>
          <w:t>.fcc.gov/ecfs</w:t>
        </w:r>
      </w:hyperlink>
      <w:r w:rsidRPr="0034612B">
        <w:rPr>
          <w:rStyle w:val="Hyperlink"/>
          <w:u w:val="none"/>
        </w:rPr>
        <w:t>.</w:t>
      </w:r>
      <w:r>
        <w:rPr>
          <w:rStyle w:val="FootnoteReference"/>
          <w:szCs w:val="24"/>
        </w:rPr>
        <w:footnoteReference w:id="32"/>
      </w:r>
      <w:r w:rsidRPr="0034612B">
        <w:t xml:space="preserve">  </w:t>
      </w:r>
    </w:p>
    <w:p w:rsidR="0068691A" w:rsidRPr="0034612B" w:rsidP="0068691A" w14:paraId="4DF00A8C" w14:textId="6E576378">
      <w:pPr>
        <w:pStyle w:val="ParaNum"/>
        <w:widowControl/>
        <w:numPr>
          <w:ilvl w:val="0"/>
          <w:numId w:val="9"/>
        </w:numPr>
      </w:pPr>
      <w:r w:rsidRPr="0034612B">
        <w:t>Paper Filers:  Parties who choose to file by paper must file an original and one copy of each filing. Filings can be sent by commercial overnight courier, or by first-class or overnight U.S. Postal Service mail.</w:t>
      </w:r>
    </w:p>
    <w:p w:rsidR="0068691A" w:rsidRPr="0034612B" w:rsidP="0068691A" w14:paraId="74263A89" w14:textId="36DCC984">
      <w:pPr>
        <w:widowControl/>
        <w:numPr>
          <w:ilvl w:val="2"/>
          <w:numId w:val="10"/>
        </w:numPr>
        <w:spacing w:after="120"/>
        <w:rPr>
          <w:rFonts w:eastAsia="PMingLiU"/>
          <w:snapToGrid/>
          <w:kern w:val="0"/>
        </w:rPr>
      </w:pPr>
      <w:r w:rsidRPr="0034612B">
        <w:rPr>
          <w:rFonts w:eastAsia="PMingLiU"/>
          <w:snapToGrid/>
          <w:kern w:val="0"/>
        </w:rPr>
        <w:t>Commercial overnight mail (other than U.S. Postal Service Express Mail and Priority Mail) must be sent to 9050 Junction Drive, Annapolis Junction, MD 20701.</w:t>
      </w:r>
    </w:p>
    <w:p w:rsidR="0068691A" w:rsidP="0034612B" w14:paraId="703B51F0" w14:textId="5384BCDC">
      <w:pPr>
        <w:widowControl/>
        <w:numPr>
          <w:ilvl w:val="2"/>
          <w:numId w:val="10"/>
        </w:numPr>
        <w:spacing w:after="120"/>
        <w:rPr>
          <w:rFonts w:eastAsia="PMingLiU"/>
          <w:snapToGrid/>
          <w:kern w:val="0"/>
        </w:rPr>
      </w:pPr>
      <w:r w:rsidRPr="0034612B">
        <w:rPr>
          <w:rFonts w:eastAsia="PMingLiU"/>
          <w:snapToGrid/>
          <w:kern w:val="0"/>
        </w:rPr>
        <w:t xml:space="preserve">U.S. Postal Service </w:t>
      </w:r>
      <w:r w:rsidR="00D84871">
        <w:rPr>
          <w:rFonts w:eastAsia="PMingLiU"/>
          <w:snapToGrid/>
          <w:kern w:val="0"/>
        </w:rPr>
        <w:t>F</w:t>
      </w:r>
      <w:r w:rsidRPr="0034612B">
        <w:rPr>
          <w:rFonts w:eastAsia="PMingLiU"/>
          <w:snapToGrid/>
          <w:kern w:val="0"/>
        </w:rPr>
        <w:t>irst-</w:t>
      </w:r>
      <w:r w:rsidR="00D84871">
        <w:rPr>
          <w:rFonts w:eastAsia="PMingLiU"/>
          <w:snapToGrid/>
          <w:kern w:val="0"/>
        </w:rPr>
        <w:t>C</w:t>
      </w:r>
      <w:r w:rsidRPr="0034612B">
        <w:rPr>
          <w:rFonts w:eastAsia="PMingLiU"/>
          <w:snapToGrid/>
          <w:kern w:val="0"/>
        </w:rPr>
        <w:t>lass, Express, and Priority mail must be addressed to 45 L</w:t>
      </w:r>
      <w:r w:rsidRPr="0034612B" w:rsidR="0034612B">
        <w:rPr>
          <w:rFonts w:eastAsia="PMingLiU"/>
          <w:snapToGrid/>
          <w:kern w:val="0"/>
        </w:rPr>
        <w:t xml:space="preserve"> </w:t>
      </w:r>
      <w:r w:rsidRPr="0034612B">
        <w:rPr>
          <w:rFonts w:eastAsia="PMingLiU"/>
          <w:snapToGrid/>
          <w:kern w:val="0"/>
        </w:rPr>
        <w:t>Street N</w:t>
      </w:r>
      <w:r w:rsidR="00D84871">
        <w:rPr>
          <w:rFonts w:eastAsia="PMingLiU"/>
          <w:snapToGrid/>
          <w:kern w:val="0"/>
        </w:rPr>
        <w:t>E</w:t>
      </w:r>
      <w:r w:rsidRPr="0034612B">
        <w:rPr>
          <w:rFonts w:eastAsia="PMingLiU"/>
          <w:snapToGrid/>
          <w:kern w:val="0"/>
        </w:rPr>
        <w:t>, Washington, DC 205</w:t>
      </w:r>
      <w:r w:rsidR="00F34961">
        <w:rPr>
          <w:rFonts w:eastAsia="PMingLiU"/>
          <w:snapToGrid/>
          <w:kern w:val="0"/>
        </w:rPr>
        <w:t>5</w:t>
      </w:r>
      <w:r w:rsidRPr="0034612B">
        <w:rPr>
          <w:rFonts w:eastAsia="PMingLiU"/>
          <w:snapToGrid/>
          <w:kern w:val="0"/>
        </w:rPr>
        <w:t>4.</w:t>
      </w:r>
    </w:p>
    <w:p w:rsidR="00651259" w:rsidRPr="00651259" w:rsidP="004E4353" w14:paraId="254BE9E1" w14:textId="77777777">
      <w:pPr>
        <w:widowControl/>
        <w:numPr>
          <w:ilvl w:val="0"/>
          <w:numId w:val="10"/>
        </w:numPr>
        <w:spacing w:after="120"/>
      </w:pPr>
      <w:r w:rsidRPr="00651259">
        <w:rPr>
          <w:szCs w:val="22"/>
        </w:rPr>
        <w:t>Effective March 19, 2020, and until further notice, the Commission no longer accepts any hand or messenger delivered filings at its headquarters.  This is a temporary measure taken to help protect the health and safety of individuals, and to mitigate the transmission of COVID-19.</w:t>
      </w:r>
      <w:r>
        <w:rPr>
          <w:rStyle w:val="FootnoteReference"/>
          <w:szCs w:val="22"/>
        </w:rPr>
        <w:footnoteReference w:id="33"/>
      </w:r>
      <w:r w:rsidRPr="00651259">
        <w:rPr>
          <w:szCs w:val="22"/>
        </w:rPr>
        <w:t xml:space="preserve">  </w:t>
      </w:r>
    </w:p>
    <w:p w:rsidR="0034612B" w:rsidRPr="0034612B" w:rsidP="00651259" w14:paraId="283F129B" w14:textId="4E33AE45">
      <w:pPr>
        <w:pStyle w:val="ParaNum"/>
      </w:pPr>
      <w:r w:rsidRPr="00651259">
        <w:rPr>
          <w:i/>
          <w:iCs/>
        </w:rPr>
        <w:t>People with Disabilities</w:t>
      </w:r>
      <w:r w:rsidR="001A0972">
        <w:t>.</w:t>
      </w:r>
      <w:r>
        <w:t xml:space="preserve"> To request materials in accessible formats for people with disabilities (Braille, large print, electronic files, audio format), we ask that requests for accommodations be made as soon as possible in order to allow the agency to satisfy such requests whenever possible. </w:t>
      </w:r>
      <w:r w:rsidR="00552258">
        <w:t xml:space="preserve"> </w:t>
      </w:r>
      <w:r>
        <w:t xml:space="preserve">Send an email to </w:t>
      </w:r>
      <w:hyperlink r:id="rId7" w:history="1">
        <w:r w:rsidRPr="00050AF9" w:rsidR="001A0972">
          <w:rPr>
            <w:rStyle w:val="Hyperlink"/>
          </w:rPr>
          <w:t>fcc504@fcc.gov</w:t>
        </w:r>
      </w:hyperlink>
      <w:r w:rsidR="001A0972">
        <w:t xml:space="preserve"> </w:t>
      </w:r>
      <w:r>
        <w:t>or call the Consumer and Governmental Affairs Bureau at (202) 418-0530.</w:t>
      </w:r>
    </w:p>
    <w:p w:rsidR="004E4353" w:rsidRPr="00D353B2" w:rsidP="004E4353" w14:paraId="0DAEF27F" w14:textId="4839A4E1">
      <w:pPr>
        <w:pStyle w:val="ParaNum"/>
        <w:widowControl/>
      </w:pPr>
      <w:r w:rsidRPr="00D353B2">
        <w:rPr>
          <w:szCs w:val="24"/>
        </w:rPr>
        <w:t xml:space="preserve">In addition, on the day an electronic filing is submitted, an electronic courtesy </w:t>
      </w:r>
      <w:r w:rsidRPr="00D353B2">
        <w:rPr>
          <w:bCs/>
          <w:szCs w:val="24"/>
        </w:rPr>
        <w:t>copy</w:t>
      </w:r>
      <w:r w:rsidRPr="00D353B2">
        <w:rPr>
          <w:szCs w:val="24"/>
        </w:rPr>
        <w:t xml:space="preserve"> of any comments, reply comments, petitions</w:t>
      </w:r>
      <w:r w:rsidR="009029BF">
        <w:rPr>
          <w:szCs w:val="24"/>
        </w:rPr>
        <w:t>,</w:t>
      </w:r>
      <w:r w:rsidRPr="00D353B2">
        <w:rPr>
          <w:szCs w:val="24"/>
        </w:rPr>
        <w:t xml:space="preserve"> and replies, must also be emailed to </w:t>
      </w:r>
      <w:hyperlink r:id="rId8" w:history="1">
        <w:r w:rsidRPr="00D353B2">
          <w:rPr>
            <w:rStyle w:val="Hyperlink"/>
            <w:szCs w:val="24"/>
          </w:rPr>
          <w:t>Robin.Cohn@fcc.gov</w:t>
        </w:r>
      </w:hyperlink>
      <w:r w:rsidRPr="00D353B2">
        <w:rPr>
          <w:szCs w:val="24"/>
        </w:rPr>
        <w:t xml:space="preserve"> and </w:t>
      </w:r>
      <w:hyperlink r:id="rId9" w:history="1">
        <w:r w:rsidRPr="00D353B2">
          <w:rPr>
            <w:rStyle w:val="Hyperlink"/>
            <w:szCs w:val="24"/>
          </w:rPr>
          <w:t>Richard.Kwiatkowski@fcc.gov</w:t>
        </w:r>
      </w:hyperlink>
      <w:r w:rsidRPr="00D353B2">
        <w:rPr>
          <w:szCs w:val="24"/>
        </w:rPr>
        <w:t>.</w:t>
      </w:r>
    </w:p>
    <w:p w:rsidR="007D5CC6" w:rsidRPr="007D5CC6" w:rsidP="007D5CC6" w14:paraId="2D9CE4CC" w14:textId="60B06533">
      <w:pPr>
        <w:pStyle w:val="ParaNum"/>
        <w:rPr>
          <w:szCs w:val="22"/>
        </w:rPr>
      </w:pPr>
      <w:r w:rsidRPr="001A0972">
        <w:rPr>
          <w:i/>
          <w:iCs/>
        </w:rPr>
        <w:t>Ex Parte Rules</w:t>
      </w:r>
      <w:r>
        <w:t xml:space="preserve">.  </w:t>
      </w:r>
      <w:r>
        <w:t xml:space="preserve">The proceeding this Order </w:t>
      </w:r>
      <w:r w:rsidRPr="00D353B2">
        <w:rPr>
          <w:szCs w:val="24"/>
        </w:rPr>
        <w:t>initiates</w:t>
      </w:r>
      <w:r>
        <w:t xml:space="preserve"> shall be treated as a “permit-but-disclose” proceeding in accordance with the Commission’s </w:t>
      </w:r>
      <w:r w:rsidRPr="00D353B2">
        <w:rPr>
          <w:i/>
          <w:iCs/>
        </w:rPr>
        <w:t xml:space="preserve">ex parte </w:t>
      </w:r>
      <w:r>
        <w:t>rules.</w:t>
      </w:r>
      <w:r>
        <w:rPr>
          <w:rStyle w:val="FootnoteReference"/>
        </w:rPr>
        <w:footnoteReference w:id="34"/>
      </w:r>
      <w:r>
        <w:t xml:space="preserve">  </w:t>
      </w:r>
      <w:r w:rsidRPr="008E44CF">
        <w:rPr>
          <w:szCs w:val="22"/>
        </w:rPr>
        <w:t xml:space="preserve">Persons making </w:t>
      </w:r>
      <w:r w:rsidRPr="008E44CF">
        <w:rPr>
          <w:i/>
          <w:iCs/>
          <w:szCs w:val="22"/>
        </w:rPr>
        <w:t>ex parte</w:t>
      </w:r>
      <w:r w:rsidRPr="008E44CF">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E44CF">
        <w:rPr>
          <w:i/>
          <w:iCs/>
          <w:szCs w:val="22"/>
        </w:rPr>
        <w:t>ex parte</w:t>
      </w:r>
      <w:r w:rsidRPr="008E44CF">
        <w:rPr>
          <w:szCs w:val="22"/>
        </w:rPr>
        <w:t xml:space="preserve"> presentations are reminded that memoranda summarizing the presentation must (1) list all persons attending or otherwise participating in the meeting at which the </w:t>
      </w:r>
      <w:r w:rsidRPr="008E44CF">
        <w:rPr>
          <w:i/>
          <w:iCs/>
          <w:szCs w:val="22"/>
        </w:rPr>
        <w:t>ex parte</w:t>
      </w:r>
      <w:r w:rsidRPr="008E44CF">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E44CF">
        <w:rPr>
          <w:i/>
          <w:iCs/>
          <w:szCs w:val="22"/>
        </w:rPr>
        <w:t>ex parte</w:t>
      </w:r>
      <w:r w:rsidRPr="008E44CF">
        <w:rPr>
          <w:szCs w:val="22"/>
        </w:rPr>
        <w:t xml:space="preserve"> meetings are deemed to be written </w:t>
      </w:r>
      <w:r w:rsidRPr="008E44CF">
        <w:rPr>
          <w:i/>
          <w:iCs/>
          <w:szCs w:val="22"/>
        </w:rPr>
        <w:t>ex parte</w:t>
      </w:r>
      <w:r w:rsidRPr="008E44CF">
        <w:rPr>
          <w:szCs w:val="22"/>
        </w:rPr>
        <w:t xml:space="preserve"> presentations and must be filed consistent with rule 1.1206(b).  In proceedings governed by rule 1.49(f) or for which the Commission has made available a method of electronic filing, written </w:t>
      </w:r>
      <w:r w:rsidRPr="008E44CF">
        <w:rPr>
          <w:i/>
          <w:iCs/>
          <w:szCs w:val="22"/>
        </w:rPr>
        <w:t>ex parte</w:t>
      </w:r>
      <w:r w:rsidRPr="008E44CF">
        <w:rPr>
          <w:szCs w:val="22"/>
        </w:rPr>
        <w:t xml:space="preserve"> presentations and memoranda summarizing oral </w:t>
      </w:r>
      <w:r w:rsidRPr="008E44CF">
        <w:rPr>
          <w:i/>
          <w:iCs/>
          <w:szCs w:val="22"/>
        </w:rPr>
        <w:t>ex parte</w:t>
      </w:r>
      <w:r w:rsidRPr="008E44CF">
        <w:rPr>
          <w:szCs w:val="22"/>
        </w:rPr>
        <w:t xml:space="preserve"> presentations, and all attachments thereto, must be filed in their native format (e.g., .doc, .xml, .ppt, searchable .pdf).  Participants in this proceeding should familiarize themselves with the Commission’s </w:t>
      </w:r>
      <w:r w:rsidRPr="008E44CF">
        <w:rPr>
          <w:i/>
          <w:iCs/>
          <w:szCs w:val="22"/>
        </w:rPr>
        <w:t>ex parte</w:t>
      </w:r>
      <w:r w:rsidRPr="008E44CF">
        <w:rPr>
          <w:szCs w:val="22"/>
        </w:rPr>
        <w:t xml:space="preserve"> rules.</w:t>
      </w:r>
    </w:p>
    <w:p w:rsidR="00504F31" w:rsidP="00504F31" w14:paraId="578F6137" w14:textId="6FC804FB">
      <w:pPr>
        <w:pStyle w:val="Heading2"/>
      </w:pPr>
      <w:r>
        <w:t>Service</w:t>
      </w:r>
    </w:p>
    <w:p w:rsidR="00504F31" w:rsidRPr="009029BF" w:rsidP="009029BF" w14:paraId="5E69803D" w14:textId="3D89EC89">
      <w:pPr>
        <w:pStyle w:val="ParaNum"/>
        <w:rPr>
          <w:szCs w:val="24"/>
        </w:rPr>
      </w:pPr>
      <w:r>
        <w:t xml:space="preserve">Because there is </w:t>
      </w:r>
      <w:r w:rsidRPr="00BD5A96">
        <w:rPr>
          <w:bCs/>
        </w:rPr>
        <w:t>limited</w:t>
      </w:r>
      <w:r>
        <w:t xml:space="preserve"> time </w:t>
      </w:r>
      <w:r w:rsidRPr="00D0713D">
        <w:t>available</w:t>
      </w:r>
      <w:r>
        <w:t xml:space="preserve"> for review of petitions to suspend or reject tariff filings made pursuant to this </w:t>
      </w:r>
      <w:r w:rsidR="00DE1FD8">
        <w:t>O</w:t>
      </w:r>
      <w:r>
        <w:t xml:space="preserve">rder, we establish the following service requirements for such petitions and responses thereto.  Any party filing a petition to suspend or reject such a tariff filing must also serve that petition on the entity that is the subject of the petition, the relevant tariff filer, its attorney or other duly </w:t>
      </w:r>
      <w:r>
        <w:t>constituted agent, by personal delivery, facsimile transmission, or email.</w:t>
      </w:r>
      <w:r>
        <w:rPr>
          <w:rStyle w:val="FootnoteReference"/>
          <w:szCs w:val="24"/>
        </w:rPr>
        <w:footnoteReference w:id="35"/>
      </w:r>
      <w:r>
        <w:t xml:space="preserve">  Any party responding to a petition to suspend or reject must serve that response on the relevant petitioner, its attorney or other duly constituted agent by personal delivery, facsimile transmission, or email.  </w:t>
      </w:r>
      <w:r w:rsidR="0091600B">
        <w:t xml:space="preserve">To effectuate these service requirements, we </w:t>
      </w:r>
      <w:r w:rsidRPr="009029BF" w:rsidR="009029BF">
        <w:rPr>
          <w:szCs w:val="24"/>
        </w:rPr>
        <w:t xml:space="preserve">waive </w:t>
      </w:r>
      <w:r w:rsidR="0091600B">
        <w:rPr>
          <w:szCs w:val="24"/>
        </w:rPr>
        <w:t xml:space="preserve">those portions of </w:t>
      </w:r>
      <w:r w:rsidRPr="009029BF" w:rsidR="009029BF">
        <w:rPr>
          <w:szCs w:val="24"/>
        </w:rPr>
        <w:t>sections 1.47(d), 1.773(a)(4)</w:t>
      </w:r>
      <w:r w:rsidR="009029BF">
        <w:rPr>
          <w:szCs w:val="24"/>
        </w:rPr>
        <w:t xml:space="preserve"> </w:t>
      </w:r>
      <w:r w:rsidRPr="009029BF" w:rsidR="009029BF">
        <w:rPr>
          <w:szCs w:val="24"/>
        </w:rPr>
        <w:t xml:space="preserve">and 1.773(b)(3) of the Commission’s rules </w:t>
      </w:r>
      <w:r w:rsidR="0091600B">
        <w:rPr>
          <w:szCs w:val="24"/>
        </w:rPr>
        <w:t xml:space="preserve">that are inconsistent with the </w:t>
      </w:r>
      <w:r w:rsidRPr="009029BF" w:rsidR="009029BF">
        <w:rPr>
          <w:szCs w:val="24"/>
        </w:rPr>
        <w:t>requirement</w:t>
      </w:r>
      <w:r w:rsidR="0091600B">
        <w:rPr>
          <w:szCs w:val="24"/>
        </w:rPr>
        <w:t>s set forth above</w:t>
      </w:r>
      <w:r w:rsidR="009029BF">
        <w:rPr>
          <w:szCs w:val="24"/>
        </w:rPr>
        <w:t>.</w:t>
      </w:r>
      <w:r>
        <w:rPr>
          <w:rStyle w:val="FootnoteReference"/>
          <w:szCs w:val="24"/>
        </w:rPr>
        <w:footnoteReference w:id="36"/>
      </w:r>
      <w:r w:rsidR="009029BF">
        <w:rPr>
          <w:szCs w:val="24"/>
        </w:rPr>
        <w:t xml:space="preserve">  </w:t>
      </w:r>
      <w:r>
        <w:t xml:space="preserve">Parties are instructed to provide contact persons, email addresses, and facsimile numbers in their filings.  </w:t>
      </w:r>
    </w:p>
    <w:p w:rsidR="00504F31" w:rsidP="004324BF" w14:paraId="106985CC" w14:textId="77777777">
      <w:pPr>
        <w:pStyle w:val="Heading1"/>
      </w:pPr>
      <w:r>
        <w:t>ORDERING CLAUSEs</w:t>
      </w:r>
    </w:p>
    <w:p w:rsidR="00504F31" w:rsidP="00504F31" w14:paraId="3B3E8A39" w14:textId="77777777">
      <w:pPr>
        <w:pStyle w:val="ParaNum"/>
        <w:widowControl/>
        <w:rPr>
          <w:szCs w:val="24"/>
        </w:rPr>
      </w:pPr>
      <w:r w:rsidRPr="00BD5A96">
        <w:rPr>
          <w:bCs/>
          <w:szCs w:val="24"/>
        </w:rPr>
        <w:t>Accordingly</w:t>
      </w:r>
      <w:r>
        <w:rPr>
          <w:szCs w:val="24"/>
        </w:rPr>
        <w:t>, IT IS ORDERED that, pursuant to sections 1, 4(i) and (j), 5, and 201-209 of the Communications Act of 1934, as amended, 47 U.S.C. §§ 151, 154(i)-(j), 155, 201-209, and sections 0.91 and 0.291 of the Commission’s rules, 47 C.F.R. §§ 0.91, 0.291, this Order IS ADOPTED.</w:t>
      </w:r>
    </w:p>
    <w:p w:rsidR="00393CD6" w14:paraId="61517179" w14:textId="7404929F">
      <w:pPr>
        <w:pStyle w:val="ParaNum"/>
        <w:widowControl/>
        <w:rPr>
          <w:szCs w:val="24"/>
        </w:rPr>
      </w:pPr>
      <w:r w:rsidRPr="004924EB">
        <w:rPr>
          <w:szCs w:val="24"/>
        </w:rPr>
        <w:t xml:space="preserve">IT IS FURTHER ORDERED that, </w:t>
      </w:r>
      <w:r w:rsidRPr="004924EB">
        <w:rPr>
          <w:bCs/>
          <w:szCs w:val="24"/>
        </w:rPr>
        <w:t>pursuant</w:t>
      </w:r>
      <w:r w:rsidRPr="004924EB">
        <w:rPr>
          <w:szCs w:val="24"/>
        </w:rPr>
        <w:t xml:space="preserve"> to sections 0.91, 0.291, and 1.3 of the Commission’s rules, 47 C.F.R. §§ 0.91, 0.291, 1.3, </w:t>
      </w:r>
      <w:r w:rsidRPr="00393CD6">
        <w:rPr>
          <w:szCs w:val="24"/>
        </w:rPr>
        <w:t>section 51.909(a)(4) of the Commission’s rules</w:t>
      </w:r>
      <w:r>
        <w:rPr>
          <w:szCs w:val="24"/>
        </w:rPr>
        <w:t>, 47 C.F.R. § 51.909(a)(4),</w:t>
      </w:r>
      <w:r w:rsidRPr="00393CD6">
        <w:rPr>
          <w:szCs w:val="24"/>
        </w:rPr>
        <w:t xml:space="preserve"> IS WAIVED </w:t>
      </w:r>
      <w:r w:rsidRPr="009029BF">
        <w:rPr>
          <w:rFonts w:ascii="TimesNewRomanPSMT" w:hAnsi="TimesNewRomanPSMT" w:cs="TimesNewRomanPSMT"/>
          <w:snapToGrid/>
          <w:kern w:val="0"/>
          <w:szCs w:val="22"/>
        </w:rPr>
        <w:t>for the limited purpose specified</w:t>
      </w:r>
      <w:r w:rsidR="00E97EBF">
        <w:rPr>
          <w:rFonts w:ascii="TimesNewRomanPSMT" w:hAnsi="TimesNewRomanPSMT" w:cs="TimesNewRomanPSMT"/>
          <w:snapToGrid/>
          <w:kern w:val="0"/>
          <w:szCs w:val="22"/>
        </w:rPr>
        <w:t xml:space="preserve"> herein</w:t>
      </w:r>
      <w:r w:rsidRPr="009029BF">
        <w:rPr>
          <w:rFonts w:ascii="TimesNewRomanPSMT" w:hAnsi="TimesNewRomanPSMT" w:cs="TimesNewRomanPSMT"/>
          <w:snapToGrid/>
          <w:kern w:val="0"/>
          <w:szCs w:val="22"/>
        </w:rPr>
        <w:t>.</w:t>
      </w:r>
    </w:p>
    <w:p w:rsidR="009029BF" w:rsidP="009029BF" w14:paraId="3419B471" w14:textId="131F7792">
      <w:pPr>
        <w:pStyle w:val="ParaNum"/>
        <w:widowControl/>
        <w:rPr>
          <w:szCs w:val="24"/>
        </w:rPr>
      </w:pPr>
      <w:r w:rsidRPr="004924EB">
        <w:rPr>
          <w:szCs w:val="24"/>
        </w:rPr>
        <w:t xml:space="preserve">IT IS FURTHER ORDERED that, </w:t>
      </w:r>
      <w:r w:rsidRPr="004924EB">
        <w:rPr>
          <w:bCs/>
          <w:szCs w:val="24"/>
        </w:rPr>
        <w:t>pursuant</w:t>
      </w:r>
      <w:r w:rsidRPr="004924EB">
        <w:rPr>
          <w:szCs w:val="24"/>
        </w:rPr>
        <w:t xml:space="preserve"> to sections 0.91, 0.291, and 1.3 of the Commission’s rules, 47 C.F.R. §§ 0.91, 0.291, 1.3, sections </w:t>
      </w:r>
      <w:r w:rsidR="0079226D">
        <w:rPr>
          <w:szCs w:val="24"/>
        </w:rPr>
        <w:t xml:space="preserve">1.4(f), </w:t>
      </w:r>
      <w:r w:rsidRPr="004924EB">
        <w:rPr>
          <w:szCs w:val="24"/>
        </w:rPr>
        <w:t xml:space="preserve">1.773(a), </w:t>
      </w:r>
      <w:r w:rsidR="0079226D">
        <w:rPr>
          <w:szCs w:val="24"/>
        </w:rPr>
        <w:t xml:space="preserve">and </w:t>
      </w:r>
      <w:r w:rsidRPr="004924EB">
        <w:rPr>
          <w:szCs w:val="24"/>
        </w:rPr>
        <w:t>1.773(b)</w:t>
      </w:r>
      <w:r w:rsidR="00393CD6">
        <w:rPr>
          <w:szCs w:val="24"/>
        </w:rPr>
        <w:t xml:space="preserve"> of the Commission’s rules, 47 C.F.R.</w:t>
      </w:r>
      <w:r w:rsidRPr="004924EB">
        <w:rPr>
          <w:szCs w:val="24"/>
        </w:rPr>
        <w:t xml:space="preserve"> </w:t>
      </w:r>
      <w:r w:rsidRPr="004924EB" w:rsidR="00393CD6">
        <w:rPr>
          <w:szCs w:val="24"/>
        </w:rPr>
        <w:t xml:space="preserve">§§ </w:t>
      </w:r>
      <w:r w:rsidR="00393CD6">
        <w:rPr>
          <w:szCs w:val="24"/>
        </w:rPr>
        <w:t xml:space="preserve">1.4(f), </w:t>
      </w:r>
      <w:r w:rsidRPr="004924EB" w:rsidR="00393CD6">
        <w:rPr>
          <w:szCs w:val="24"/>
        </w:rPr>
        <w:t>1.773(a), 1.773(b)</w:t>
      </w:r>
      <w:r w:rsidR="00393CD6">
        <w:rPr>
          <w:szCs w:val="24"/>
        </w:rPr>
        <w:t xml:space="preserve">, </w:t>
      </w:r>
      <w:r w:rsidRPr="004924EB">
        <w:rPr>
          <w:szCs w:val="24"/>
        </w:rPr>
        <w:t>ARE WAIVED for the limited purpose specified</w:t>
      </w:r>
      <w:r w:rsidR="00E97EBF">
        <w:rPr>
          <w:szCs w:val="24"/>
        </w:rPr>
        <w:t xml:space="preserve"> herein</w:t>
      </w:r>
      <w:r>
        <w:rPr>
          <w:szCs w:val="24"/>
        </w:rPr>
        <w:t>.</w:t>
      </w:r>
    </w:p>
    <w:p w:rsidR="009029BF" w:rsidRPr="009029BF" w:rsidP="009029BF" w14:paraId="6F966B88" w14:textId="31786B87">
      <w:pPr>
        <w:pStyle w:val="ParaNum"/>
        <w:widowControl/>
        <w:rPr>
          <w:szCs w:val="24"/>
        </w:rPr>
      </w:pPr>
      <w:r w:rsidRPr="009029BF">
        <w:rPr>
          <w:rFonts w:ascii="TimesNewRomanPSMT" w:hAnsi="TimesNewRomanPSMT" w:cs="TimesNewRomanPSMT"/>
          <w:snapToGrid/>
          <w:kern w:val="0"/>
          <w:szCs w:val="22"/>
        </w:rPr>
        <w:t>IT IS FURTHER ORDERED that, pursuant to sections 0.91, 0.291, and 1.3 of the</w:t>
      </w:r>
      <w:r>
        <w:rPr>
          <w:rFonts w:ascii="TimesNewRomanPSMT" w:hAnsi="TimesNewRomanPSMT" w:cs="TimesNewRomanPSMT"/>
          <w:snapToGrid/>
          <w:kern w:val="0"/>
          <w:szCs w:val="22"/>
        </w:rPr>
        <w:t xml:space="preserve"> </w:t>
      </w:r>
      <w:r w:rsidRPr="009029BF">
        <w:rPr>
          <w:rFonts w:ascii="TimesNewRomanPSMT" w:hAnsi="TimesNewRomanPSMT" w:cs="TimesNewRomanPSMT"/>
          <w:snapToGrid/>
          <w:kern w:val="0"/>
          <w:szCs w:val="22"/>
        </w:rPr>
        <w:t>Commission’s rules, 47 C.F.R. §§ 0.91, 0.291, 1.3, sections 1.7</w:t>
      </w:r>
      <w:r>
        <w:rPr>
          <w:rFonts w:ascii="TimesNewRomanPSMT" w:hAnsi="TimesNewRomanPSMT" w:cs="TimesNewRomanPSMT"/>
          <w:snapToGrid/>
          <w:kern w:val="0"/>
          <w:szCs w:val="22"/>
        </w:rPr>
        <w:t>7</w:t>
      </w:r>
      <w:r w:rsidRPr="009029BF">
        <w:rPr>
          <w:rFonts w:ascii="TimesNewRomanPSMT" w:hAnsi="TimesNewRomanPSMT" w:cs="TimesNewRomanPSMT"/>
          <w:snapToGrid/>
          <w:kern w:val="0"/>
          <w:szCs w:val="22"/>
        </w:rPr>
        <w:t>3(a)(4), 1.773(b)(3), and 1.47(d)</w:t>
      </w:r>
      <w:r w:rsidR="009C23E9">
        <w:rPr>
          <w:rFonts w:ascii="TimesNewRomanPSMT" w:hAnsi="TimesNewRomanPSMT" w:cs="TimesNewRomanPSMT"/>
          <w:snapToGrid/>
          <w:kern w:val="0"/>
          <w:szCs w:val="22"/>
        </w:rPr>
        <w:t xml:space="preserve"> of the Commission’s rules, </w:t>
      </w:r>
      <w:r w:rsidR="009C23E9">
        <w:rPr>
          <w:szCs w:val="24"/>
        </w:rPr>
        <w:t>47 C.F.R.</w:t>
      </w:r>
      <w:r w:rsidRPr="004924EB" w:rsidR="009C23E9">
        <w:rPr>
          <w:szCs w:val="24"/>
        </w:rPr>
        <w:t xml:space="preserve"> §§ </w:t>
      </w:r>
      <w:r w:rsidRPr="009029BF" w:rsidR="009C23E9">
        <w:rPr>
          <w:rFonts w:ascii="TimesNewRomanPSMT" w:hAnsi="TimesNewRomanPSMT" w:cs="TimesNewRomanPSMT"/>
          <w:snapToGrid/>
          <w:kern w:val="0"/>
          <w:szCs w:val="22"/>
        </w:rPr>
        <w:t>1.7</w:t>
      </w:r>
      <w:r w:rsidR="009C23E9">
        <w:rPr>
          <w:rFonts w:ascii="TimesNewRomanPSMT" w:hAnsi="TimesNewRomanPSMT" w:cs="TimesNewRomanPSMT"/>
          <w:snapToGrid/>
          <w:kern w:val="0"/>
          <w:szCs w:val="22"/>
        </w:rPr>
        <w:t>7</w:t>
      </w:r>
      <w:r w:rsidRPr="009029BF" w:rsidR="009C23E9">
        <w:rPr>
          <w:rFonts w:ascii="TimesNewRomanPSMT" w:hAnsi="TimesNewRomanPSMT" w:cs="TimesNewRomanPSMT"/>
          <w:snapToGrid/>
          <w:kern w:val="0"/>
          <w:szCs w:val="22"/>
        </w:rPr>
        <w:t>3(a)(4), 1.773(b)(3), 1.47(d)</w:t>
      </w:r>
      <w:r w:rsidR="009C23E9">
        <w:rPr>
          <w:rFonts w:ascii="TimesNewRomanPSMT" w:hAnsi="TimesNewRomanPSMT" w:cs="TimesNewRomanPSMT"/>
          <w:snapToGrid/>
          <w:kern w:val="0"/>
          <w:szCs w:val="22"/>
        </w:rPr>
        <w:t xml:space="preserve">, </w:t>
      </w:r>
      <w:r w:rsidRPr="009029BF">
        <w:rPr>
          <w:rFonts w:ascii="TimesNewRomanPSMT" w:hAnsi="TimesNewRomanPSMT" w:cs="TimesNewRomanPSMT"/>
          <w:snapToGrid/>
          <w:kern w:val="0"/>
          <w:szCs w:val="22"/>
        </w:rPr>
        <w:t>ARE</w:t>
      </w:r>
      <w:r>
        <w:rPr>
          <w:szCs w:val="24"/>
        </w:rPr>
        <w:t xml:space="preserve"> </w:t>
      </w:r>
      <w:r w:rsidRPr="009029BF">
        <w:rPr>
          <w:rFonts w:ascii="TimesNewRomanPSMT" w:hAnsi="TimesNewRomanPSMT" w:cs="TimesNewRomanPSMT"/>
          <w:snapToGrid/>
          <w:kern w:val="0"/>
          <w:szCs w:val="22"/>
        </w:rPr>
        <w:t>WAIVED for the limited purpose specified</w:t>
      </w:r>
      <w:r w:rsidR="00E97EBF">
        <w:rPr>
          <w:rFonts w:ascii="TimesNewRomanPSMT" w:hAnsi="TimesNewRomanPSMT" w:cs="TimesNewRomanPSMT"/>
          <w:snapToGrid/>
          <w:kern w:val="0"/>
          <w:szCs w:val="22"/>
        </w:rPr>
        <w:t xml:space="preserve"> herein</w:t>
      </w:r>
      <w:r w:rsidRPr="009029BF">
        <w:rPr>
          <w:rFonts w:ascii="TimesNewRomanPSMT" w:hAnsi="TimesNewRomanPSMT" w:cs="TimesNewRomanPSMT"/>
          <w:snapToGrid/>
          <w:kern w:val="0"/>
          <w:szCs w:val="22"/>
        </w:rPr>
        <w:t>.</w:t>
      </w:r>
    </w:p>
    <w:p w:rsidR="00504F31" w:rsidRPr="00DE78CB" w:rsidP="00504F31" w14:paraId="697DAB12" w14:textId="77777777">
      <w:pPr>
        <w:pStyle w:val="ParaNum"/>
        <w:widowControl/>
        <w:rPr>
          <w:szCs w:val="24"/>
        </w:rPr>
      </w:pPr>
      <w:r w:rsidRPr="00180CE7">
        <w:t xml:space="preserve">IT IS </w:t>
      </w:r>
      <w:r w:rsidRPr="004924EB">
        <w:rPr>
          <w:szCs w:val="24"/>
        </w:rPr>
        <w:t>FURTHER</w:t>
      </w:r>
      <w:r w:rsidRPr="00180CE7">
        <w:t xml:space="preserve"> ORDERED that, </w:t>
      </w:r>
      <w:r w:rsidRPr="004924EB">
        <w:rPr>
          <w:bCs/>
          <w:szCs w:val="24"/>
        </w:rPr>
        <w:t>pursuant</w:t>
      </w:r>
      <w:r w:rsidRPr="00180CE7">
        <w:t xml:space="preserve"> to section 1.102(b)(1) of the Commission’s rules, 47 C.F.R. § 1.102(b)(1), this Order SHALL BE EFFECTIVE upon release.</w:t>
      </w:r>
      <w:r w:rsidRPr="004924EB">
        <w:rPr>
          <w:b/>
          <w:i/>
          <w:szCs w:val="24"/>
        </w:rPr>
        <w:t xml:space="preserve"> </w:t>
      </w:r>
    </w:p>
    <w:p w:rsidR="00504F31" w:rsidP="00504F31" w14:paraId="1518C947" w14:textId="77777777">
      <w:pPr>
        <w:rPr>
          <w:szCs w:val="24"/>
        </w:rPr>
      </w:pPr>
    </w:p>
    <w:p w:rsidR="00504F31" w:rsidP="00504F31" w14:paraId="72EE664E" w14:textId="77777777">
      <w:pPr>
        <w:ind w:left="2880" w:firstLine="720"/>
        <w:rPr>
          <w:szCs w:val="24"/>
        </w:rPr>
      </w:pPr>
      <w:r>
        <w:rPr>
          <w:szCs w:val="24"/>
        </w:rPr>
        <w:t>FEDERAL COMMUNICATIONS COMMISSION</w:t>
      </w:r>
    </w:p>
    <w:p w:rsidR="00504F31" w:rsidP="00504F31" w14:paraId="3ED7C369" w14:textId="77777777">
      <w:pPr>
        <w:ind w:firstLine="720"/>
        <w:rPr>
          <w:szCs w:val="24"/>
        </w:rPr>
      </w:pPr>
    </w:p>
    <w:p w:rsidR="00504F31" w:rsidP="00504F31" w14:paraId="76705D65" w14:textId="653EA823">
      <w:pPr>
        <w:rPr>
          <w:szCs w:val="24"/>
        </w:rPr>
      </w:pPr>
    </w:p>
    <w:p w:rsidR="004A1ECD" w:rsidP="00504F31" w14:paraId="2FC53EAD" w14:textId="3D024545">
      <w:pPr>
        <w:rPr>
          <w:szCs w:val="24"/>
        </w:rPr>
      </w:pPr>
    </w:p>
    <w:p w:rsidR="004A1ECD" w:rsidP="00504F31" w14:paraId="1B283A6A" w14:textId="77777777">
      <w:pPr>
        <w:rPr>
          <w:szCs w:val="24"/>
        </w:rPr>
      </w:pPr>
    </w:p>
    <w:p w:rsidR="00504F31" w:rsidP="00504F31" w14:paraId="4FBBEC1E" w14:textId="77777777">
      <w:pPr>
        <w:pStyle w:val="BodyTextIndent2"/>
        <w:spacing w:after="0" w:line="240" w:lineRule="auto"/>
        <w:ind w:left="3600"/>
        <w:rPr>
          <w:szCs w:val="24"/>
        </w:rPr>
      </w:pPr>
      <w:r>
        <w:rPr>
          <w:szCs w:val="24"/>
        </w:rPr>
        <w:t>Gil M. Strobel</w:t>
      </w:r>
    </w:p>
    <w:p w:rsidR="00504F31" w:rsidP="00504F31" w14:paraId="775E219F" w14:textId="77777777">
      <w:pPr>
        <w:pStyle w:val="BodyTextIndent2"/>
        <w:spacing w:after="0" w:line="240" w:lineRule="auto"/>
        <w:ind w:left="3600"/>
        <w:rPr>
          <w:szCs w:val="24"/>
        </w:rPr>
      </w:pPr>
      <w:r>
        <w:rPr>
          <w:szCs w:val="24"/>
        </w:rPr>
        <w:t>Chief</w:t>
      </w:r>
    </w:p>
    <w:p w:rsidR="00504F31" w:rsidP="00504F31" w14:paraId="713CD216" w14:textId="77777777">
      <w:pPr>
        <w:pStyle w:val="BodyTextIndent2"/>
        <w:spacing w:after="0" w:line="240" w:lineRule="auto"/>
        <w:ind w:left="3600"/>
        <w:rPr>
          <w:szCs w:val="24"/>
        </w:rPr>
      </w:pPr>
      <w:r>
        <w:rPr>
          <w:szCs w:val="24"/>
        </w:rPr>
        <w:t>Pricing Policy Division</w:t>
      </w:r>
    </w:p>
    <w:p w:rsidR="00504F31" w:rsidP="00504F31" w14:paraId="4554839D" w14:textId="77777777">
      <w:pPr>
        <w:spacing w:after="240"/>
        <w:ind w:left="2880" w:firstLine="720"/>
      </w:pPr>
      <w:r>
        <w:t>Wireline Competition Bureau</w:t>
      </w:r>
    </w:p>
    <w:p w:rsidR="00504F31" w:rsidRPr="00504F31" w:rsidP="00504F31" w14:paraId="677404A5" w14:textId="77777777">
      <w:pPr>
        <w:pStyle w:val="ParaNum"/>
        <w:numPr>
          <w:ilvl w:val="0"/>
          <w:numId w:val="0"/>
        </w:numPr>
        <w:ind w:firstLine="720"/>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8080000" w:usb2="00000010"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6081D1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509E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309249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0CEB22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724559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0D3C" w14:paraId="56405487" w14:textId="77777777">
      <w:r>
        <w:separator/>
      </w:r>
    </w:p>
  </w:footnote>
  <w:footnote w:type="continuationSeparator" w:id="1">
    <w:p w:rsidR="00110D3C" w:rsidP="00C721AC" w14:paraId="41A84829" w14:textId="77777777">
      <w:pPr>
        <w:spacing w:before="120"/>
        <w:rPr>
          <w:sz w:val="20"/>
        </w:rPr>
      </w:pPr>
      <w:r>
        <w:rPr>
          <w:sz w:val="20"/>
        </w:rPr>
        <w:t xml:space="preserve">(Continued from previous page)  </w:t>
      </w:r>
      <w:r>
        <w:rPr>
          <w:sz w:val="20"/>
        </w:rPr>
        <w:separator/>
      </w:r>
    </w:p>
  </w:footnote>
  <w:footnote w:type="continuationNotice" w:id="2">
    <w:p w:rsidR="00110D3C" w:rsidP="00C721AC" w14:paraId="46D7B747" w14:textId="77777777">
      <w:pPr>
        <w:jc w:val="right"/>
        <w:rPr>
          <w:sz w:val="20"/>
        </w:rPr>
      </w:pPr>
      <w:r>
        <w:rPr>
          <w:sz w:val="20"/>
        </w:rPr>
        <w:t>(continued….)</w:t>
      </w:r>
    </w:p>
  </w:footnote>
  <w:footnote w:id="3">
    <w:p w:rsidR="002131CA" w:rsidRPr="00393CD6" w:rsidP="00201D54" w14:paraId="2F9E0642" w14:textId="4EB3FD42">
      <w:pPr>
        <w:pStyle w:val="FootnoteText"/>
      </w:pPr>
      <w:bookmarkStart w:id="1" w:name="_Hlk508634488"/>
      <w:r w:rsidRPr="00393CD6">
        <w:rPr>
          <w:rStyle w:val="FootnoteReference"/>
        </w:rPr>
        <w:footnoteRef/>
      </w:r>
      <w:r w:rsidRPr="00393CD6">
        <w:t xml:space="preserve"> 47 CFR §§ 61.38 </w:t>
      </w:r>
      <w:bookmarkEnd w:id="1"/>
      <w:r w:rsidRPr="00393CD6">
        <w:t xml:space="preserve">(rate-of-return carriers that file tariffs based on projected costs and demand), </w:t>
      </w:r>
      <w:r w:rsidRPr="00393CD6" w:rsidR="00201D54">
        <w:t>61.39 (rate-of-return carriers that file tariffs based on historical costs and demand),</w:t>
      </w:r>
      <w:r w:rsidRPr="00393CD6" w:rsidR="000E0530">
        <w:t xml:space="preserve"> </w:t>
      </w:r>
      <w:r w:rsidRPr="00393CD6">
        <w:t>61.43 (tariff filings for price cap LECs)</w:t>
      </w:r>
      <w:r w:rsidRPr="00393CD6" w:rsidR="00F01F52">
        <w:t>, and  61.50 (regulation of business data services offered by rate-of-return carriers electing incentive regulation).</w:t>
      </w:r>
    </w:p>
  </w:footnote>
  <w:footnote w:id="4">
    <w:p w:rsidR="002131CA" w:rsidRPr="00393CD6" w:rsidP="002131CA" w14:paraId="5C62E73E" w14:textId="06B6D9F1">
      <w:pPr>
        <w:pStyle w:val="FootnoteText"/>
      </w:pPr>
      <w:r w:rsidRPr="00393CD6">
        <w:rPr>
          <w:rStyle w:val="FootnoteReference"/>
        </w:rPr>
        <w:footnoteRef/>
      </w:r>
      <w:r w:rsidRPr="00393CD6">
        <w:t xml:space="preserve"> </w:t>
      </w:r>
      <w:bookmarkStart w:id="3" w:name="_Hlk508635113"/>
      <w:r w:rsidRPr="00393CD6">
        <w:rPr>
          <w:i/>
        </w:rPr>
        <w:t xml:space="preserve">See </w:t>
      </w:r>
      <w:r w:rsidRPr="00393CD6">
        <w:t xml:space="preserve">47 CFR § </w:t>
      </w:r>
      <w:bookmarkStart w:id="4" w:name="_Hlk4000501"/>
      <w:r w:rsidRPr="00393CD6">
        <w:t>1.773</w:t>
      </w:r>
      <w:bookmarkEnd w:id="3"/>
      <w:bookmarkEnd w:id="4"/>
      <w:r w:rsidRPr="00393CD6">
        <w:t>.</w:t>
      </w:r>
    </w:p>
  </w:footnote>
  <w:footnote w:id="5">
    <w:p w:rsidR="006D35B0" w14:paraId="1013B897" w14:textId="3A63B771">
      <w:pPr>
        <w:pStyle w:val="FootnoteText"/>
      </w:pPr>
      <w:r>
        <w:rPr>
          <w:rStyle w:val="FootnoteReference"/>
        </w:rPr>
        <w:footnoteRef/>
      </w:r>
      <w:r>
        <w:t xml:space="preserve"> </w:t>
      </w:r>
      <w:r>
        <w:rPr>
          <w:i/>
          <w:iCs/>
        </w:rPr>
        <w:t xml:space="preserve">See </w:t>
      </w:r>
      <w:r w:rsidRPr="006D35B0">
        <w:t>47 CFR § 51.90</w:t>
      </w:r>
      <w:r>
        <w:t>9</w:t>
      </w:r>
      <w:r w:rsidRPr="006D35B0">
        <w:t>(</w:t>
      </w:r>
      <w:r>
        <w:t>a</w:t>
      </w:r>
      <w:r w:rsidRPr="006D35B0">
        <w:t>)(</w:t>
      </w:r>
      <w:r>
        <w:t>4).</w:t>
      </w:r>
    </w:p>
  </w:footnote>
  <w:footnote w:id="6">
    <w:p w:rsidR="000C4195" w:rsidP="000C4195" w14:paraId="5603816E" w14:textId="2DA2F23A">
      <w:pPr>
        <w:pStyle w:val="FootnoteText"/>
      </w:pPr>
      <w:r>
        <w:rPr>
          <w:rStyle w:val="FootnoteReference"/>
        </w:rPr>
        <w:footnoteRef/>
      </w:r>
      <w:r>
        <w:t xml:space="preserve"> </w:t>
      </w:r>
      <w:r w:rsidRPr="00393CD6">
        <w:rPr>
          <w:i/>
        </w:rPr>
        <w:t xml:space="preserve">See </w:t>
      </w:r>
      <w:r w:rsidRPr="00393CD6">
        <w:rPr>
          <w:i/>
          <w:iCs/>
        </w:rPr>
        <w:t>Connect America Fund et al.</w:t>
      </w:r>
      <w:r w:rsidRPr="00393CD6">
        <w:rPr>
          <w:iCs/>
        </w:rPr>
        <w:t xml:space="preserve">, </w:t>
      </w:r>
      <w:r w:rsidRPr="00393CD6">
        <w:t xml:space="preserve">Report and Order and Further Notice of Proposed Rulemaking, 26 FCC Rcd 17663, </w:t>
      </w:r>
      <w:r w:rsidRPr="00062708">
        <w:t xml:space="preserve">17677, 17934-35, </w:t>
      </w:r>
      <w:r w:rsidRPr="00393CD6">
        <w:t>18149, para</w:t>
      </w:r>
      <w:r>
        <w:t>s</w:t>
      </w:r>
      <w:r w:rsidRPr="00393CD6">
        <w:t xml:space="preserve">. </w:t>
      </w:r>
      <w:r>
        <w:t xml:space="preserve">36, 801 &amp; fig. 9, </w:t>
      </w:r>
      <w:r w:rsidRPr="00393CD6">
        <w:t>1404 (2011) (</w:t>
      </w:r>
      <w:r w:rsidRPr="00393CD6">
        <w:rPr>
          <w:i/>
          <w:iCs/>
        </w:rPr>
        <w:t>USF/ICC Transformation Order</w:t>
      </w:r>
      <w:r w:rsidRPr="00393CD6">
        <w:rPr>
          <w:iCs/>
        </w:rPr>
        <w:t>)</w:t>
      </w:r>
      <w:r w:rsidRPr="00393CD6">
        <w:t xml:space="preserve">, </w:t>
      </w:r>
      <w:r w:rsidRPr="00393CD6">
        <w:rPr>
          <w:i/>
        </w:rPr>
        <w:t>pets. for review denied sub nom.  In re: FCC 11-161</w:t>
      </w:r>
      <w:r w:rsidRPr="00393CD6">
        <w:t>, 753 F.3d 1015 (10th Cir. 2014)</w:t>
      </w:r>
      <w:r>
        <w:t xml:space="preserve">; 47 CFR §§ 51.915, 51.917.  Price cap incumbent LECs were required to transition certain tariffed switched access rates effective July 1 on each of those years to bill-and-keep ($0) over a six-year period that ended in 2018.  Rate-of-return incumbent LECs were required to transition certain tariffed switched access rates effective July 1 on each of those years to bill-and-keep ($0) over a nine-year period that ended in 2020.  </w:t>
      </w:r>
      <w:r w:rsidRPr="0084298C">
        <w:rPr>
          <w:i/>
          <w:iCs/>
        </w:rPr>
        <w:t>See</w:t>
      </w:r>
      <w:r>
        <w:t xml:space="preserve"> </w:t>
      </w:r>
      <w:r w:rsidRPr="0084298C">
        <w:rPr>
          <w:i/>
          <w:iCs/>
        </w:rPr>
        <w:t>USF/ICC Transformation Order</w:t>
      </w:r>
      <w:r>
        <w:t>, 26 FCC Rcd at 17934-96, para. 801, fig. 9; 47 CFR §§ 51.907(h), 51.909(j).</w:t>
      </w:r>
    </w:p>
  </w:footnote>
  <w:footnote w:id="7">
    <w:p w:rsidR="00372709" w:rsidRPr="00393CD6" w:rsidP="00372709" w14:paraId="1282E07D" w14:textId="1693F524">
      <w:pPr>
        <w:pStyle w:val="FootnoteText"/>
      </w:pPr>
      <w:r w:rsidRPr="00393CD6">
        <w:rPr>
          <w:rStyle w:val="FootnoteReference"/>
        </w:rPr>
        <w:footnoteRef/>
      </w:r>
      <w:r w:rsidR="006A68DE">
        <w:t xml:space="preserve"> </w:t>
      </w:r>
      <w:r w:rsidRPr="004324BF" w:rsidR="0041071C">
        <w:rPr>
          <w:i/>
          <w:iCs/>
        </w:rPr>
        <w:t>USF/ICC Transformation Order</w:t>
      </w:r>
      <w:r w:rsidR="0041071C">
        <w:t xml:space="preserve">, 26 FCC Rcd at </w:t>
      </w:r>
      <w:r w:rsidR="00B70149">
        <w:t xml:space="preserve">17677, </w:t>
      </w:r>
      <w:r w:rsidR="0041071C">
        <w:t>17956-</w:t>
      </w:r>
      <w:r w:rsidR="00B70149">
        <w:t xml:space="preserve">96, </w:t>
      </w:r>
      <w:r w:rsidR="0041071C">
        <w:t>paras. 36, 847-923;</w:t>
      </w:r>
      <w:r w:rsidR="00B70149">
        <w:t xml:space="preserve"> 47 CFR §§ 51.915, 51.917.</w:t>
      </w:r>
      <w:r w:rsidR="0041071C">
        <w:t xml:space="preserve"> </w:t>
      </w:r>
    </w:p>
  </w:footnote>
  <w:footnote w:id="8">
    <w:p w:rsidR="00656ABA" w14:paraId="32B353B1" w14:textId="64C4B01F">
      <w:pPr>
        <w:pStyle w:val="FootnoteText"/>
      </w:pPr>
      <w:r>
        <w:rPr>
          <w:rStyle w:val="FootnoteReference"/>
        </w:rPr>
        <w:footnoteRef/>
      </w:r>
      <w:r>
        <w:t xml:space="preserve"> </w:t>
      </w:r>
      <w:r w:rsidRPr="00CA5F0A">
        <w:rPr>
          <w:i/>
          <w:iCs/>
        </w:rPr>
        <w:t>See</w:t>
      </w:r>
      <w:r>
        <w:t xml:space="preserve"> </w:t>
      </w:r>
      <w:r w:rsidRPr="00CA5F0A">
        <w:rPr>
          <w:i/>
          <w:iCs/>
        </w:rPr>
        <w:t>USF/ICC Transformation Order</w:t>
      </w:r>
      <w:r>
        <w:t xml:space="preserve">, 26 FCC Rcd at </w:t>
      </w:r>
      <w:r w:rsidRPr="00393CD6">
        <w:t>18149, para</w:t>
      </w:r>
      <w:r>
        <w:t xml:space="preserve">. </w:t>
      </w:r>
      <w:r w:rsidRPr="00393CD6">
        <w:t>1404</w:t>
      </w:r>
      <w:r>
        <w:t xml:space="preserve"> (delegating authority to the Wireline Competition Bureau, as appropriate, to implement the rules adopted in the </w:t>
      </w:r>
      <w:r w:rsidRPr="00CA5F0A">
        <w:rPr>
          <w:i/>
          <w:iCs/>
        </w:rPr>
        <w:t>USF/ICC Transformation Order</w:t>
      </w:r>
      <w:r>
        <w:t xml:space="preserve">). </w:t>
      </w:r>
      <w:r w:rsidRPr="00393CD6">
        <w:t xml:space="preserve"> </w:t>
      </w:r>
    </w:p>
  </w:footnote>
  <w:footnote w:id="9">
    <w:p w:rsidR="001D15A9" w:rsidRPr="00393CD6" w:rsidP="001D15A9" w14:paraId="26C0C5A5" w14:textId="77777777">
      <w:pPr>
        <w:pStyle w:val="FootnoteText"/>
      </w:pPr>
      <w:r w:rsidRPr="00393CD6">
        <w:rPr>
          <w:rStyle w:val="FootnoteReference"/>
        </w:rPr>
        <w:footnoteRef/>
      </w:r>
      <w:r w:rsidRPr="00393CD6">
        <w:t xml:space="preserve"> </w:t>
      </w:r>
      <w:r w:rsidRPr="00393CD6">
        <w:rPr>
          <w:i/>
        </w:rPr>
        <w:t>See</w:t>
      </w:r>
      <w:r w:rsidRPr="00393CD6">
        <w:t xml:space="preserve"> 47 CFR §§ 69.3(a), 51.705, 51.907, 51.909.</w:t>
      </w:r>
    </w:p>
  </w:footnote>
  <w:footnote w:id="10">
    <w:p w:rsidR="001D15A9" w:rsidRPr="004A1ECD" w:rsidP="001D15A9" w14:paraId="4C6B0250" w14:textId="364F5FF4">
      <w:pPr>
        <w:pStyle w:val="FootnoteText"/>
        <w:rPr>
          <w:b/>
          <w:bCs/>
        </w:rPr>
      </w:pPr>
      <w:r w:rsidRPr="00393CD6">
        <w:rPr>
          <w:rStyle w:val="FootnoteReference"/>
        </w:rPr>
        <w:footnoteRef/>
      </w:r>
      <w:r w:rsidRPr="00393CD6">
        <w:t xml:space="preserve"> 47 U.S.C. § 204(a)(3)</w:t>
      </w:r>
      <w:r w:rsidR="00BB43C6">
        <w:t xml:space="preserve"> (</w:t>
      </w:r>
      <w:r w:rsidR="00854CD2">
        <w:t>“</w:t>
      </w:r>
      <w:r w:rsidRPr="00BB43C6" w:rsidR="00BB43C6">
        <w:t>A local exchange carrier may file with the Commission a new or revised charge, classification, regulation, or practice on a streamlined basis</w:t>
      </w:r>
      <w:r w:rsidR="00BB43C6">
        <w:t>…[which]…</w:t>
      </w:r>
      <w:r w:rsidRPr="00BB43C6" w:rsidR="00BB43C6">
        <w:t>shall be deemed lawful and shall be effective 7 days (in the case of a reduction in rates) or 15 days (in the case of an increase in rates) after the date on which it is filed with the Commission unless the Commission takes action</w:t>
      </w:r>
      <w:r w:rsidR="00BB43C6">
        <w:t>…</w:t>
      </w:r>
      <w:r w:rsidRPr="00BB43C6" w:rsidR="00BB43C6">
        <w:t>before the end of that 7-day or 15-day period, as is appropriate.</w:t>
      </w:r>
      <w:r w:rsidR="00BB43C6">
        <w:t>”)</w:t>
      </w:r>
      <w:r w:rsidRPr="00393CD6">
        <w:t>; 47 CFR § 61.58</w:t>
      </w:r>
      <w:r w:rsidR="00854CD2">
        <w:t>(a)(2)(i) (pursuant to section 204(a)(3) of the Act, local exchange carriers may file streamlined tariffs on 7 days’ notice if it proposes only rate decreases, and on 15 days’ notice for any other streamlined tariff including those that propose rate increases)</w:t>
      </w:r>
      <w:r w:rsidRPr="00393CD6">
        <w:t>.</w:t>
      </w:r>
    </w:p>
  </w:footnote>
  <w:footnote w:id="11">
    <w:p w:rsidR="006A790E" w:rsidRPr="00393CD6" w:rsidP="006A790E" w14:paraId="404499D1" w14:textId="77777777">
      <w:pPr>
        <w:pStyle w:val="FootnoteText"/>
      </w:pPr>
      <w:r w:rsidRPr="00393CD6">
        <w:rPr>
          <w:rStyle w:val="FootnoteReference"/>
        </w:rPr>
        <w:footnoteRef/>
      </w:r>
      <w:r w:rsidRPr="00393CD6">
        <w:t xml:space="preserve"> 47 CFR </w:t>
      </w:r>
      <w:bookmarkStart w:id="5" w:name="_Hlk34403158"/>
      <w:r w:rsidRPr="00393CD6">
        <w:t xml:space="preserve">§ </w:t>
      </w:r>
      <w:bookmarkEnd w:id="5"/>
      <w:r w:rsidRPr="00393CD6">
        <w:t>61.43.</w:t>
      </w:r>
    </w:p>
  </w:footnote>
  <w:footnote w:id="12">
    <w:p w:rsidR="0044204C" w:rsidRPr="00393CD6" w:rsidP="0044204C" w14:paraId="22CDD034" w14:textId="77777777">
      <w:pPr>
        <w:pStyle w:val="FootnoteText"/>
      </w:pPr>
      <w:r w:rsidRPr="00393CD6">
        <w:rPr>
          <w:rStyle w:val="FootnoteReference"/>
        </w:rPr>
        <w:footnoteRef/>
      </w:r>
      <w:r w:rsidRPr="00393CD6">
        <w:t xml:space="preserve"> 47 </w:t>
      </w:r>
      <w:r w:rsidRPr="00393CD6" w:rsidR="0098565F">
        <w:t>CFR</w:t>
      </w:r>
      <w:r w:rsidRPr="00393CD6">
        <w:t xml:space="preserve"> § 61.39; 47 </w:t>
      </w:r>
      <w:r w:rsidRPr="00393CD6" w:rsidR="0098565F">
        <w:t>CFR</w:t>
      </w:r>
      <w:r w:rsidRPr="00393CD6">
        <w:t xml:space="preserve"> § 69.3(f)(2).</w:t>
      </w:r>
    </w:p>
  </w:footnote>
  <w:footnote w:id="13">
    <w:p w:rsidR="001230ED" w:rsidRPr="00393CD6" w14:paraId="51E95A67" w14:textId="0B7E350B">
      <w:pPr>
        <w:pStyle w:val="FootnoteText"/>
      </w:pPr>
      <w:r w:rsidRPr="00393CD6">
        <w:rPr>
          <w:rStyle w:val="FootnoteReference"/>
        </w:rPr>
        <w:footnoteRef/>
      </w:r>
      <w:r w:rsidRPr="00393CD6">
        <w:t xml:space="preserve"> </w:t>
      </w:r>
      <w:r w:rsidRPr="00393CD6" w:rsidR="000C5599">
        <w:t xml:space="preserve">47 CFR § 61.38. </w:t>
      </w:r>
    </w:p>
  </w:footnote>
  <w:footnote w:id="14">
    <w:p w:rsidR="001230ED" w:rsidRPr="001C14F7" w14:paraId="0930C7E7" w14:textId="160EC1AF">
      <w:pPr>
        <w:pStyle w:val="FootnoteText"/>
      </w:pPr>
      <w:r w:rsidRPr="001C14F7">
        <w:rPr>
          <w:rStyle w:val="FootnoteReference"/>
        </w:rPr>
        <w:footnoteRef/>
      </w:r>
      <w:r w:rsidRPr="001C14F7">
        <w:t xml:space="preserve"> </w:t>
      </w:r>
      <w:r w:rsidRPr="001C14F7" w:rsidR="005C6B07">
        <w:t>47 CFR § 69.3(f)(1).</w:t>
      </w:r>
    </w:p>
  </w:footnote>
  <w:footnote w:id="15">
    <w:p w:rsidR="00857951" w:rsidRPr="001C14F7" w14:paraId="75F3A29C" w14:textId="45628716">
      <w:pPr>
        <w:pStyle w:val="FootnoteText"/>
      </w:pPr>
      <w:r w:rsidRPr="001C14F7">
        <w:rPr>
          <w:rStyle w:val="FootnoteReference"/>
        </w:rPr>
        <w:footnoteRef/>
      </w:r>
      <w:r w:rsidRPr="001C14F7">
        <w:t xml:space="preserve"> 47 </w:t>
      </w:r>
      <w:r w:rsidRPr="001C14F7" w:rsidR="00584CC0">
        <w:t>CFR</w:t>
      </w:r>
      <w:r w:rsidRPr="001C14F7">
        <w:t xml:space="preserve"> §51.917(d)</w:t>
      </w:r>
      <w:r w:rsidRPr="001C14F7" w:rsidR="00584CC0">
        <w:t>(1)</w:t>
      </w:r>
      <w:r w:rsidRPr="001C14F7">
        <w:t>(iv), (e).</w:t>
      </w:r>
    </w:p>
  </w:footnote>
  <w:footnote w:id="16">
    <w:p w:rsidR="000C7FCF" w:rsidRPr="001C14F7" w:rsidP="000C7FCF" w14:paraId="3AEEF100" w14:textId="64CCB5B6">
      <w:pPr>
        <w:pStyle w:val="FootnoteText"/>
      </w:pPr>
      <w:r w:rsidRPr="001C14F7">
        <w:rPr>
          <w:rStyle w:val="FootnoteReference"/>
        </w:rPr>
        <w:footnoteRef/>
      </w:r>
      <w:r w:rsidRPr="001C14F7">
        <w:t xml:space="preserve"> </w:t>
      </w:r>
      <w:r w:rsidRPr="001C14F7" w:rsidR="00AE74D0">
        <w:rPr>
          <w:i/>
        </w:rPr>
        <w:t>See Connect America Fund et al</w:t>
      </w:r>
      <w:r w:rsidRPr="001C14F7" w:rsidR="00AE74D0">
        <w:t>., Report and Order, Order on Reconsideration, and Further Notice of Proposed Rulemaking, WC Docket No. 10-90 et al., 31 FCC Rcd 3087, 3212, para. 326 (2016) (</w:t>
      </w:r>
      <w:r w:rsidRPr="001C14F7" w:rsidR="00AE74D0">
        <w:rPr>
          <w:i/>
          <w:iCs/>
        </w:rPr>
        <w:t>Rate-of-Return Reform Order</w:t>
      </w:r>
      <w:r w:rsidRPr="001C14F7" w:rsidR="00AE74D0">
        <w:t>).</w:t>
      </w:r>
    </w:p>
  </w:footnote>
  <w:footnote w:id="17">
    <w:p w:rsidR="00377710" w:rsidRPr="001C14F7" w14:paraId="2C0280BD" w14:textId="2645F7C3">
      <w:pPr>
        <w:pStyle w:val="FootnoteText"/>
      </w:pPr>
      <w:r w:rsidRPr="001C14F7">
        <w:rPr>
          <w:rStyle w:val="FootnoteReference"/>
        </w:rPr>
        <w:footnoteRef/>
      </w:r>
      <w:r w:rsidRPr="001C14F7">
        <w:t xml:space="preserve"> </w:t>
      </w:r>
      <w:r w:rsidRPr="001C14F7" w:rsidR="008D78BF">
        <w:t>47 CFR §§ 51.907(i)</w:t>
      </w:r>
      <w:r w:rsidRPr="001C14F7" w:rsidR="00CF265F">
        <w:t>-(k)</w:t>
      </w:r>
      <w:r w:rsidRPr="001C14F7" w:rsidR="008D78BF">
        <w:t>, 51.909(l)-(</w:t>
      </w:r>
      <w:r w:rsidRPr="001C14F7" w:rsidR="00CF265F">
        <w:t>o)</w:t>
      </w:r>
      <w:r w:rsidRPr="001C14F7" w:rsidR="008D78BF">
        <w:t xml:space="preserve">; </w:t>
      </w:r>
      <w:r w:rsidRPr="009468E3" w:rsidR="00A223C8">
        <w:rPr>
          <w:i/>
          <w:iCs/>
        </w:rPr>
        <w:t>8YY Access Charge Reform</w:t>
      </w:r>
      <w:r w:rsidRPr="009468E3" w:rsidR="00A223C8">
        <w:t>, WC Docket No. 18-156, Report and Order, 35 FCC Rcd 11594, FCC 20-143, at 10, para. 25 (Oct. 9, 2020) (</w:t>
      </w:r>
      <w:r w:rsidRPr="009468E3" w:rsidR="00A223C8">
        <w:rPr>
          <w:i/>
          <w:iCs/>
        </w:rPr>
        <w:t>8YY Access Charge Reform Order</w:t>
      </w:r>
      <w:r w:rsidRPr="009468E3" w:rsidR="00A223C8">
        <w:t>); 85 Fed. Reg. 75894 (Nov. 27, 2020).</w:t>
      </w:r>
      <w:r w:rsidR="00A223C8">
        <w:t xml:space="preserve">  </w:t>
      </w:r>
      <w:r w:rsidRPr="001C14F7" w:rsidR="009173B5">
        <w:t xml:space="preserve">The bill-and-keep methodology is defined in 47 CFR § 51.713. </w:t>
      </w:r>
    </w:p>
  </w:footnote>
  <w:footnote w:id="18">
    <w:p w:rsidR="00953A11" w:rsidRPr="001C14F7" w14:paraId="120B5337" w14:textId="6F0DE7DB">
      <w:pPr>
        <w:pStyle w:val="FootnoteText"/>
      </w:pPr>
      <w:r w:rsidRPr="001C14F7">
        <w:rPr>
          <w:rStyle w:val="FootnoteReference"/>
        </w:rPr>
        <w:footnoteRef/>
      </w:r>
      <w:r w:rsidRPr="001C14F7">
        <w:t xml:space="preserve"> 47 CFR § 51.909(l). </w:t>
      </w:r>
      <w:r w:rsidRPr="001C14F7" w:rsidR="00D01D76">
        <w:t xml:space="preserve"> </w:t>
      </w:r>
      <w:r w:rsidRPr="0069140D" w:rsidR="00536E73">
        <w:t xml:space="preserve">Price cap incumbent LEC’s interstate and intrastate originating access service were capped beginning in 2011.  </w:t>
      </w:r>
      <w:r w:rsidRPr="001C14F7" w:rsidR="00536E73">
        <w:rPr>
          <w:i/>
          <w:iCs/>
        </w:rPr>
        <w:t>USF/ICC Transformation Order</w:t>
      </w:r>
      <w:r w:rsidRPr="001C14F7" w:rsidR="00536E73">
        <w:t>, 26 FCC Rcd at 17942, para. 818.</w:t>
      </w:r>
    </w:p>
  </w:footnote>
  <w:footnote w:id="19">
    <w:p w:rsidR="00881DE5" w:rsidRPr="001C14F7" w14:paraId="57B7F6F2" w14:textId="509EE552">
      <w:pPr>
        <w:pStyle w:val="FootnoteText"/>
      </w:pPr>
      <w:r w:rsidRPr="001C14F7">
        <w:rPr>
          <w:rStyle w:val="FootnoteReference"/>
        </w:rPr>
        <w:footnoteRef/>
      </w:r>
      <w:r w:rsidRPr="001C14F7">
        <w:t xml:space="preserve"> </w:t>
      </w:r>
      <w:bookmarkStart w:id="7" w:name="_Hlk68110769"/>
      <w:r w:rsidRPr="001C14F7">
        <w:t>47 CFR §§ 51.907(i)(1</w:t>
      </w:r>
      <w:bookmarkEnd w:id="7"/>
      <w:r w:rsidRPr="001C14F7">
        <w:t>), 51.909(m)(1)</w:t>
      </w:r>
      <w:r w:rsidRPr="001C14F7" w:rsidR="00945D12">
        <w:t>.</w:t>
      </w:r>
    </w:p>
  </w:footnote>
  <w:footnote w:id="20">
    <w:p w:rsidR="00142942" w:rsidRPr="001C14F7" w14:paraId="4B70DC5A" w14:textId="6ECC928B">
      <w:pPr>
        <w:pStyle w:val="FootnoteText"/>
      </w:pPr>
      <w:r w:rsidRPr="001C14F7">
        <w:rPr>
          <w:rStyle w:val="FootnoteReference"/>
        </w:rPr>
        <w:footnoteRef/>
      </w:r>
      <w:r w:rsidRPr="001C14F7">
        <w:t xml:space="preserve"> </w:t>
      </w:r>
      <w:r w:rsidRPr="001C14F7" w:rsidR="00675234">
        <w:t xml:space="preserve">47 CFR </w:t>
      </w:r>
      <w:r w:rsidRPr="001C14F7" w:rsidR="00960FD4">
        <w:t xml:space="preserve">§§ </w:t>
      </w:r>
      <w:r w:rsidRPr="001C14F7" w:rsidR="00675234">
        <w:t xml:space="preserve">51.907(i), 51.909(m); </w:t>
      </w:r>
      <w:r w:rsidRPr="001C14F7" w:rsidR="005A038D">
        <w:rPr>
          <w:i/>
          <w:iCs/>
        </w:rPr>
        <w:t>8YY Access Charge Reform Order</w:t>
      </w:r>
      <w:r w:rsidRPr="001C14F7" w:rsidR="005A038D">
        <w:t xml:space="preserve"> </w:t>
      </w:r>
      <w:r w:rsidRPr="001C14F7">
        <w:t xml:space="preserve">at </w:t>
      </w:r>
      <w:r w:rsidRPr="001C14F7" w:rsidR="003621B4">
        <w:t xml:space="preserve">12-13, </w:t>
      </w:r>
      <w:r w:rsidRPr="001C14F7" w:rsidR="00065314">
        <w:t xml:space="preserve">22, </w:t>
      </w:r>
      <w:r w:rsidRPr="001C14F7" w:rsidR="003621B4">
        <w:t>para</w:t>
      </w:r>
      <w:r w:rsidRPr="001C14F7" w:rsidR="00065314">
        <w:t>s</w:t>
      </w:r>
      <w:r w:rsidRPr="001C14F7" w:rsidR="003621B4">
        <w:t>. 28</w:t>
      </w:r>
      <w:r w:rsidRPr="001C14F7" w:rsidR="00065314">
        <w:t>, 49</w:t>
      </w:r>
      <w:r w:rsidRPr="001C14F7" w:rsidR="003621B4">
        <w:t>.</w:t>
      </w:r>
    </w:p>
  </w:footnote>
  <w:footnote w:id="21">
    <w:p w:rsidR="00E7703F" w:rsidRPr="001C14F7" w14:paraId="59260B0E" w14:textId="5E234487">
      <w:pPr>
        <w:pStyle w:val="FootnoteText"/>
      </w:pPr>
      <w:r w:rsidRPr="001C14F7">
        <w:rPr>
          <w:rStyle w:val="FootnoteReference"/>
        </w:rPr>
        <w:footnoteRef/>
      </w:r>
      <w:r w:rsidRPr="001C14F7">
        <w:t xml:space="preserve"> 47 CFR §§ 51.907(i)(3), 51.909(m)(3)</w:t>
      </w:r>
      <w:r w:rsidRPr="001C14F7" w:rsidR="009173B5">
        <w:t xml:space="preserve">; </w:t>
      </w:r>
      <w:r w:rsidRPr="001C14F7" w:rsidR="009173B5">
        <w:rPr>
          <w:i/>
          <w:iCs/>
        </w:rPr>
        <w:t>see id</w:t>
      </w:r>
      <w:r w:rsidRPr="001C14F7" w:rsidR="009173B5">
        <w:t>. § 51.713 (defining bill-and-keep arrangements).</w:t>
      </w:r>
      <w:r w:rsidRPr="001C14F7">
        <w:t xml:space="preserve"> </w:t>
      </w:r>
    </w:p>
  </w:footnote>
  <w:footnote w:id="22">
    <w:p w:rsidR="00D06FF7" w:rsidRPr="001C14F7" w:rsidP="00D06FF7" w14:paraId="5B7179C6" w14:textId="4BD0D2E0">
      <w:pPr>
        <w:pStyle w:val="FootnoteText"/>
      </w:pPr>
      <w:r w:rsidRPr="001C14F7">
        <w:rPr>
          <w:rStyle w:val="FootnoteReference"/>
        </w:rPr>
        <w:footnoteRef/>
      </w:r>
      <w:r w:rsidRPr="001C14F7">
        <w:t xml:space="preserve"> </w:t>
      </w:r>
      <w:r w:rsidRPr="001C14F7" w:rsidR="00BD17DD">
        <w:rPr>
          <w:i/>
          <w:iCs/>
        </w:rPr>
        <w:t>Id</w:t>
      </w:r>
      <w:r w:rsidRPr="001C14F7" w:rsidR="00BD17DD">
        <w:t>.</w:t>
      </w:r>
      <w:r w:rsidRPr="001C14F7">
        <w:t xml:space="preserve"> §§ 51.907(i)(5), 51.909(m)(5).</w:t>
      </w:r>
    </w:p>
  </w:footnote>
  <w:footnote w:id="23">
    <w:p w:rsidR="00D06FF7" w:rsidRPr="001C14F7" w:rsidP="00D06FF7" w14:paraId="2B597A19" w14:textId="1A6ED403">
      <w:pPr>
        <w:pStyle w:val="FootnoteText"/>
      </w:pPr>
      <w:r w:rsidRPr="001C14F7">
        <w:rPr>
          <w:rStyle w:val="FootnoteReference"/>
        </w:rPr>
        <w:footnoteRef/>
      </w:r>
      <w:r w:rsidRPr="001C14F7">
        <w:t xml:space="preserve"> </w:t>
      </w:r>
      <w:r w:rsidRPr="001C14F7" w:rsidR="00BD17DD">
        <w:rPr>
          <w:i/>
          <w:iCs/>
        </w:rPr>
        <w:t>Id</w:t>
      </w:r>
      <w:r w:rsidRPr="001C14F7" w:rsidR="00BD17DD">
        <w:t>.</w:t>
      </w:r>
      <w:r w:rsidRPr="001C14F7">
        <w:t xml:space="preserve"> §§ 51.907(i)(6), 51.909(m)(6). </w:t>
      </w:r>
    </w:p>
  </w:footnote>
  <w:footnote w:id="24">
    <w:p w:rsidR="00B05260" w14:paraId="3BF9B36A" w14:textId="42809341">
      <w:pPr>
        <w:pStyle w:val="FootnoteText"/>
      </w:pPr>
      <w:r>
        <w:rPr>
          <w:rStyle w:val="FootnoteReference"/>
        </w:rPr>
        <w:footnoteRef/>
      </w:r>
      <w:r>
        <w:t xml:space="preserve"> </w:t>
      </w:r>
      <w:r w:rsidRPr="001C14F7">
        <w:rPr>
          <w:i/>
          <w:iCs/>
        </w:rPr>
        <w:t>Id</w:t>
      </w:r>
      <w:r w:rsidRPr="001C14F7">
        <w:t xml:space="preserve">. </w:t>
      </w:r>
    </w:p>
  </w:footnote>
  <w:footnote w:id="25">
    <w:p w:rsidR="0059259B" w:rsidRPr="001C14F7" w:rsidP="0059259B" w14:paraId="26E852DE" w14:textId="77777777">
      <w:pPr>
        <w:pStyle w:val="FootnoteText"/>
      </w:pPr>
      <w:r w:rsidRPr="001C14F7">
        <w:rPr>
          <w:rStyle w:val="FootnoteReference"/>
        </w:rPr>
        <w:footnoteRef/>
      </w:r>
      <w:r w:rsidRPr="001C14F7">
        <w:t xml:space="preserve"> Generally, the Commission’s rules may be waived for good cause shown.  47 CFR § 1.3.  The Commission may exercise its discretion to waive a rule where the particular facts make strict compliance inconsistent with the public interest.  </w:t>
      </w:r>
      <w:r w:rsidRPr="001C14F7">
        <w:rPr>
          <w:i/>
        </w:rPr>
        <w:t xml:space="preserve">Northeast Cellular Telephone Co. v. FCC, </w:t>
      </w:r>
      <w:r w:rsidRPr="001C14F7">
        <w:t>897 F.2d 1164, 1166 (D.C. Cir. 1990) (</w:t>
      </w:r>
      <w:r w:rsidRPr="001C14F7">
        <w:rPr>
          <w:i/>
        </w:rPr>
        <w:t>Northeast Cellular</w:t>
      </w:r>
      <w:r w:rsidRPr="001C14F7">
        <w:t xml:space="preserve">).  The Commission may also take into account considerations of hardship, equity, or more effective implementation of overall policy on an overall or individual basis.  </w:t>
      </w:r>
      <w:r w:rsidRPr="001C14F7">
        <w:rPr>
          <w:i/>
        </w:rPr>
        <w:t>WAIT Radio v. FCC</w:t>
      </w:r>
      <w:r w:rsidRPr="001C14F7">
        <w:t xml:space="preserve">, 418 F.2d 1153, 1159 (D.C. Cir. 1969); </w:t>
      </w:r>
      <w:r w:rsidRPr="001C14F7">
        <w:rPr>
          <w:i/>
        </w:rPr>
        <w:t>Northeast Cellular</w:t>
      </w:r>
      <w:r w:rsidRPr="001C14F7">
        <w:t xml:space="preserve">, 897 F.2d at 1166.  Waiver of the Commission’s rules is therefore appropriate only if special circumstances warrant a deviation from the general rule, and such deviation will serve the public interest.  </w:t>
      </w:r>
      <w:r w:rsidRPr="001C14F7">
        <w:rPr>
          <w:i/>
        </w:rPr>
        <w:t>Northeast Cellular</w:t>
      </w:r>
      <w:r w:rsidRPr="001C14F7">
        <w:t xml:space="preserve">, 897 F.2d at 1166.  </w:t>
      </w:r>
    </w:p>
  </w:footnote>
  <w:footnote w:id="26">
    <w:p w:rsidR="0059259B" w:rsidRPr="001C14F7" w:rsidP="0059259B" w14:paraId="39BFC905" w14:textId="163E0454">
      <w:pPr>
        <w:pStyle w:val="FootnoteText"/>
      </w:pPr>
      <w:r w:rsidRPr="001C14F7">
        <w:rPr>
          <w:rStyle w:val="FootnoteReference"/>
        </w:rPr>
        <w:footnoteRef/>
      </w:r>
      <w:r w:rsidRPr="001C14F7">
        <w:t xml:space="preserve"> 47 CFR §§ 51.909(a)(4)</w:t>
      </w:r>
      <w:r>
        <w:t>, (a)(6)(ii)</w:t>
      </w:r>
      <w:r w:rsidRPr="001C14F7">
        <w:t xml:space="preserve">; </w:t>
      </w:r>
      <w:r w:rsidRPr="003855D0">
        <w:rPr>
          <w:i/>
          <w:iCs/>
        </w:rPr>
        <w:t>see Connect America Fund et al</w:t>
      </w:r>
      <w:r w:rsidRPr="001C14F7">
        <w:t xml:space="preserve">., WC Docket No. 19-90 et al., Order, </w:t>
      </w:r>
      <w:r w:rsidRPr="003855D0">
        <w:rPr>
          <w:color w:val="1D2B3E"/>
        </w:rPr>
        <w:t xml:space="preserve">28 FCC Rcd 3319, 3325-26, para. 13 (2013). </w:t>
      </w:r>
      <w:r w:rsidR="006A273A">
        <w:rPr>
          <w:color w:val="1D2B3E"/>
        </w:rPr>
        <w:t xml:space="preserve"> </w:t>
      </w:r>
      <w:r>
        <w:t xml:space="preserve">Carriers entering or exiting the NECA tariff pools for the 2021-22 annual access tariff filing period were required to notify NECA of this election by March 1, 2021.  </w:t>
      </w:r>
      <w:r w:rsidRPr="003855D0">
        <w:rPr>
          <w:i/>
          <w:iCs/>
        </w:rPr>
        <w:t>See</w:t>
      </w:r>
      <w:r w:rsidRPr="001C14F7">
        <w:t xml:space="preserve"> 47 CFR §§ 69.3(e)(6), (e)(9), (i)(1).</w:t>
      </w:r>
    </w:p>
  </w:footnote>
  <w:footnote w:id="27">
    <w:p w:rsidR="0059259B" w:rsidRPr="001C14F7" w:rsidP="0059259B" w14:paraId="0D8F8B67" w14:textId="77777777">
      <w:pPr>
        <w:pStyle w:val="FootnoteText"/>
      </w:pPr>
      <w:r w:rsidRPr="001C14F7">
        <w:rPr>
          <w:rStyle w:val="FootnoteReference"/>
        </w:rPr>
        <w:footnoteRef/>
      </w:r>
      <w:r w:rsidRPr="001C14F7">
        <w:t xml:space="preserve"> </w:t>
      </w:r>
      <w:r w:rsidRPr="003855D0">
        <w:rPr>
          <w:i/>
          <w:iCs/>
        </w:rPr>
        <w:t>See</w:t>
      </w:r>
      <w:r w:rsidRPr="001C14F7">
        <w:t xml:space="preserve"> Letter from Jennifer Leonard, Senior Director, NECA, to Kris Monteith, Chief, Wireline Competition Bureau, FCC (dated Mar. 22, 2021). </w:t>
      </w:r>
    </w:p>
  </w:footnote>
  <w:footnote w:id="28">
    <w:p w:rsidR="0059259B" w:rsidP="0059259B" w14:paraId="56E3A5F0" w14:textId="45301CDA">
      <w:pPr>
        <w:pStyle w:val="FootnoteText"/>
      </w:pPr>
      <w:r>
        <w:rPr>
          <w:rStyle w:val="FootnoteReference"/>
        </w:rPr>
        <w:footnoteRef/>
      </w:r>
      <w:r>
        <w:t xml:space="preserve"> </w:t>
      </w:r>
      <w:r w:rsidRPr="00FD1279">
        <w:rPr>
          <w:i/>
          <w:iCs/>
        </w:rPr>
        <w:t>See</w:t>
      </w:r>
      <w:r>
        <w:t xml:space="preserve"> </w:t>
      </w:r>
      <w:r w:rsidRPr="009468E3">
        <w:rPr>
          <w:i/>
          <w:iCs/>
        </w:rPr>
        <w:t>Connect America Fund et al</w:t>
      </w:r>
      <w:r w:rsidRPr="001C14F7">
        <w:t>., WC Docket No. 10-90 et al., Order, 28 FCC Rcd 7074</w:t>
      </w:r>
      <w:r>
        <w:t>, 7075-76, paras. 2-5</w:t>
      </w:r>
      <w:r w:rsidRPr="001C14F7">
        <w:t xml:space="preserve"> (</w:t>
      </w:r>
      <w:r w:rsidR="00E17304">
        <w:t xml:space="preserve">WCB </w:t>
      </w:r>
      <w:r w:rsidRPr="001C14F7">
        <w:t>2013)</w:t>
      </w:r>
      <w:r>
        <w:t xml:space="preserve"> (granting a limited waiver of</w:t>
      </w:r>
      <w:r w:rsidRPr="00EF43EE">
        <w:t xml:space="preserve"> section 51.909(a)(4)</w:t>
      </w:r>
      <w:r>
        <w:t xml:space="preserve"> where the rate impact of adjusting switched access rate caps would be approximately </w:t>
      </w:r>
      <w:r w:rsidRPr="003B34C7">
        <w:t xml:space="preserve">0.053% </w:t>
      </w:r>
      <w:r>
        <w:t>and CAF ICC support would increase by approximately $</w:t>
      </w:r>
      <w:r w:rsidRPr="003B34C7">
        <w:t>138,500</w:t>
      </w:r>
      <w:r>
        <w:t xml:space="preserve"> on the basis that the amounts at issue were </w:t>
      </w:r>
      <w:r>
        <w:rPr>
          <w:i/>
          <w:iCs/>
        </w:rPr>
        <w:t>de minimus</w:t>
      </w:r>
      <w:r>
        <w:t>)</w:t>
      </w:r>
      <w:r w:rsidRPr="001C14F7">
        <w:t>.</w:t>
      </w:r>
    </w:p>
  </w:footnote>
  <w:footnote w:id="29">
    <w:p w:rsidR="00163417" w:rsidRPr="001C14F7" w:rsidP="00163417" w14:paraId="7BA06EDB" w14:textId="77777777">
      <w:pPr>
        <w:pStyle w:val="FootnoteText"/>
      </w:pPr>
      <w:r w:rsidRPr="001C14F7">
        <w:rPr>
          <w:rStyle w:val="FootnoteReference"/>
        </w:rPr>
        <w:footnoteRef/>
      </w:r>
      <w:r w:rsidRPr="001C14F7">
        <w:t xml:space="preserve"> 47 CFR § 61.13(b).</w:t>
      </w:r>
    </w:p>
  </w:footnote>
  <w:footnote w:id="30">
    <w:p w:rsidR="004E4353" w:rsidRPr="001C14F7" w:rsidP="004E4353" w14:paraId="016CA5B2" w14:textId="05C58DF2">
      <w:pPr>
        <w:pStyle w:val="FootnoteText"/>
      </w:pPr>
      <w:r w:rsidRPr="001C14F7">
        <w:rPr>
          <w:rStyle w:val="FootnoteReference"/>
        </w:rPr>
        <w:footnoteRef/>
      </w:r>
      <w:r w:rsidRPr="001C14F7">
        <w:t xml:space="preserve"> </w:t>
      </w:r>
      <w:r w:rsidRPr="001C14F7">
        <w:rPr>
          <w:i/>
          <w:iCs/>
        </w:rPr>
        <w:t xml:space="preserve">See </w:t>
      </w:r>
      <w:r w:rsidRPr="001C14F7">
        <w:t xml:space="preserve">47 CFR §§ 1.3, </w:t>
      </w:r>
      <w:r w:rsidRPr="001C14F7" w:rsidR="000E0530">
        <w:t xml:space="preserve">1.4(f), </w:t>
      </w:r>
      <w:r w:rsidRPr="001C14F7">
        <w:t>1.773(a), (b).</w:t>
      </w:r>
    </w:p>
  </w:footnote>
  <w:footnote w:id="31">
    <w:p w:rsidR="00E4446A" w:rsidRPr="001C14F7" w:rsidP="00E4446A" w14:paraId="6DB46E49" w14:textId="77777777">
      <w:pPr>
        <w:pStyle w:val="FootnoteText"/>
      </w:pPr>
      <w:r w:rsidRPr="001C14F7">
        <w:rPr>
          <w:rStyle w:val="FootnoteReference"/>
        </w:rPr>
        <w:footnoteRef/>
      </w:r>
      <w:r w:rsidRPr="001C14F7">
        <w:t xml:space="preserve"> </w:t>
      </w:r>
      <w:r w:rsidRPr="0069140D">
        <w:rPr>
          <w:i/>
          <w:iCs/>
        </w:rPr>
        <w:t>Id</w:t>
      </w:r>
      <w:r w:rsidRPr="0069140D">
        <w:t>. §§ 1.419, 1.773.</w:t>
      </w:r>
    </w:p>
  </w:footnote>
  <w:footnote w:id="32">
    <w:p w:rsidR="003D2C4A" w:rsidRPr="001C14F7" w:rsidP="003D2C4A" w14:paraId="22D11EE2" w14:textId="77777777">
      <w:pPr>
        <w:pStyle w:val="FootnoteText"/>
      </w:pPr>
      <w:r w:rsidRPr="001C14F7">
        <w:rPr>
          <w:rStyle w:val="FootnoteReference"/>
        </w:rPr>
        <w:footnoteRef/>
      </w:r>
      <w:r w:rsidRPr="001C14F7">
        <w:t xml:space="preserve"> </w:t>
      </w:r>
      <w:r w:rsidRPr="0069140D">
        <w:rPr>
          <w:i/>
        </w:rPr>
        <w:t>See Electronic Filing of Documents in Rulemaking Proceedings</w:t>
      </w:r>
      <w:r w:rsidRPr="0069140D">
        <w:t>, 63 FR 24121 (1998).</w:t>
      </w:r>
    </w:p>
  </w:footnote>
  <w:footnote w:id="33">
    <w:p w:rsidR="00651259" w:rsidRPr="001C14F7" w14:paraId="28C146FA" w14:textId="431A7620">
      <w:pPr>
        <w:pStyle w:val="FootnoteText"/>
      </w:pPr>
      <w:r w:rsidRPr="001C14F7">
        <w:rPr>
          <w:rStyle w:val="FootnoteReference"/>
        </w:rPr>
        <w:footnoteRef/>
      </w:r>
      <w:r w:rsidRPr="001C14F7">
        <w:t xml:space="preserve"> </w:t>
      </w:r>
      <w:r w:rsidRPr="001C14F7">
        <w:rPr>
          <w:i/>
          <w:iCs/>
        </w:rPr>
        <w:t>See FCC Announces Closure of FCC Headquarters Open Window and Change in Hand-Delivery Policy</w:t>
      </w:r>
      <w:r w:rsidRPr="001C14F7">
        <w:t>, Public Notice, 35 FCC Rcd 2788 (OMD 2020).</w:t>
      </w:r>
    </w:p>
  </w:footnote>
  <w:footnote w:id="34">
    <w:p w:rsidR="007D5CC6" w:rsidRPr="001C14F7" w:rsidP="007D5CC6" w14:paraId="641F4918" w14:textId="77777777">
      <w:pPr>
        <w:pStyle w:val="FootnoteText"/>
        <w:rPr>
          <w:i/>
          <w:iCs/>
        </w:rPr>
      </w:pPr>
      <w:r w:rsidRPr="001C14F7">
        <w:rPr>
          <w:rStyle w:val="FootnoteReference"/>
        </w:rPr>
        <w:footnoteRef/>
      </w:r>
      <w:r w:rsidRPr="001C14F7">
        <w:t xml:space="preserve"> 47 CFR § 1.1200 </w:t>
      </w:r>
      <w:r w:rsidRPr="001C14F7">
        <w:rPr>
          <w:i/>
          <w:iCs/>
        </w:rPr>
        <w:t>et seq.</w:t>
      </w:r>
    </w:p>
  </w:footnote>
  <w:footnote w:id="35">
    <w:p w:rsidR="00504F31" w:rsidRPr="001C14F7" w:rsidP="00504F31" w14:paraId="5649EDFC" w14:textId="66498CED">
      <w:pPr>
        <w:pStyle w:val="FootnoteText"/>
      </w:pPr>
      <w:r w:rsidRPr="001C14F7">
        <w:rPr>
          <w:rStyle w:val="FootnoteReference"/>
        </w:rPr>
        <w:footnoteRef/>
      </w:r>
      <w:r w:rsidRPr="001C14F7">
        <w:t xml:space="preserve"> </w:t>
      </w:r>
      <w:r w:rsidRPr="001C14F7">
        <w:rPr>
          <w:i/>
        </w:rPr>
        <w:t xml:space="preserve">See </w:t>
      </w:r>
      <w:r w:rsidRPr="001C14F7">
        <w:rPr>
          <w:i/>
          <w:iCs/>
        </w:rPr>
        <w:t>id</w:t>
      </w:r>
      <w:r w:rsidRPr="001C14F7">
        <w:t xml:space="preserve">. §§ 1.773(a)(4), (b)(3).  </w:t>
      </w:r>
    </w:p>
  </w:footnote>
  <w:footnote w:id="36">
    <w:p w:rsidR="009029BF" w:rsidRPr="001C14F7" w14:paraId="40EA7B8B" w14:textId="55676ED7">
      <w:pPr>
        <w:pStyle w:val="FootnoteText"/>
      </w:pPr>
      <w:r w:rsidRPr="001C14F7">
        <w:rPr>
          <w:rStyle w:val="FootnoteReference"/>
        </w:rPr>
        <w:footnoteRef/>
      </w:r>
      <w:r w:rsidRPr="001C14F7">
        <w:t xml:space="preserve"> </w:t>
      </w:r>
      <w:r w:rsidRPr="001C14F7">
        <w:rPr>
          <w:i/>
          <w:iCs/>
        </w:rPr>
        <w:t>Id</w:t>
      </w:r>
      <w:r w:rsidRPr="001C14F7">
        <w:t xml:space="preserve">. §§ </w:t>
      </w:r>
      <w:r w:rsidRPr="001C14F7" w:rsidR="006C1B92">
        <w:t xml:space="preserve">1.3, </w:t>
      </w:r>
      <w:r w:rsidRPr="001C14F7">
        <w:t xml:space="preserve">1.47(d), 1.773(a)(4), (b)(3).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13CA9B9" w14:textId="6773E5E8">
    <w:pPr>
      <w:pStyle w:val="Header"/>
      <w:rPr>
        <w:b w:val="0"/>
      </w:rPr>
    </w:pPr>
    <w:r>
      <w:tab/>
      <w:t>Federal Communications Commission</w:t>
    </w:r>
    <w:r>
      <w:tab/>
    </w:r>
    <w:r w:rsidR="002948D2">
      <w:t>DA</w:t>
    </w:r>
    <w:r w:rsidRPr="002948D2" w:rsidR="002948D2">
      <w:t xml:space="preserve"> 21-433</w:t>
    </w:r>
  </w:p>
  <w:p w:rsidR="00D25FB5" w14:paraId="3F48086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977C9D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58EB2F" w14:textId="6447D3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948D2">
      <w:t xml:space="preserve">DA </w:t>
    </w:r>
    <w:r w:rsidRPr="002948D2" w:rsidR="002948D2">
      <w:rPr>
        <w:spacing w:val="-2"/>
      </w:rPr>
      <w:t>21-433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3045BA"/>
    <w:multiLevelType w:val="hybridMultilevel"/>
    <w:tmpl w:val="0678645A"/>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9F10F95"/>
    <w:multiLevelType w:val="hybridMultilevel"/>
    <w:tmpl w:val="D2AE0E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E225D9"/>
    <w:multiLevelType w:val="hybridMultilevel"/>
    <w:tmpl w:val="0DB2A9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TimesNewRoman"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TimesNewRoman"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41F6B38"/>
    <w:multiLevelType w:val="multilevel"/>
    <w:tmpl w:val="885EE566"/>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FFD2FBC"/>
    <w:multiLevelType w:val="hybridMultilevel"/>
    <w:tmpl w:val="E0A81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19CE6B22"/>
    <w:lvl w:ilvl="0">
      <w:start w:val="1"/>
      <w:numFmt w:val="decimal"/>
      <w:pStyle w:val="ParaNum"/>
      <w:lvlText w:val="%1."/>
      <w:lvlJc w:val="left"/>
      <w:pPr>
        <w:tabs>
          <w:tab w:val="num" w:pos="1080"/>
        </w:tabs>
        <w:ind w:left="0" w:firstLine="720"/>
      </w:pPr>
      <w:rPr>
        <w:b w:val="0"/>
        <w:bCs w:val="0"/>
      </w:rPr>
    </w:lvl>
  </w:abstractNum>
  <w:num w:numId="1">
    <w:abstractNumId w:val="2"/>
  </w:num>
  <w:num w:numId="2">
    <w:abstractNumId w:val="10"/>
  </w:num>
  <w:num w:numId="3">
    <w:abstractNumId w:val="4"/>
  </w:num>
  <w:num w:numId="4">
    <w:abstractNumId w:val="6"/>
  </w:num>
  <w:num w:numId="5">
    <w:abstractNumId w:val="3"/>
  </w:num>
  <w:num w:numId="6">
    <w:abstractNumId w:val="0"/>
  </w:num>
  <w:num w:numId="7">
    <w:abstractNumId w:val="5"/>
  </w:num>
  <w:num w:numId="8">
    <w:abstractNumId w:val="8"/>
  </w:num>
  <w:num w:numId="9">
    <w:abstractNumId w:val="9"/>
  </w:num>
  <w:num w:numId="10">
    <w:abstractNumId w:val="7"/>
  </w:num>
  <w:num w:numId="11">
    <w:abstractNumId w:val="1"/>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5D"/>
    <w:rsid w:val="00010FD7"/>
    <w:rsid w:val="000122FA"/>
    <w:rsid w:val="000142EE"/>
    <w:rsid w:val="00014B7D"/>
    <w:rsid w:val="000279E4"/>
    <w:rsid w:val="00036039"/>
    <w:rsid w:val="00037F90"/>
    <w:rsid w:val="00050AF9"/>
    <w:rsid w:val="00053BF5"/>
    <w:rsid w:val="00062708"/>
    <w:rsid w:val="0006325D"/>
    <w:rsid w:val="000634E4"/>
    <w:rsid w:val="00063EBA"/>
    <w:rsid w:val="000647CA"/>
    <w:rsid w:val="0006517A"/>
    <w:rsid w:val="00065314"/>
    <w:rsid w:val="00067AA0"/>
    <w:rsid w:val="000857B9"/>
    <w:rsid w:val="000870DF"/>
    <w:rsid w:val="000875BF"/>
    <w:rsid w:val="00096D8C"/>
    <w:rsid w:val="000C0B65"/>
    <w:rsid w:val="000C4195"/>
    <w:rsid w:val="000C4C9B"/>
    <w:rsid w:val="000C512F"/>
    <w:rsid w:val="000C5599"/>
    <w:rsid w:val="000C7FCF"/>
    <w:rsid w:val="000D291A"/>
    <w:rsid w:val="000D7AA5"/>
    <w:rsid w:val="000E0530"/>
    <w:rsid w:val="000E05FE"/>
    <w:rsid w:val="000E3D42"/>
    <w:rsid w:val="00100260"/>
    <w:rsid w:val="00110D3C"/>
    <w:rsid w:val="001126A7"/>
    <w:rsid w:val="00115005"/>
    <w:rsid w:val="00121508"/>
    <w:rsid w:val="00121C89"/>
    <w:rsid w:val="00122BD5"/>
    <w:rsid w:val="001230ED"/>
    <w:rsid w:val="00133F79"/>
    <w:rsid w:val="00136CD0"/>
    <w:rsid w:val="00140034"/>
    <w:rsid w:val="00142942"/>
    <w:rsid w:val="00143079"/>
    <w:rsid w:val="00154994"/>
    <w:rsid w:val="00155B60"/>
    <w:rsid w:val="00160BCE"/>
    <w:rsid w:val="00163417"/>
    <w:rsid w:val="0016393C"/>
    <w:rsid w:val="00170A5E"/>
    <w:rsid w:val="00180CE7"/>
    <w:rsid w:val="00182D2D"/>
    <w:rsid w:val="00192052"/>
    <w:rsid w:val="00194A66"/>
    <w:rsid w:val="001A0972"/>
    <w:rsid w:val="001A3608"/>
    <w:rsid w:val="001B6318"/>
    <w:rsid w:val="001C14F7"/>
    <w:rsid w:val="001C3B18"/>
    <w:rsid w:val="001D15A9"/>
    <w:rsid w:val="001D2F54"/>
    <w:rsid w:val="001D6BCF"/>
    <w:rsid w:val="001E01CA"/>
    <w:rsid w:val="00201D54"/>
    <w:rsid w:val="002026C2"/>
    <w:rsid w:val="002131CA"/>
    <w:rsid w:val="0021539C"/>
    <w:rsid w:val="0022380D"/>
    <w:rsid w:val="0022584D"/>
    <w:rsid w:val="00235124"/>
    <w:rsid w:val="00243513"/>
    <w:rsid w:val="002506B7"/>
    <w:rsid w:val="002530CE"/>
    <w:rsid w:val="00272FD2"/>
    <w:rsid w:val="00275CF5"/>
    <w:rsid w:val="0028301F"/>
    <w:rsid w:val="00285017"/>
    <w:rsid w:val="002948D2"/>
    <w:rsid w:val="002A1802"/>
    <w:rsid w:val="002A2D2E"/>
    <w:rsid w:val="002C00E8"/>
    <w:rsid w:val="002C23EA"/>
    <w:rsid w:val="002C2498"/>
    <w:rsid w:val="002D00ED"/>
    <w:rsid w:val="002D075A"/>
    <w:rsid w:val="002D5A6B"/>
    <w:rsid w:val="002D606B"/>
    <w:rsid w:val="002E3217"/>
    <w:rsid w:val="002E51A6"/>
    <w:rsid w:val="003002DF"/>
    <w:rsid w:val="0030048C"/>
    <w:rsid w:val="00316AB1"/>
    <w:rsid w:val="00320A72"/>
    <w:rsid w:val="0032120E"/>
    <w:rsid w:val="00343749"/>
    <w:rsid w:val="00345B0E"/>
    <w:rsid w:val="0034612B"/>
    <w:rsid w:val="003476D0"/>
    <w:rsid w:val="00354582"/>
    <w:rsid w:val="003621B4"/>
    <w:rsid w:val="003660ED"/>
    <w:rsid w:val="00366437"/>
    <w:rsid w:val="00367772"/>
    <w:rsid w:val="00372709"/>
    <w:rsid w:val="003728C9"/>
    <w:rsid w:val="003745E1"/>
    <w:rsid w:val="00377710"/>
    <w:rsid w:val="00377F61"/>
    <w:rsid w:val="003855D0"/>
    <w:rsid w:val="00393685"/>
    <w:rsid w:val="00393CD6"/>
    <w:rsid w:val="0039662F"/>
    <w:rsid w:val="003A1572"/>
    <w:rsid w:val="003A4B01"/>
    <w:rsid w:val="003A5BF5"/>
    <w:rsid w:val="003B0550"/>
    <w:rsid w:val="003B34C7"/>
    <w:rsid w:val="003B694F"/>
    <w:rsid w:val="003C2A60"/>
    <w:rsid w:val="003C3FCC"/>
    <w:rsid w:val="003D2147"/>
    <w:rsid w:val="003D22B3"/>
    <w:rsid w:val="003D2C4A"/>
    <w:rsid w:val="003D5106"/>
    <w:rsid w:val="003F171C"/>
    <w:rsid w:val="00400E31"/>
    <w:rsid w:val="0041071C"/>
    <w:rsid w:val="00412FC5"/>
    <w:rsid w:val="00413101"/>
    <w:rsid w:val="00413D0C"/>
    <w:rsid w:val="0042145D"/>
    <w:rsid w:val="00422276"/>
    <w:rsid w:val="00423140"/>
    <w:rsid w:val="0042381D"/>
    <w:rsid w:val="004242F1"/>
    <w:rsid w:val="004251B1"/>
    <w:rsid w:val="004324BF"/>
    <w:rsid w:val="00433C92"/>
    <w:rsid w:val="0044204C"/>
    <w:rsid w:val="00442CA3"/>
    <w:rsid w:val="00442E81"/>
    <w:rsid w:val="00445A00"/>
    <w:rsid w:val="00451B0F"/>
    <w:rsid w:val="00462B68"/>
    <w:rsid w:val="004924EB"/>
    <w:rsid w:val="004A1ECD"/>
    <w:rsid w:val="004B1573"/>
    <w:rsid w:val="004B7E15"/>
    <w:rsid w:val="004C0A73"/>
    <w:rsid w:val="004C2EE3"/>
    <w:rsid w:val="004E4353"/>
    <w:rsid w:val="004E4A22"/>
    <w:rsid w:val="004F0CC9"/>
    <w:rsid w:val="004F0CFB"/>
    <w:rsid w:val="004F4700"/>
    <w:rsid w:val="004F750C"/>
    <w:rsid w:val="004F768F"/>
    <w:rsid w:val="00503E0D"/>
    <w:rsid w:val="00504F31"/>
    <w:rsid w:val="00507D8B"/>
    <w:rsid w:val="00511968"/>
    <w:rsid w:val="00520E27"/>
    <w:rsid w:val="00523520"/>
    <w:rsid w:val="00525FE5"/>
    <w:rsid w:val="005328BE"/>
    <w:rsid w:val="00536E73"/>
    <w:rsid w:val="005474D8"/>
    <w:rsid w:val="00552258"/>
    <w:rsid w:val="0055614C"/>
    <w:rsid w:val="00566D06"/>
    <w:rsid w:val="0057149E"/>
    <w:rsid w:val="00572AAF"/>
    <w:rsid w:val="00574415"/>
    <w:rsid w:val="005749EF"/>
    <w:rsid w:val="00577E09"/>
    <w:rsid w:val="00584CC0"/>
    <w:rsid w:val="0059259B"/>
    <w:rsid w:val="0059352D"/>
    <w:rsid w:val="00597E1C"/>
    <w:rsid w:val="005A038D"/>
    <w:rsid w:val="005A1AE6"/>
    <w:rsid w:val="005B0AF7"/>
    <w:rsid w:val="005C26ED"/>
    <w:rsid w:val="005C6B07"/>
    <w:rsid w:val="005D2CC8"/>
    <w:rsid w:val="005D396B"/>
    <w:rsid w:val="005E1383"/>
    <w:rsid w:val="005E14C2"/>
    <w:rsid w:val="00602F81"/>
    <w:rsid w:val="00604C7D"/>
    <w:rsid w:val="00607BA5"/>
    <w:rsid w:val="0061180A"/>
    <w:rsid w:val="00611A64"/>
    <w:rsid w:val="00614083"/>
    <w:rsid w:val="00616C85"/>
    <w:rsid w:val="00625A0F"/>
    <w:rsid w:val="00626EB6"/>
    <w:rsid w:val="00645FDA"/>
    <w:rsid w:val="00647EAA"/>
    <w:rsid w:val="006508B2"/>
    <w:rsid w:val="00651259"/>
    <w:rsid w:val="00655D03"/>
    <w:rsid w:val="00656413"/>
    <w:rsid w:val="00656ABA"/>
    <w:rsid w:val="00665FC9"/>
    <w:rsid w:val="00675234"/>
    <w:rsid w:val="006806B6"/>
    <w:rsid w:val="00683388"/>
    <w:rsid w:val="00683F84"/>
    <w:rsid w:val="00684373"/>
    <w:rsid w:val="0068691A"/>
    <w:rsid w:val="006870D9"/>
    <w:rsid w:val="0069140D"/>
    <w:rsid w:val="00693674"/>
    <w:rsid w:val="00693B8E"/>
    <w:rsid w:val="006A273A"/>
    <w:rsid w:val="006A68DE"/>
    <w:rsid w:val="006A6A81"/>
    <w:rsid w:val="006A790E"/>
    <w:rsid w:val="006B6129"/>
    <w:rsid w:val="006C1B92"/>
    <w:rsid w:val="006C5BB7"/>
    <w:rsid w:val="006C73CB"/>
    <w:rsid w:val="006D348A"/>
    <w:rsid w:val="006D35B0"/>
    <w:rsid w:val="006E5558"/>
    <w:rsid w:val="006F329A"/>
    <w:rsid w:val="006F7393"/>
    <w:rsid w:val="0070224F"/>
    <w:rsid w:val="007115F7"/>
    <w:rsid w:val="00721990"/>
    <w:rsid w:val="00727E19"/>
    <w:rsid w:val="00733A8F"/>
    <w:rsid w:val="0075289A"/>
    <w:rsid w:val="00763E09"/>
    <w:rsid w:val="00785689"/>
    <w:rsid w:val="0079226D"/>
    <w:rsid w:val="0079754B"/>
    <w:rsid w:val="00797B54"/>
    <w:rsid w:val="007A1E6D"/>
    <w:rsid w:val="007B0EB2"/>
    <w:rsid w:val="007D323C"/>
    <w:rsid w:val="007D45B1"/>
    <w:rsid w:val="007D5CC6"/>
    <w:rsid w:val="007E1AFC"/>
    <w:rsid w:val="007F5237"/>
    <w:rsid w:val="00802FA1"/>
    <w:rsid w:val="00805B51"/>
    <w:rsid w:val="00806304"/>
    <w:rsid w:val="00810B6F"/>
    <w:rsid w:val="008219F3"/>
    <w:rsid w:val="00822279"/>
    <w:rsid w:val="00822CE0"/>
    <w:rsid w:val="00841AB1"/>
    <w:rsid w:val="0084298C"/>
    <w:rsid w:val="00844F81"/>
    <w:rsid w:val="008452C9"/>
    <w:rsid w:val="008527FF"/>
    <w:rsid w:val="00854CD2"/>
    <w:rsid w:val="00857951"/>
    <w:rsid w:val="00861BF2"/>
    <w:rsid w:val="00863443"/>
    <w:rsid w:val="0086761C"/>
    <w:rsid w:val="00873534"/>
    <w:rsid w:val="008749BC"/>
    <w:rsid w:val="00881DE5"/>
    <w:rsid w:val="00882EAC"/>
    <w:rsid w:val="00893677"/>
    <w:rsid w:val="00895623"/>
    <w:rsid w:val="008975EC"/>
    <w:rsid w:val="008A0FC2"/>
    <w:rsid w:val="008A56F7"/>
    <w:rsid w:val="008A7535"/>
    <w:rsid w:val="008C1F12"/>
    <w:rsid w:val="008C68F1"/>
    <w:rsid w:val="008D78BF"/>
    <w:rsid w:val="008E0B4C"/>
    <w:rsid w:val="008E44CF"/>
    <w:rsid w:val="008F4ED2"/>
    <w:rsid w:val="008F5F96"/>
    <w:rsid w:val="009029BF"/>
    <w:rsid w:val="0091600B"/>
    <w:rsid w:val="009173B5"/>
    <w:rsid w:val="00921803"/>
    <w:rsid w:val="00926503"/>
    <w:rsid w:val="00932176"/>
    <w:rsid w:val="0093453E"/>
    <w:rsid w:val="00936CFC"/>
    <w:rsid w:val="009374AE"/>
    <w:rsid w:val="00945D12"/>
    <w:rsid w:val="009468E3"/>
    <w:rsid w:val="009471F8"/>
    <w:rsid w:val="00953A11"/>
    <w:rsid w:val="00960FD4"/>
    <w:rsid w:val="00962709"/>
    <w:rsid w:val="009726D8"/>
    <w:rsid w:val="00982A41"/>
    <w:rsid w:val="0098565F"/>
    <w:rsid w:val="00986053"/>
    <w:rsid w:val="009935C3"/>
    <w:rsid w:val="009A2C77"/>
    <w:rsid w:val="009B4D80"/>
    <w:rsid w:val="009B67F8"/>
    <w:rsid w:val="009B775D"/>
    <w:rsid w:val="009C23E9"/>
    <w:rsid w:val="009C49DE"/>
    <w:rsid w:val="009D7308"/>
    <w:rsid w:val="009E1BCA"/>
    <w:rsid w:val="009E1D54"/>
    <w:rsid w:val="009E5FBC"/>
    <w:rsid w:val="009F76DB"/>
    <w:rsid w:val="00A006FE"/>
    <w:rsid w:val="00A07069"/>
    <w:rsid w:val="00A12CAC"/>
    <w:rsid w:val="00A20A2F"/>
    <w:rsid w:val="00A223C8"/>
    <w:rsid w:val="00A248BB"/>
    <w:rsid w:val="00A25020"/>
    <w:rsid w:val="00A318BA"/>
    <w:rsid w:val="00A32C3B"/>
    <w:rsid w:val="00A352C2"/>
    <w:rsid w:val="00A439EF"/>
    <w:rsid w:val="00A43BE0"/>
    <w:rsid w:val="00A45F4F"/>
    <w:rsid w:val="00A600A9"/>
    <w:rsid w:val="00A6025C"/>
    <w:rsid w:val="00A60D1D"/>
    <w:rsid w:val="00A66594"/>
    <w:rsid w:val="00A81184"/>
    <w:rsid w:val="00A85AEC"/>
    <w:rsid w:val="00AA0D5E"/>
    <w:rsid w:val="00AA55B7"/>
    <w:rsid w:val="00AA5B9E"/>
    <w:rsid w:val="00AB2407"/>
    <w:rsid w:val="00AB53DF"/>
    <w:rsid w:val="00AB6096"/>
    <w:rsid w:val="00AC0D6C"/>
    <w:rsid w:val="00AD0E1C"/>
    <w:rsid w:val="00AD47AD"/>
    <w:rsid w:val="00AE74D0"/>
    <w:rsid w:val="00AF03D0"/>
    <w:rsid w:val="00AF3D34"/>
    <w:rsid w:val="00B05260"/>
    <w:rsid w:val="00B07E5C"/>
    <w:rsid w:val="00B454B0"/>
    <w:rsid w:val="00B57246"/>
    <w:rsid w:val="00B67670"/>
    <w:rsid w:val="00B70149"/>
    <w:rsid w:val="00B711F6"/>
    <w:rsid w:val="00B73465"/>
    <w:rsid w:val="00B7617D"/>
    <w:rsid w:val="00B811F7"/>
    <w:rsid w:val="00B97DEF"/>
    <w:rsid w:val="00BA2F63"/>
    <w:rsid w:val="00BA5263"/>
    <w:rsid w:val="00BA5DC6"/>
    <w:rsid w:val="00BA6196"/>
    <w:rsid w:val="00BA70D2"/>
    <w:rsid w:val="00BB43C6"/>
    <w:rsid w:val="00BB602D"/>
    <w:rsid w:val="00BC6D8C"/>
    <w:rsid w:val="00BD17DD"/>
    <w:rsid w:val="00BD17F1"/>
    <w:rsid w:val="00BD5A96"/>
    <w:rsid w:val="00BE2F92"/>
    <w:rsid w:val="00BF3F02"/>
    <w:rsid w:val="00C00818"/>
    <w:rsid w:val="00C0137F"/>
    <w:rsid w:val="00C105C9"/>
    <w:rsid w:val="00C1341C"/>
    <w:rsid w:val="00C22029"/>
    <w:rsid w:val="00C30AAC"/>
    <w:rsid w:val="00C31594"/>
    <w:rsid w:val="00C33625"/>
    <w:rsid w:val="00C34006"/>
    <w:rsid w:val="00C36B4C"/>
    <w:rsid w:val="00C426B1"/>
    <w:rsid w:val="00C521C6"/>
    <w:rsid w:val="00C5618B"/>
    <w:rsid w:val="00C64CE4"/>
    <w:rsid w:val="00C65342"/>
    <w:rsid w:val="00C66160"/>
    <w:rsid w:val="00C67335"/>
    <w:rsid w:val="00C721AC"/>
    <w:rsid w:val="00C75C84"/>
    <w:rsid w:val="00C85F13"/>
    <w:rsid w:val="00C869A1"/>
    <w:rsid w:val="00C90D6A"/>
    <w:rsid w:val="00C91DD7"/>
    <w:rsid w:val="00C94B6A"/>
    <w:rsid w:val="00CA247E"/>
    <w:rsid w:val="00CA2564"/>
    <w:rsid w:val="00CA3B34"/>
    <w:rsid w:val="00CA5F0A"/>
    <w:rsid w:val="00CA6D21"/>
    <w:rsid w:val="00CC0873"/>
    <w:rsid w:val="00CC72B6"/>
    <w:rsid w:val="00CD1883"/>
    <w:rsid w:val="00CE14E3"/>
    <w:rsid w:val="00CE77D4"/>
    <w:rsid w:val="00CF05F5"/>
    <w:rsid w:val="00CF265F"/>
    <w:rsid w:val="00CF4D49"/>
    <w:rsid w:val="00D01D76"/>
    <w:rsid w:val="00D0218D"/>
    <w:rsid w:val="00D06FF7"/>
    <w:rsid w:val="00D0713D"/>
    <w:rsid w:val="00D1453D"/>
    <w:rsid w:val="00D20F4C"/>
    <w:rsid w:val="00D25FB5"/>
    <w:rsid w:val="00D330DC"/>
    <w:rsid w:val="00D353B2"/>
    <w:rsid w:val="00D35FA9"/>
    <w:rsid w:val="00D41647"/>
    <w:rsid w:val="00D44223"/>
    <w:rsid w:val="00D55FC6"/>
    <w:rsid w:val="00D561C0"/>
    <w:rsid w:val="00D64313"/>
    <w:rsid w:val="00D73F8B"/>
    <w:rsid w:val="00D75CE8"/>
    <w:rsid w:val="00D7671F"/>
    <w:rsid w:val="00D7691B"/>
    <w:rsid w:val="00D84871"/>
    <w:rsid w:val="00D87399"/>
    <w:rsid w:val="00DA2529"/>
    <w:rsid w:val="00DA5540"/>
    <w:rsid w:val="00DA6CD4"/>
    <w:rsid w:val="00DB0FBD"/>
    <w:rsid w:val="00DB130A"/>
    <w:rsid w:val="00DB2EBB"/>
    <w:rsid w:val="00DB58E4"/>
    <w:rsid w:val="00DC0A22"/>
    <w:rsid w:val="00DC10A1"/>
    <w:rsid w:val="00DC655F"/>
    <w:rsid w:val="00DD0647"/>
    <w:rsid w:val="00DD075D"/>
    <w:rsid w:val="00DD0B59"/>
    <w:rsid w:val="00DD3A6F"/>
    <w:rsid w:val="00DD58C4"/>
    <w:rsid w:val="00DD7EBD"/>
    <w:rsid w:val="00DE1FD8"/>
    <w:rsid w:val="00DE3714"/>
    <w:rsid w:val="00DE78CB"/>
    <w:rsid w:val="00DF2A1D"/>
    <w:rsid w:val="00DF43A7"/>
    <w:rsid w:val="00DF61B3"/>
    <w:rsid w:val="00DF62B6"/>
    <w:rsid w:val="00DF7606"/>
    <w:rsid w:val="00E07225"/>
    <w:rsid w:val="00E10F7D"/>
    <w:rsid w:val="00E17304"/>
    <w:rsid w:val="00E25C1B"/>
    <w:rsid w:val="00E4446A"/>
    <w:rsid w:val="00E5409F"/>
    <w:rsid w:val="00E7703F"/>
    <w:rsid w:val="00E8394C"/>
    <w:rsid w:val="00E97BD1"/>
    <w:rsid w:val="00E97EBF"/>
    <w:rsid w:val="00EA4570"/>
    <w:rsid w:val="00EC2A59"/>
    <w:rsid w:val="00EC5C7A"/>
    <w:rsid w:val="00ED2421"/>
    <w:rsid w:val="00EE6488"/>
    <w:rsid w:val="00EE7012"/>
    <w:rsid w:val="00EF34FE"/>
    <w:rsid w:val="00EF43EE"/>
    <w:rsid w:val="00EF4F21"/>
    <w:rsid w:val="00F01F52"/>
    <w:rsid w:val="00F021FA"/>
    <w:rsid w:val="00F10670"/>
    <w:rsid w:val="00F119C2"/>
    <w:rsid w:val="00F12ED4"/>
    <w:rsid w:val="00F24461"/>
    <w:rsid w:val="00F33711"/>
    <w:rsid w:val="00F34961"/>
    <w:rsid w:val="00F37512"/>
    <w:rsid w:val="00F41578"/>
    <w:rsid w:val="00F47339"/>
    <w:rsid w:val="00F60A68"/>
    <w:rsid w:val="00F62E97"/>
    <w:rsid w:val="00F64209"/>
    <w:rsid w:val="00F73662"/>
    <w:rsid w:val="00F93BF5"/>
    <w:rsid w:val="00FA01EC"/>
    <w:rsid w:val="00FA0781"/>
    <w:rsid w:val="00FA39E4"/>
    <w:rsid w:val="00FA3CF8"/>
    <w:rsid w:val="00FB0166"/>
    <w:rsid w:val="00FB3F3D"/>
    <w:rsid w:val="00FB5950"/>
    <w:rsid w:val="00FC765E"/>
    <w:rsid w:val="00FD1279"/>
    <w:rsid w:val="00FE3E05"/>
    <w:rsid w:val="00FE7204"/>
    <w:rsid w:val="00FF012F"/>
    <w:rsid w:val="00FF63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708869"/>
  <w15:chartTrackingRefBased/>
  <w15:docId w15:val="{8EB22D01-23ED-42FD-AD08-8C2B9040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2131CA"/>
  </w:style>
  <w:style w:type="character" w:customStyle="1" w:styleId="ParaNumCharChar">
    <w:name w:val="ParaNum Char Char"/>
    <w:link w:val="ParaNum"/>
    <w:locked/>
    <w:rsid w:val="002131CA"/>
    <w:rPr>
      <w:snapToGrid w:val="0"/>
      <w:kern w:val="28"/>
      <w:sz w:val="22"/>
    </w:rPr>
  </w:style>
  <w:style w:type="character" w:styleId="CommentReference">
    <w:name w:val="annotation reference"/>
    <w:basedOn w:val="DefaultParagraphFont"/>
    <w:rsid w:val="007E1AFC"/>
    <w:rPr>
      <w:sz w:val="16"/>
      <w:szCs w:val="16"/>
    </w:rPr>
  </w:style>
  <w:style w:type="paragraph" w:styleId="CommentText">
    <w:name w:val="annotation text"/>
    <w:basedOn w:val="Normal"/>
    <w:link w:val="CommentTextChar"/>
    <w:rsid w:val="007E1AFC"/>
    <w:rPr>
      <w:sz w:val="20"/>
    </w:rPr>
  </w:style>
  <w:style w:type="character" w:customStyle="1" w:styleId="CommentTextChar">
    <w:name w:val="Comment Text Char"/>
    <w:basedOn w:val="DefaultParagraphFont"/>
    <w:link w:val="CommentText"/>
    <w:rsid w:val="007E1AFC"/>
    <w:rPr>
      <w:snapToGrid w:val="0"/>
      <w:kern w:val="28"/>
    </w:rPr>
  </w:style>
  <w:style w:type="paragraph" w:styleId="CommentSubject">
    <w:name w:val="annotation subject"/>
    <w:basedOn w:val="CommentText"/>
    <w:next w:val="CommentText"/>
    <w:link w:val="CommentSubjectChar"/>
    <w:rsid w:val="007E1AFC"/>
    <w:rPr>
      <w:b/>
      <w:bCs/>
    </w:rPr>
  </w:style>
  <w:style w:type="character" w:customStyle="1" w:styleId="CommentSubjectChar">
    <w:name w:val="Comment Subject Char"/>
    <w:basedOn w:val="CommentTextChar"/>
    <w:link w:val="CommentSubject"/>
    <w:rsid w:val="007E1AFC"/>
    <w:rPr>
      <w:b/>
      <w:bCs/>
      <w:snapToGrid w:val="0"/>
      <w:kern w:val="28"/>
    </w:rPr>
  </w:style>
  <w:style w:type="paragraph" w:styleId="BalloonText">
    <w:name w:val="Balloon Text"/>
    <w:basedOn w:val="Normal"/>
    <w:link w:val="BalloonTextChar"/>
    <w:rsid w:val="007E1AFC"/>
    <w:rPr>
      <w:rFonts w:ascii="Segoe UI" w:hAnsi="Segoe UI" w:cs="Segoe UI"/>
      <w:sz w:val="18"/>
      <w:szCs w:val="18"/>
    </w:rPr>
  </w:style>
  <w:style w:type="character" w:customStyle="1" w:styleId="BalloonTextChar">
    <w:name w:val="Balloon Text Char"/>
    <w:basedOn w:val="DefaultParagraphFont"/>
    <w:link w:val="BalloonText"/>
    <w:rsid w:val="007E1AFC"/>
    <w:rPr>
      <w:rFonts w:ascii="Segoe UI" w:hAnsi="Segoe UI" w:cs="Segoe UI"/>
      <w:snapToGrid w:val="0"/>
      <w:kern w:val="28"/>
      <w:sz w:val="18"/>
      <w:szCs w:val="18"/>
    </w:rPr>
  </w:style>
  <w:style w:type="paragraph" w:styleId="BodyTextIndent2">
    <w:name w:val="Body Text Indent 2"/>
    <w:basedOn w:val="Normal"/>
    <w:link w:val="BodyTextIndent2Char"/>
    <w:rsid w:val="00504F31"/>
    <w:pPr>
      <w:widowControl/>
      <w:spacing w:after="120" w:line="480" w:lineRule="auto"/>
      <w:ind w:left="360"/>
    </w:pPr>
    <w:rPr>
      <w:snapToGrid/>
      <w:kern w:val="0"/>
    </w:rPr>
  </w:style>
  <w:style w:type="character" w:customStyle="1" w:styleId="BodyTextIndent2Char">
    <w:name w:val="Body Text Indent 2 Char"/>
    <w:basedOn w:val="DefaultParagraphFont"/>
    <w:link w:val="BodyTextIndent2"/>
    <w:rsid w:val="00504F31"/>
    <w:rPr>
      <w:sz w:val="22"/>
    </w:rPr>
  </w:style>
  <w:style w:type="character" w:customStyle="1" w:styleId="UnresolvedMention">
    <w:name w:val="Unresolved Mention"/>
    <w:basedOn w:val="DefaultParagraphFont"/>
    <w:uiPriority w:val="99"/>
    <w:semiHidden/>
    <w:unhideWhenUsed/>
    <w:rsid w:val="001A0972"/>
    <w:rPr>
      <w:color w:val="605E5C"/>
      <w:shd w:val="clear" w:color="auto" w:fill="E1DFDD"/>
    </w:rPr>
  </w:style>
  <w:style w:type="character" w:customStyle="1" w:styleId="FKernat14Char">
    <w:name w:val="F... + Kern at 14... Char"/>
    <w:aliases w:val="Footnote Text Char2 Char,Footnote Text Char3 Char1 Char"/>
    <w:rsid w:val="009B4D80"/>
  </w:style>
  <w:style w:type="character" w:styleId="IntenseEmphasis">
    <w:name w:val="Intense Emphasis"/>
    <w:basedOn w:val="DefaultParagraphFont"/>
    <w:uiPriority w:val="21"/>
    <w:qFormat/>
    <w:rsid w:val="00C94B6A"/>
    <w:rPr>
      <w:i/>
      <w:iCs/>
      <w:color w:val="4472C4" w:themeColor="accent1"/>
    </w:rPr>
  </w:style>
  <w:style w:type="character" w:customStyle="1" w:styleId="cohovertext">
    <w:name w:val="co_hovertext"/>
    <w:basedOn w:val="DefaultParagraphFont"/>
    <w:rsid w:val="00F24461"/>
  </w:style>
  <w:style w:type="character" w:styleId="FollowedHyperlink">
    <w:name w:val="FollowedHyperlink"/>
    <w:basedOn w:val="DefaultParagraphFont"/>
    <w:rsid w:val="00BD1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fcc.gov/etfs/etfsHome.action" TargetMode="External" /><Relationship Id="rId6" Type="http://schemas.openxmlformats.org/officeDocument/2006/relationships/hyperlink" Target="http://apps.fcc.gov/ecfs" TargetMode="External" /><Relationship Id="rId7" Type="http://schemas.openxmlformats.org/officeDocument/2006/relationships/hyperlink" Target="mailto:fcc504@fcc.gov" TargetMode="External" /><Relationship Id="rId8" Type="http://schemas.openxmlformats.org/officeDocument/2006/relationships/hyperlink" Target="mailto:Robin.Cohn@fcc.gov" TargetMode="External" /><Relationship Id="rId9" Type="http://schemas.openxmlformats.org/officeDocument/2006/relationships/hyperlink" Target="mailto:Richard.Kwiatkowski@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