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2F9E0E0C">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1F315D">
              <w:rPr>
                <w:spacing w:val="-2"/>
              </w:rPr>
              <w:t>Medford</w:t>
            </w:r>
            <w:r w:rsidRPr="00E208EC" w:rsidR="00E208EC">
              <w:rPr>
                <w:spacing w:val="-2"/>
              </w:rPr>
              <w:t xml:space="preserve">, </w:t>
            </w:r>
            <w:r w:rsidR="001F315D">
              <w:rPr>
                <w:spacing w:val="-2"/>
              </w:rPr>
              <w:t>Oregon</w:t>
            </w:r>
            <w:r w:rsidRPr="00E208EC" w:rsidR="00E208EC">
              <w:rPr>
                <w:spacing w:val="-2"/>
              </w:rPr>
              <w:t>)</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6C727522">
            <w:pPr>
              <w:pStyle w:val="TOAHeading"/>
              <w:tabs>
                <w:tab w:val="center" w:pos="4680"/>
              </w:tabs>
              <w:rPr>
                <w:spacing w:val="-2"/>
              </w:rPr>
            </w:pPr>
            <w:r w:rsidRPr="009F2562">
              <w:rPr>
                <w:spacing w:val="-2"/>
              </w:rPr>
              <w:t>MB Docket No. 21-</w:t>
            </w:r>
            <w:r w:rsidR="004C2A2E">
              <w:rPr>
                <w:spacing w:val="-2"/>
              </w:rPr>
              <w:t>155</w:t>
            </w:r>
          </w:p>
          <w:p w:rsidR="004C2EE3" w:rsidP="009F2562" w14:paraId="3DBE07C9" w14:textId="683101AB">
            <w:pPr>
              <w:tabs>
                <w:tab w:val="center" w:pos="4680"/>
              </w:tabs>
              <w:suppressAutoHyphens/>
              <w:rPr>
                <w:spacing w:val="-2"/>
              </w:rPr>
            </w:pPr>
            <w:r w:rsidRPr="009F2562">
              <w:rPr>
                <w:spacing w:val="-2"/>
              </w:rPr>
              <w:t>RM</w:t>
            </w:r>
            <w:r w:rsidR="004C2A2E">
              <w:rPr>
                <w:spacing w:val="-2"/>
              </w:rPr>
              <w:t>-11900</w:t>
            </w:r>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34C5FF59">
      <w:pPr>
        <w:tabs>
          <w:tab w:val="left" w:pos="720"/>
          <w:tab w:val="right" w:pos="9360"/>
        </w:tabs>
        <w:suppressAutoHyphens/>
        <w:spacing w:line="227" w:lineRule="auto"/>
        <w:rPr>
          <w:b/>
          <w:spacing w:val="-2"/>
        </w:rPr>
      </w:pPr>
      <w:r>
        <w:rPr>
          <w:b/>
          <w:spacing w:val="-2"/>
        </w:rPr>
        <w:t xml:space="preserve">Adopted:  </w:t>
      </w:r>
      <w:r w:rsidR="00023C1B">
        <w:rPr>
          <w:b/>
          <w:spacing w:val="-2"/>
        </w:rPr>
        <w:t xml:space="preserve">April </w:t>
      </w:r>
      <w:r w:rsidR="004C2A2E">
        <w:rPr>
          <w:b/>
          <w:spacing w:val="-2"/>
        </w:rPr>
        <w:t>16</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23C1B">
        <w:rPr>
          <w:b/>
          <w:spacing w:val="-2"/>
        </w:rPr>
        <w:t xml:space="preserve">April </w:t>
      </w:r>
      <w:r w:rsidR="004C2A2E">
        <w:rPr>
          <w:b/>
          <w:spacing w:val="-2"/>
        </w:rPr>
        <w:t>16,</w:t>
      </w:r>
      <w:r w:rsidR="009F2562">
        <w:rPr>
          <w:b/>
          <w:spacing w:val="-2"/>
        </w:rPr>
        <w:t xml:space="preserve">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9F2562" w14:paraId="7CC86CD0" w14:textId="0C8869C4">
      <w:pPr>
        <w:tabs>
          <w:tab w:val="left" w:pos="720"/>
          <w:tab w:val="left" w:pos="5760"/>
        </w:tabs>
        <w:suppressAutoHyphens/>
        <w:jc w:val="both"/>
        <w:rPr>
          <w:b/>
          <w:spacing w:val="-3"/>
          <w:kern w:val="0"/>
          <w:szCs w:val="22"/>
        </w:rPr>
      </w:pPr>
      <w:r w:rsidRPr="001E1C45">
        <w:rPr>
          <w:b/>
          <w:spacing w:val="-3"/>
          <w:kern w:val="0"/>
          <w:szCs w:val="22"/>
        </w:rPr>
        <w:t>Reply Comment Date:  [45 days after date of publication in the Federal Register]</w:t>
      </w:r>
    </w:p>
    <w:p w:rsidR="00822CE0" w14:paraId="442D5FEE" w14:textId="77777777"/>
    <w:p w:rsidR="00412FC5" w:rsidP="009F2562"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9F2562" w14:paraId="7564BA14" w14:textId="77777777">
      <w:pPr>
        <w:rPr>
          <w:spacing w:val="-2"/>
        </w:rPr>
      </w:pPr>
    </w:p>
    <w:p w:rsidR="003B6FA0" w:rsidP="0048464E" w14:paraId="40E0F3EC" w14:textId="1BE2D425">
      <w:pPr>
        <w:pStyle w:val="Heading1"/>
        <w:keepNext w:val="0"/>
        <w:suppressAutoHyphens w:val="0"/>
      </w:pPr>
      <w:r>
        <w:t>Introduction</w:t>
      </w:r>
    </w:p>
    <w:p w:rsidR="009F2562" w:rsidRPr="009F2562" w:rsidP="0048464E" w14:paraId="58356F15" w14:textId="177283E5">
      <w:pPr>
        <w:pStyle w:val="ParaNum"/>
      </w:pPr>
      <w:r w:rsidRPr="00E208EC">
        <w:t xml:space="preserve">The </w:t>
      </w:r>
      <w:r w:rsidR="00787DB6">
        <w:t>Video Division</w:t>
      </w:r>
      <w:r w:rsidR="00F116E3">
        <w:t>, Media Bureau</w:t>
      </w:r>
      <w:r w:rsidR="009B4AD1">
        <w:t xml:space="preserve"> (Bureau)</w:t>
      </w:r>
      <w:r w:rsidR="00097111">
        <w:t>,</w:t>
      </w:r>
      <w:r w:rsidRPr="00E208EC">
        <w:t xml:space="preserve"> has before it a petition for rulemaking filed November 27, 2020 (Petition) by </w:t>
      </w:r>
      <w:r w:rsidR="001F315D">
        <w:t>KTVL Licensee</w:t>
      </w:r>
      <w:r w:rsidR="00AF0D12">
        <w:t>, LLC</w:t>
      </w:r>
      <w:r w:rsidRPr="00E208EC">
        <w:t xml:space="preserve"> (</w:t>
      </w:r>
      <w:r w:rsidR="00507BFC">
        <w:t>Petitioner</w:t>
      </w:r>
      <w:r w:rsidRPr="00E208EC">
        <w:t xml:space="preserve">), the licensee of </w:t>
      </w:r>
      <w:r w:rsidR="001F315D">
        <w:t>KTVL</w:t>
      </w:r>
      <w:r w:rsidR="00386604">
        <w:t xml:space="preserve"> (</w:t>
      </w:r>
      <w:r w:rsidR="00063529">
        <w:t>CBS</w:t>
      </w:r>
      <w:r w:rsidR="00386604">
        <w:t>)</w:t>
      </w:r>
      <w:r w:rsidRPr="00E208EC">
        <w:t xml:space="preserve">, channel </w:t>
      </w:r>
      <w:r w:rsidR="001F315D">
        <w:t>10</w:t>
      </w:r>
      <w:r w:rsidRPr="00E208EC" w:rsidR="00EC216A">
        <w:t xml:space="preserve"> </w:t>
      </w:r>
      <w:r w:rsidRPr="00E208EC">
        <w:t>(</w:t>
      </w:r>
      <w:r w:rsidR="001F315D">
        <w:t>KTVL</w:t>
      </w:r>
      <w:r w:rsidR="00507BFC">
        <w:t xml:space="preserve"> or Station</w:t>
      </w:r>
      <w:r w:rsidRPr="00E208EC">
        <w:t xml:space="preserve">), </w:t>
      </w:r>
      <w:r w:rsidR="001F315D">
        <w:t>Medford</w:t>
      </w:r>
      <w:r w:rsidRPr="00E208EC">
        <w:t xml:space="preserve">, </w:t>
      </w:r>
      <w:r w:rsidR="001F315D">
        <w:t>Oregon</w:t>
      </w:r>
      <w:r w:rsidRPr="00E208EC">
        <w:t>.</w:t>
      </w:r>
      <w:r>
        <w:rPr>
          <w:rStyle w:val="FootnoteReference"/>
        </w:rPr>
        <w:footnoteReference w:id="3"/>
      </w:r>
      <w:r w:rsidRPr="00E208EC">
        <w:t xml:space="preserve">  The </w:t>
      </w:r>
      <w:r w:rsidR="00507BFC">
        <w:t>Petitioner</w:t>
      </w:r>
      <w:r w:rsidRPr="00E208EC">
        <w:t xml:space="preserve"> requests the substitution of channel </w:t>
      </w:r>
      <w:r w:rsidR="00862235">
        <w:t>1</w:t>
      </w:r>
      <w:r w:rsidR="001B4637">
        <w:t>6</w:t>
      </w:r>
      <w:r w:rsidRPr="00E208EC">
        <w:t xml:space="preserve"> for channel </w:t>
      </w:r>
      <w:r w:rsidR="00862235">
        <w:t>1</w:t>
      </w:r>
      <w:r w:rsidR="001B4637">
        <w:t>0</w:t>
      </w:r>
      <w:r w:rsidRPr="00E208EC">
        <w:t xml:space="preserve"> at </w:t>
      </w:r>
      <w:r w:rsidR="001F315D">
        <w:t>Medford</w:t>
      </w:r>
      <w:r w:rsidR="00341BB1">
        <w:t>,</w:t>
      </w:r>
      <w:r w:rsidRPr="00E208EC">
        <w:t xml:space="preserve"> </w:t>
      </w:r>
      <w:r w:rsidR="001F315D">
        <w:t>Oregon</w:t>
      </w:r>
      <w:r w:rsidR="00341BB1">
        <w:t xml:space="preserve"> </w:t>
      </w:r>
      <w:r w:rsidRPr="00E208EC">
        <w:t>in the DTV Table of Allotments.</w:t>
      </w:r>
      <w:r>
        <w:rPr>
          <w:rStyle w:val="FootnoteReference"/>
        </w:rPr>
        <w:footnoteReference w:id="4"/>
      </w:r>
      <w:r w:rsidRPr="009F2562">
        <w:t xml:space="preserve"> </w:t>
      </w:r>
    </w:p>
    <w:p w:rsidR="006F1759" w:rsidRPr="006F1759" w:rsidP="0048464E" w14:paraId="71EF0B57" w14:textId="54F305B1">
      <w:pPr>
        <w:pStyle w:val="Heading1"/>
        <w:keepNext w:val="0"/>
        <w:suppressAutoHyphens w:val="0"/>
      </w:pPr>
      <w:r>
        <w:t>Background</w:t>
      </w:r>
    </w:p>
    <w:p w:rsidR="00023C1B" w:rsidP="0048464E" w14:paraId="2DBECD7A" w14:textId="49FDF400">
      <w:pPr>
        <w:pStyle w:val="ParaNum"/>
      </w:pPr>
      <w:r w:rsidRPr="00E208EC">
        <w:t xml:space="preserve">In support of its channel substitution request, the </w:t>
      </w:r>
      <w:r w:rsidR="00507BFC">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the “</w:t>
      </w:r>
      <w:r w:rsidRPr="00E208EC" w:rsidR="00327A95">
        <w:t>reception of VHF signals require larger antennas</w:t>
      </w:r>
      <w:r w:rsidR="00327A95">
        <w:t xml:space="preserve"> . . . relative </w:t>
      </w:r>
      <w:r w:rsidRPr="00E208EC" w:rsidR="00327A95">
        <w:t>to UHF channels”</w:t>
      </w:r>
      <w:r>
        <w:rPr>
          <w:vertAlign w:val="superscript"/>
        </w:rPr>
        <w:footnoteReference w:id="5"/>
      </w:r>
      <w:r w:rsidRPr="00E208EC">
        <w:t xml:space="preserve"> </w:t>
      </w:r>
      <w:r w:rsidR="003D38D6">
        <w:t xml:space="preserve">and that </w:t>
      </w:r>
      <w:r w:rsidR="000A6DCC">
        <w:t>studies suggest a “large</w:t>
      </w:r>
      <w:r w:rsidR="00A76268">
        <w:t xml:space="preserve"> variability in in</w:t>
      </w:r>
      <w:r w:rsidR="00F26A1C">
        <w:t>door antennas . . with most antennas rec</w:t>
      </w:r>
      <w:r w:rsidR="00417A8A">
        <w:t>eiving fairly well at UHF and the substantial majority not so well to very poor at high-VHF</w:t>
      </w:r>
      <w:r w:rsidR="00A250B3">
        <w:t>.”</w:t>
      </w:r>
      <w:r>
        <w:rPr>
          <w:rStyle w:val="FootnoteReference"/>
        </w:rPr>
        <w:footnoteReference w:id="6"/>
      </w:r>
      <w:r w:rsidRPr="00E208EC">
        <w:t xml:space="preserve"> </w:t>
      </w:r>
      <w:r w:rsidRPr="00E208EC" w:rsidR="003D7231">
        <w:t xml:space="preserve">According to the </w:t>
      </w:r>
      <w:r w:rsidR="001043C7">
        <w:t>Petition</w:t>
      </w:r>
      <w:r w:rsidR="001E67AD">
        <w:t>er</w:t>
      </w:r>
      <w:r w:rsidRPr="00E208EC" w:rsidR="003D7231">
        <w:t>, “</w:t>
      </w:r>
      <w:r w:rsidR="003D7231">
        <w:t>KTVL</w:t>
      </w:r>
      <w:r w:rsidRPr="00E208EC" w:rsidR="003D7231">
        <w:t xml:space="preserve"> has received numerous complaints from viewers unable to receive the Station’s over-the-air signal, despite being able to receive signals from other </w:t>
      </w:r>
      <w:r w:rsidR="00522E39">
        <w:t xml:space="preserve">local </w:t>
      </w:r>
      <w:r w:rsidRPr="00E208EC" w:rsidR="003D7231">
        <w:t>stations,”</w:t>
      </w:r>
      <w:r>
        <w:rPr>
          <w:vertAlign w:val="superscript"/>
        </w:rPr>
        <w:footnoteReference w:id="7"/>
      </w:r>
      <w:r w:rsidR="00B86A87">
        <w:t xml:space="preserve"> </w:t>
      </w:r>
      <w:r w:rsidRPr="00E208EC" w:rsidR="00B86A87">
        <w:t xml:space="preserve">that its channel substitution proposal “will result in more effective building penetration for indoor antenna reception </w:t>
      </w:r>
      <w:r w:rsidR="00097111">
        <w:t>…</w:t>
      </w:r>
      <w:r w:rsidRPr="00E208EC" w:rsidR="00B86A87">
        <w:t>.”</w:t>
      </w:r>
      <w:r>
        <w:rPr>
          <w:vertAlign w:val="superscript"/>
        </w:rPr>
        <w:footnoteReference w:id="8"/>
      </w:r>
      <w:r w:rsidRPr="00E208EC">
        <w:t xml:space="preserve"> </w:t>
      </w:r>
      <w:r w:rsidR="001F2E5A">
        <w:t xml:space="preserve"> </w:t>
      </w:r>
    </w:p>
    <w:p w:rsidR="000D78AE" w:rsidP="0048464E" w14:paraId="59F100F2" w14:textId="4694456D">
      <w:pPr>
        <w:pStyle w:val="ParaNum"/>
      </w:pPr>
      <w:r>
        <w:t>In addition,</w:t>
      </w:r>
      <w:r w:rsidR="00C64F0B">
        <w:t xml:space="preserve"> the Petitioner</w:t>
      </w:r>
      <w:r>
        <w:t xml:space="preserve"> states while the proposed channel 16 noise limited contour does not completely encompass the channel 10 noise limited contour, KTVL is a CBS affiliate and there are</w:t>
      </w:r>
      <w:r w:rsidR="000B04C6">
        <w:t xml:space="preserve"> </w:t>
      </w:r>
      <w:r w:rsidR="0051768F">
        <w:t>three</w:t>
      </w:r>
      <w:r w:rsidR="00CB7341">
        <w:t xml:space="preserve"> </w:t>
      </w:r>
      <w:r w:rsidR="000B04C6">
        <w:t>other CBS affiliate</w:t>
      </w:r>
      <w:r w:rsidR="00CB7341">
        <w:t>d</w:t>
      </w:r>
      <w:r w:rsidR="000B04C6">
        <w:t xml:space="preserve"> stations</w:t>
      </w:r>
      <w:r w:rsidR="00CB7341">
        <w:t xml:space="preserve"> that serve all </w:t>
      </w:r>
      <w:r w:rsidR="00D15D4B">
        <w:t>b</w:t>
      </w:r>
      <w:r w:rsidR="00CB7341">
        <w:t>ut 9,355 persons in the noise limited contour loss area</w:t>
      </w:r>
      <w:r w:rsidR="00FB4AB0">
        <w:t>.</w:t>
      </w:r>
      <w:r>
        <w:rPr>
          <w:rStyle w:val="FootnoteReference"/>
        </w:rPr>
        <w:footnoteReference w:id="9"/>
      </w:r>
      <w:r w:rsidR="00431425">
        <w:t xml:space="preserve"> </w:t>
      </w:r>
      <w:r w:rsidR="00C8216B">
        <w:t xml:space="preserve"> </w:t>
      </w:r>
      <w:r w:rsidR="00CB7341">
        <w:t xml:space="preserve">The </w:t>
      </w:r>
      <w:r w:rsidR="00101542">
        <w:t>Petitioner</w:t>
      </w:r>
      <w:r w:rsidR="00CB7341">
        <w:t xml:space="preserve"> also submitted an analysis,</w:t>
      </w:r>
      <w:r w:rsidR="00F94623">
        <w:t xml:space="preserve"> using the Commission’s </w:t>
      </w:r>
      <w:r w:rsidRPr="004F7DFF" w:rsidR="00F94623">
        <w:rPr>
          <w:i/>
          <w:iCs/>
        </w:rPr>
        <w:t>TVStudy</w:t>
      </w:r>
      <w:r w:rsidR="00101542">
        <w:t xml:space="preserve"> </w:t>
      </w:r>
      <w:r w:rsidR="00F94623">
        <w:t>software</w:t>
      </w:r>
      <w:r w:rsidR="00CB7341">
        <w:t xml:space="preserve"> analysis program, demonstrating that after taking into account service provided by other CBS stations, all of the population located with KTVL’s channel 10 noise limited contour will continue to receive CBS service, resulting in no loss of network service</w:t>
      </w:r>
      <w:r w:rsidR="00AF6FA5">
        <w:t>.</w:t>
      </w:r>
      <w:r>
        <w:rPr>
          <w:rStyle w:val="FootnoteReference"/>
        </w:rPr>
        <w:footnoteReference w:id="10"/>
      </w:r>
    </w:p>
    <w:p w:rsidR="006F1759" w:rsidP="0048464E" w14:paraId="2CF71786" w14:textId="689FAB00">
      <w:pPr>
        <w:pStyle w:val="Heading1"/>
        <w:keepNext w:val="0"/>
        <w:suppressAutoHyphens w:val="0"/>
      </w:pPr>
      <w:r w:rsidRPr="009F2562">
        <w:t>Discussion</w:t>
      </w:r>
      <w:r>
        <w:t xml:space="preserve">  </w:t>
      </w:r>
    </w:p>
    <w:p w:rsidR="00E208EC" w:rsidRPr="00E208EC" w:rsidP="0048464E" w14:paraId="6E80C642" w14:textId="3E2A4D5E">
      <w:pPr>
        <w:pStyle w:val="ParaNum"/>
      </w:pPr>
      <w:r w:rsidRPr="00E208EC">
        <w:t xml:space="preserve">We believe that the </w:t>
      </w:r>
      <w:r w:rsidR="00507BFC">
        <w:t>Petitioner’s</w:t>
      </w:r>
      <w:r w:rsidRPr="00E208EC">
        <w:t xml:space="preserve"> channel substitution proposal warrants consideration.  Channel </w:t>
      </w:r>
      <w:r w:rsidR="00B16BEA">
        <w:t>1</w:t>
      </w:r>
      <w:r w:rsidR="00063529">
        <w:t>6</w:t>
      </w:r>
      <w:r w:rsidRPr="00E208EC">
        <w:t xml:space="preserve"> can be substituted for channel </w:t>
      </w:r>
      <w:r w:rsidR="00B16BEA">
        <w:t>10</w:t>
      </w:r>
      <w:r w:rsidRPr="00E208EC" w:rsidR="00311E3F">
        <w:t xml:space="preserve"> </w:t>
      </w:r>
      <w:r w:rsidRPr="00E208EC">
        <w:t xml:space="preserve">at </w:t>
      </w:r>
      <w:r w:rsidR="001F315D">
        <w:t>Medford</w:t>
      </w:r>
      <w:r w:rsidRPr="00E208EC">
        <w:t xml:space="preserve">, </w:t>
      </w:r>
      <w:r w:rsidR="001F315D">
        <w:t>Oregon</w:t>
      </w:r>
      <w:r w:rsidR="00097111">
        <w:t>,</w:t>
      </w:r>
      <w:r w:rsidRPr="00E208EC">
        <w:t xml:space="preserve"> as proposed, in compliance with the principal community coverage requirements of section 73.625(a) of the Commission’s rules</w:t>
      </w:r>
      <w:r w:rsidR="00097111">
        <w:t xml:space="preserve"> (rules)</w:t>
      </w:r>
      <w:r>
        <w:rPr>
          <w:vertAlign w:val="superscript"/>
        </w:rPr>
        <w:footnoteReference w:id="11"/>
      </w:r>
      <w:r w:rsidRPr="00E208EC">
        <w:t xml:space="preserve"> at coordinates </w:t>
      </w:r>
      <w:r w:rsidR="006915BE">
        <w:t>4</w:t>
      </w:r>
      <w:r w:rsidR="00063529">
        <w:t>2</w:t>
      </w:r>
      <w:r w:rsidR="006915BE">
        <w:t>-04-51</w:t>
      </w:r>
      <w:r w:rsidR="00896190">
        <w:t>.</w:t>
      </w:r>
      <w:r w:rsidR="006915BE">
        <w:t>5</w:t>
      </w:r>
      <w:r w:rsidR="00896190">
        <w:t>0</w:t>
      </w:r>
      <w:r w:rsidRPr="00E208EC">
        <w:t xml:space="preserve"> N and </w:t>
      </w:r>
      <w:r w:rsidR="007E2DAF">
        <w:t>122-43-13</w:t>
      </w:r>
      <w:r w:rsidR="00896190">
        <w:t>.</w:t>
      </w:r>
      <w:r w:rsidR="007E2DAF">
        <w:t>0</w:t>
      </w:r>
      <w:r w:rsidR="00896190">
        <w:t>0</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12"/>
      </w:r>
      <w:r w:rsidRPr="00E208EC">
        <w:t xml:space="preserve">  We propose to substitute channel </w:t>
      </w:r>
      <w:r w:rsidR="00983E5E">
        <w:t>10</w:t>
      </w:r>
      <w:r w:rsidR="003532A0">
        <w:t xml:space="preserve"> </w:t>
      </w:r>
      <w:r w:rsidRPr="00E208EC">
        <w:t xml:space="preserve">for channel </w:t>
      </w:r>
      <w:r w:rsidR="00983E5E">
        <w:t>16</w:t>
      </w:r>
      <w:r w:rsidRPr="00E208EC">
        <w:t xml:space="preserve"> for </w:t>
      </w:r>
      <w:r w:rsidR="001F315D">
        <w:t>KTVL</w:t>
      </w:r>
      <w:r w:rsidRPr="00E208EC" w:rsidR="008248C2">
        <w:t xml:space="preserve"> </w:t>
      </w:r>
      <w:r w:rsidRPr="00E208EC">
        <w:t>with the following specifications:</w:t>
      </w:r>
    </w:p>
    <w:p w:rsidR="00E208EC" w:rsidRPr="00E208EC" w:rsidP="0048464E" w14:paraId="5D42D3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48464E" w14:paraId="1728D40F" w14:textId="20063699">
      <w:pPr>
        <w:pStyle w:val="ParaNum"/>
        <w:numPr>
          <w:ilvl w:val="0"/>
          <w:numId w:val="0"/>
        </w:numPr>
        <w:ind w:firstLine="720"/>
      </w:pPr>
      <w:r>
        <w:t>Medford</w:t>
      </w:r>
      <w:r w:rsidRPr="00E208EC">
        <w:t xml:space="preserve">, </w:t>
      </w:r>
      <w:r>
        <w:t>Oregon</w:t>
      </w:r>
      <w:r w:rsidRPr="00E208EC">
        <w:tab/>
      </w:r>
      <w:r w:rsidR="007C16F4">
        <w:tab/>
      </w:r>
      <w:r w:rsidR="00983E5E">
        <w:t>16</w:t>
      </w:r>
      <w:r w:rsidRPr="00E208EC">
        <w:tab/>
      </w:r>
      <w:r w:rsidRPr="00E208EC">
        <w:tab/>
      </w:r>
      <w:r w:rsidR="00983E5E">
        <w:t>350</w:t>
      </w:r>
      <w:r w:rsidRPr="00E208EC">
        <w:tab/>
      </w:r>
      <w:r w:rsidRPr="00E208EC">
        <w:tab/>
      </w:r>
      <w:r w:rsidRPr="00E208EC">
        <w:tab/>
      </w:r>
      <w:r w:rsidR="00983E5E">
        <w:t>1001</w:t>
      </w:r>
      <w:r w:rsidR="00945D64">
        <w:t>.0</w:t>
      </w:r>
    </w:p>
    <w:p w:rsidR="00E208EC" w:rsidRPr="005D3FB0" w:rsidP="0048464E" w14:paraId="502BBC97" w14:textId="616C1CA3">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3"/>
      </w:r>
      <w:r>
        <w:t xml:space="preserve"> for the community listed below, to read as follows:</w:t>
      </w:r>
    </w:p>
    <w:p w:rsidR="00E208EC" w:rsidP="0048464E" w14:paraId="38EEE02C"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48464E"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48464E" w14:paraId="77138FC7" w14:textId="1156BCF9">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Medford</w:t>
      </w:r>
      <w:r>
        <w:rPr>
          <w:rFonts w:ascii="Times New Roman" w:hAnsi="Times New Roman"/>
          <w:spacing w:val="-3"/>
          <w:sz w:val="22"/>
          <w:szCs w:val="22"/>
        </w:rPr>
        <w:t xml:space="preserve">, </w:t>
      </w:r>
      <w:r>
        <w:rPr>
          <w:rFonts w:ascii="Times New Roman" w:hAnsi="Times New Roman"/>
          <w:spacing w:val="-3"/>
          <w:sz w:val="22"/>
          <w:szCs w:val="22"/>
        </w:rPr>
        <w:t>Oregon</w:t>
      </w:r>
      <w:r>
        <w:rPr>
          <w:rFonts w:ascii="Times New Roman" w:hAnsi="Times New Roman"/>
          <w:spacing w:val="-3"/>
          <w:sz w:val="22"/>
          <w:szCs w:val="22"/>
        </w:rPr>
        <w:tab/>
      </w:r>
      <w:r w:rsidR="00F91E0E">
        <w:rPr>
          <w:rFonts w:ascii="Times New Roman" w:hAnsi="Times New Roman"/>
          <w:spacing w:val="-3"/>
          <w:sz w:val="22"/>
          <w:szCs w:val="22"/>
        </w:rPr>
        <w:tab/>
      </w:r>
      <w:r w:rsidR="00365F31">
        <w:rPr>
          <w:rFonts w:ascii="Times New Roman" w:hAnsi="Times New Roman"/>
          <w:spacing w:val="-3"/>
          <w:sz w:val="22"/>
          <w:szCs w:val="22"/>
        </w:rPr>
        <w:t>5, *8, 10, 12, 26</w:t>
      </w:r>
      <w:r>
        <w:rPr>
          <w:rFonts w:ascii="Times New Roman" w:hAnsi="Times New Roman"/>
          <w:spacing w:val="-3"/>
          <w:sz w:val="22"/>
          <w:szCs w:val="22"/>
        </w:rPr>
        <w:tab/>
      </w:r>
      <w:r>
        <w:rPr>
          <w:rFonts w:ascii="Times New Roman" w:hAnsi="Times New Roman"/>
          <w:spacing w:val="-3"/>
          <w:sz w:val="22"/>
          <w:szCs w:val="22"/>
        </w:rPr>
        <w:tab/>
      </w:r>
      <w:r w:rsidR="00365F31">
        <w:rPr>
          <w:rFonts w:ascii="Times New Roman" w:hAnsi="Times New Roman"/>
          <w:spacing w:val="-3"/>
          <w:sz w:val="22"/>
          <w:szCs w:val="22"/>
        </w:rPr>
        <w:t>5, *8, 1</w:t>
      </w:r>
      <w:r w:rsidR="00130CDC">
        <w:rPr>
          <w:rFonts w:ascii="Times New Roman" w:hAnsi="Times New Roman"/>
          <w:spacing w:val="-3"/>
          <w:sz w:val="22"/>
          <w:szCs w:val="22"/>
        </w:rPr>
        <w:t>2, 16, 26</w:t>
      </w:r>
    </w:p>
    <w:bookmarkEnd w:id="1"/>
    <w:p w:rsidR="00787DB6" w:rsidRPr="005E3497" w:rsidP="00787DB6" w14:paraId="1365F57F" w14:textId="77777777">
      <w:pPr>
        <w:pStyle w:val="Heading1"/>
        <w:keepNext w:val="0"/>
        <w:suppressAutoHyphens w:val="0"/>
      </w:pPr>
      <w:r>
        <w:t>Procedural matters</w:t>
      </w:r>
    </w:p>
    <w:p w:rsidR="00787DB6" w:rsidRPr="009F2562" w:rsidP="00507BFC" w14:paraId="4987B9EA" w14:textId="209EBF2F">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4"/>
      </w:r>
      <w:r w:rsidRPr="009F2562">
        <w:t xml:space="preserve">  Failure to file may lead to denial of the request.</w:t>
      </w:r>
      <w:r w:rsidR="0025083E">
        <w:t xml:space="preserve">  </w:t>
      </w:r>
      <w:r w:rsidRPr="0025083E" w:rsidR="0025083E">
        <w:t xml:space="preserve">Any </w:t>
      </w:r>
      <w:r w:rsidRPr="0025083E" w:rsidR="0025083E">
        <w:t xml:space="preserve">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5"/>
      </w:r>
    </w:p>
    <w:p w:rsidR="00787DB6" w:rsidRPr="009F2562" w:rsidP="00507BFC" w14:paraId="76F4295C" w14:textId="09DD1E5B">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507BFC" w14:paraId="0FE3A9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9F2562">
        <w:t xml:space="preserve">  </w:t>
      </w:r>
    </w:p>
    <w:p w:rsidR="00787DB6" w:rsidP="004144C7" w14:paraId="708D0C75"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7"/>
      </w:r>
    </w:p>
    <w:p w:rsidR="00787DB6" w:rsidP="00507BFC" w14:paraId="6E23DF9C" w14:textId="7CF5334E">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8"/>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9"/>
      </w:r>
    </w:p>
    <w:p w:rsidR="00787DB6" w:rsidRPr="00522221" w:rsidP="00507BFC" w14:paraId="71464E4B"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507BFC" w14:paraId="31367F5E" w14:textId="59482A4B">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507BFC" w14:paraId="14A33E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507BFC" w14:paraId="559B6865" w14:textId="711DF0B0">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87DB6" w:rsidP="004A2A44" w14:paraId="4600CDE5" w14:textId="093AE7BB">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D40C1D" w:rsidP="00F11D79" w14:paraId="33D8B3D8" w14:textId="3A2427E3">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A22CD2" w14:paraId="27E7B6EA" w14:textId="63AB5666">
      <w:pPr>
        <w:pStyle w:val="ParaNum"/>
        <w:keepNext/>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petitioner, as follows:</w:t>
      </w:r>
    </w:p>
    <w:p w:rsidR="00CE5579" w:rsidP="00A22CD2" w14:paraId="6FD786DF" w14:textId="774F1561">
      <w:pPr>
        <w:pStyle w:val="ParaNum"/>
        <w:keepNext/>
        <w:numPr>
          <w:ilvl w:val="0"/>
          <w:numId w:val="0"/>
        </w:numPr>
        <w:spacing w:after="0"/>
        <w:ind w:left="720"/>
      </w:pPr>
      <w:r>
        <w:t>Paul A. Cicelski</w:t>
      </w:r>
      <w:r>
        <w:t xml:space="preserve">, Esq. </w:t>
      </w:r>
    </w:p>
    <w:p w:rsidR="00CE5579" w:rsidP="00A22CD2" w14:paraId="478CBE35" w14:textId="01A5BC96">
      <w:pPr>
        <w:pStyle w:val="ParaNum"/>
        <w:keepNext/>
        <w:numPr>
          <w:ilvl w:val="0"/>
          <w:numId w:val="0"/>
        </w:numPr>
        <w:spacing w:after="0"/>
        <w:ind w:left="720"/>
      </w:pPr>
      <w:r>
        <w:t>Lerman</w:t>
      </w:r>
      <w:r>
        <w:t xml:space="preserve"> Senter</w:t>
      </w:r>
      <w:r w:rsidR="008977FA">
        <w:t xml:space="preserve"> PLLC</w:t>
      </w:r>
    </w:p>
    <w:p w:rsidR="00993E08" w:rsidP="00A22CD2" w14:paraId="43EE9B6E" w14:textId="77777777">
      <w:pPr>
        <w:pStyle w:val="ParaNum"/>
        <w:keepNext/>
        <w:numPr>
          <w:ilvl w:val="0"/>
          <w:numId w:val="0"/>
        </w:numPr>
        <w:spacing w:after="0"/>
        <w:ind w:left="720"/>
      </w:pPr>
      <w:r>
        <w:t>2001 L Street,</w:t>
      </w:r>
      <w:r>
        <w:t xml:space="preserve"> NW</w:t>
      </w:r>
    </w:p>
    <w:p w:rsidR="008977FA" w:rsidP="00A22CD2" w14:paraId="4E4073F9" w14:textId="3D20D72F">
      <w:pPr>
        <w:pStyle w:val="ParaNum"/>
        <w:keepNext/>
        <w:numPr>
          <w:ilvl w:val="0"/>
          <w:numId w:val="0"/>
        </w:numPr>
        <w:spacing w:after="0"/>
        <w:ind w:left="720"/>
      </w:pPr>
      <w:r>
        <w:t>Suite 400</w:t>
      </w:r>
    </w:p>
    <w:p w:rsidR="00CE5579" w:rsidRPr="00CE5579" w:rsidP="00A22CD2" w14:paraId="18E2850A" w14:textId="24A77312">
      <w:pPr>
        <w:pStyle w:val="ParaNum"/>
        <w:keepNext/>
        <w:numPr>
          <w:ilvl w:val="0"/>
          <w:numId w:val="0"/>
        </w:numPr>
        <w:ind w:left="720"/>
      </w:pPr>
      <w:r>
        <w:t>Washington, D</w:t>
      </w:r>
      <w:r w:rsidR="00051120">
        <w:t>C</w:t>
      </w:r>
      <w:r>
        <w:t xml:space="preserve"> 200</w:t>
      </w:r>
      <w:r w:rsidR="00226A10">
        <w:t>0</w:t>
      </w:r>
      <w:r>
        <w:t>6</w:t>
      </w:r>
    </w:p>
    <w:p w:rsidR="00787DB6" w:rsidP="00507BFC" w14:paraId="7E5712FF" w14:textId="6C2C599D">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w:t>
      </w:r>
      <w:r>
        <w:t>presentation</w:t>
      </w:r>
      <w:r>
        <w:t xml:space="preserve"> and shall not be considered in the proceeding. </w:t>
      </w:r>
    </w:p>
    <w:p w:rsidR="00787DB6" w:rsidP="00507BFC" w14:paraId="6D80AC75"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507BFC" w14:paraId="0B6326A3" w14:textId="7650F201">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8"/>
      </w:r>
      <w:r>
        <w:t xml:space="preserve">  This document does not contain proposed information collection requirements subject to the Paperwork </w:t>
      </w:r>
      <w:r>
        <w:t>Reduction Act of 1995.</w:t>
      </w:r>
      <w:r>
        <w:rPr>
          <w:rStyle w:val="FootnoteReference"/>
        </w:rPr>
        <w:footnoteReference w:id="29"/>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0"/>
      </w:r>
    </w:p>
    <w:p w:rsidR="006F1759" w:rsidRPr="006F1759" w:rsidP="00507BFC" w14:paraId="43FFCFCE" w14:textId="1197780A">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507BFC" w14:paraId="5B4C78D2" w14:textId="6B5274D3">
      <w:pPr>
        <w:pStyle w:val="ParaNum"/>
      </w:pPr>
      <w:r w:rsidRPr="00CE5579">
        <w:rPr>
          <w:i/>
          <w:iCs/>
        </w:rPr>
        <w:t>Additional Information</w:t>
      </w:r>
      <w:r>
        <w:t xml:space="preserve">.  </w:t>
      </w:r>
      <w:r w:rsidR="00202AF5">
        <w:t xml:space="preserve">For further information concerning the proceeding listed above, contact </w:t>
      </w:r>
      <w:r w:rsidR="00A42382">
        <w:t>Andrew Manley</w:t>
      </w:r>
      <w:r w:rsidR="00202AF5">
        <w:t>, Video Division, Media Bureau, (202) 418-</w:t>
      </w:r>
      <w:r w:rsidR="005A7F82">
        <w:t>0596</w:t>
      </w:r>
      <w:r w:rsidR="00202AF5">
        <w:t xml:space="preserve">, </w:t>
      </w:r>
      <w:hyperlink r:id="rId7" w:history="1">
        <w:r w:rsidR="0084005D">
          <w:rPr>
            <w:rStyle w:val="Hyperlink"/>
            <w:color w:val="auto"/>
          </w:rPr>
          <w:t>Andrew.Manley</w:t>
        </w:r>
        <w:r w:rsidRPr="00003FD3" w:rsidR="0084005D">
          <w:rPr>
            <w:rStyle w:val="Hyperlink"/>
            <w:color w:val="auto"/>
          </w:rPr>
          <w:t>@fcc.gov</w:t>
        </w:r>
      </w:hyperlink>
      <w:r w:rsidR="00202AF5">
        <w:t xml:space="preserve">. </w:t>
      </w:r>
    </w:p>
    <w:p w:rsidR="006F1759" w:rsidP="00507BFC" w14:paraId="3C4FAAC3" w14:textId="6C65607F">
      <w:pPr>
        <w:pStyle w:val="Heading1"/>
        <w:keepNext w:val="0"/>
        <w:suppressAutoHyphens w:val="0"/>
      </w:pPr>
      <w:r>
        <w:t>Ordering clauses</w:t>
      </w:r>
    </w:p>
    <w:p w:rsidR="00202AF5" w:rsidRPr="006F1759" w:rsidP="00507BFC" w14:paraId="7BA5FD85" w14:textId="33D43CCE">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B3F0D"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507BFC" w14:paraId="46BEED75" w14:textId="67E089D2">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4C2A2E">
        <w:rPr>
          <w:szCs w:val="22"/>
        </w:rPr>
        <w:t>155</w:t>
      </w:r>
      <w:r w:rsidRPr="00522221">
        <w:rPr>
          <w:szCs w:val="22"/>
        </w:rPr>
        <w:t xml:space="preserve"> </w:t>
      </w:r>
      <w:r w:rsidR="00787DB6">
        <w:rPr>
          <w:szCs w:val="22"/>
        </w:rPr>
        <w:t>and RM-</w:t>
      </w:r>
      <w:r w:rsidR="004C2A2E">
        <w:rPr>
          <w:szCs w:val="22"/>
        </w:rPr>
        <w:t>11900</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507BFC" w14:paraId="25C81251" w14:textId="77777777">
      <w:r>
        <w:tab/>
      </w:r>
      <w:r>
        <w:tab/>
      </w:r>
      <w:r>
        <w:tab/>
      </w:r>
      <w:r>
        <w:tab/>
      </w:r>
      <w:r>
        <w:tab/>
      </w:r>
      <w:r>
        <w:tab/>
        <w:t>FEDERAL COMMUNICATIONS COMMISSION</w:t>
      </w:r>
    </w:p>
    <w:p w:rsidR="009F2562" w:rsidP="00507BFC" w14:paraId="077376EF" w14:textId="77777777"/>
    <w:p w:rsidR="009F2562" w:rsidP="00507BFC" w14:paraId="73A66991" w14:textId="77777777"/>
    <w:p w:rsidR="009F2562" w:rsidP="00507BFC" w14:paraId="522CC919" w14:textId="77777777"/>
    <w:p w:rsidR="009F2562" w:rsidP="00507BFC" w14:paraId="1B2BB3CD" w14:textId="77777777"/>
    <w:p w:rsidR="009F2562" w:rsidP="00507BFC" w14:paraId="769D92A4" w14:textId="27D1FC4B">
      <w:r>
        <w:tab/>
      </w:r>
      <w:r>
        <w:tab/>
      </w:r>
      <w:r>
        <w:tab/>
      </w:r>
      <w:r>
        <w:tab/>
      </w:r>
      <w:r>
        <w:tab/>
      </w:r>
      <w:r>
        <w:tab/>
      </w:r>
      <w:r w:rsidR="00003FD3">
        <w:t>Barbara A. Kreisman</w:t>
      </w:r>
    </w:p>
    <w:p w:rsidR="009F2562" w:rsidP="00507BFC" w14:paraId="7FB1E2D7" w14:textId="7732950B">
      <w:r>
        <w:tab/>
      </w:r>
      <w:r>
        <w:tab/>
      </w:r>
      <w:r>
        <w:tab/>
      </w:r>
      <w:r>
        <w:tab/>
      </w:r>
      <w:r>
        <w:tab/>
      </w:r>
      <w:r>
        <w:tab/>
      </w:r>
      <w:r w:rsidR="00003FD3">
        <w:t>Chief, Video Division</w:t>
      </w:r>
    </w:p>
    <w:p w:rsidR="00003FD3" w:rsidRPr="009F2562" w:rsidP="00507BFC" w14:paraId="6A8CBD02" w14:textId="4D1B0B88">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233A" w14:paraId="21C9168E" w14:textId="77777777">
      <w:r>
        <w:separator/>
      </w:r>
    </w:p>
  </w:footnote>
  <w:footnote w:type="continuationSeparator" w:id="1">
    <w:p w:rsidR="0074233A" w:rsidP="00C721AC" w14:paraId="69B2567F" w14:textId="77777777">
      <w:pPr>
        <w:spacing w:before="120"/>
        <w:rPr>
          <w:sz w:val="20"/>
        </w:rPr>
      </w:pPr>
      <w:r>
        <w:rPr>
          <w:sz w:val="20"/>
        </w:rPr>
        <w:t xml:space="preserve">(Continued from previous page)  </w:t>
      </w:r>
      <w:r>
        <w:rPr>
          <w:sz w:val="20"/>
        </w:rPr>
        <w:separator/>
      </w:r>
    </w:p>
  </w:footnote>
  <w:footnote w:type="continuationNotice" w:id="2">
    <w:p w:rsidR="0074233A" w:rsidP="00C721AC" w14:paraId="05DDDB63" w14:textId="77777777">
      <w:pPr>
        <w:jc w:val="right"/>
        <w:rPr>
          <w:sz w:val="20"/>
        </w:rPr>
      </w:pPr>
      <w:r>
        <w:rPr>
          <w:sz w:val="20"/>
        </w:rPr>
        <w:t>(continued….)</w:t>
      </w:r>
    </w:p>
  </w:footnote>
  <w:footnote w:id="3">
    <w:p w:rsidR="003B6FA0" w:rsidP="004A2A44" w14:paraId="7E6DE131" w14:textId="1649F550">
      <w:pPr>
        <w:pStyle w:val="FootnoteText"/>
        <w:widowControl w:val="0"/>
      </w:pPr>
      <w:r w:rsidRPr="00273EA0">
        <w:rPr>
          <w:rStyle w:val="FootnoteReference"/>
        </w:rPr>
        <w:footnoteRef/>
      </w:r>
      <w:r w:rsidRPr="00273EA0">
        <w:t xml:space="preserve"> </w:t>
      </w:r>
      <w:r w:rsidRPr="00273EA0" w:rsidR="00EA0CA8">
        <w:t xml:space="preserve">Petition of </w:t>
      </w:r>
      <w:r w:rsidR="001F315D">
        <w:t>KTVL Licensee</w:t>
      </w:r>
      <w:r w:rsidRPr="00273EA0" w:rsidR="00EA0CA8">
        <w:t>, LLC for Rulemaking</w:t>
      </w:r>
      <w:r w:rsidR="00D12200">
        <w:t xml:space="preserve"> as amended</w:t>
      </w:r>
      <w:r w:rsidRPr="00273EA0" w:rsidR="00EA0CA8">
        <w:t xml:space="preserve"> (filed </w:t>
      </w:r>
      <w:r w:rsidR="007868FC">
        <w:t>Nov. 27</w:t>
      </w:r>
      <w:r w:rsidRPr="00273EA0" w:rsidR="00EA0CA8">
        <w:t>, 202</w:t>
      </w:r>
      <w:r w:rsidR="007868FC">
        <w:t>0</w:t>
      </w:r>
      <w:r w:rsidRPr="00273EA0" w:rsidR="00EA0CA8">
        <w:t>)</w:t>
      </w:r>
      <w:r w:rsidRPr="00273EA0" w:rsidR="00897354">
        <w:t>, LMS File No</w:t>
      </w:r>
      <w:r w:rsidRPr="00273EA0" w:rsidR="001F2E5A">
        <w:t xml:space="preserve">. </w:t>
      </w:r>
      <w:r w:rsidRPr="00273EA0" w:rsidR="00AA6025">
        <w:t>00001</w:t>
      </w:r>
      <w:r w:rsidR="00AA6025">
        <w:t>27</w:t>
      </w:r>
      <w:r w:rsidR="00430E9E">
        <w:t>637</w:t>
      </w:r>
      <w:r w:rsidRPr="00273EA0" w:rsidR="00AA6025">
        <w:t xml:space="preserve"> </w:t>
      </w:r>
      <w:r w:rsidRPr="00273EA0" w:rsidR="00EA0CA8">
        <w:t>(Petition).</w:t>
      </w:r>
      <w:r w:rsidRPr="00273EA0" w:rsidR="00EA0CA8">
        <w:t xml:space="preserve"> </w:t>
      </w:r>
      <w:r w:rsidR="007868FC">
        <w:t xml:space="preserve"> The Petitioner amended its petition on March 9, 2021 to provide additional information regarding predicted loss population figures (</w:t>
      </w:r>
      <w:r w:rsidR="00D26EC3">
        <w:t>Amended Engineering Statement).</w:t>
      </w:r>
    </w:p>
  </w:footnote>
  <w:footnote w:id="4">
    <w:p w:rsidR="009F2562" w:rsidRPr="00F11D79" w:rsidP="004A2A44" w14:paraId="7E3F1A41" w14:textId="7E9006EB">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3F1F9A6B" w14:textId="2A881744">
      <w:pPr>
        <w:pStyle w:val="FootnoteText"/>
        <w:widowControl w:val="0"/>
      </w:pPr>
      <w:r w:rsidRPr="008B497D">
        <w:rPr>
          <w:rStyle w:val="FootnoteReference"/>
        </w:rPr>
        <w:footnoteRef/>
      </w:r>
      <w:r w:rsidRPr="008B497D">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w:t>
      </w:r>
      <w:r w:rsidR="00A250B3">
        <w:t xml:space="preserve"> </w:t>
      </w:r>
      <w:r w:rsidR="005D607D">
        <w:t>(</w:t>
      </w:r>
      <w:r w:rsidR="00CD23FD">
        <w:t xml:space="preserve">2010) </w:t>
      </w:r>
      <w:r w:rsidR="00A250B3">
        <w:t>(</w:t>
      </w:r>
      <w:r w:rsidR="00A250B3">
        <w:rPr>
          <w:i/>
          <w:iCs/>
        </w:rPr>
        <w:t>Innovation NPRM</w:t>
      </w:r>
      <w:r w:rsidR="00A250B3">
        <w:t>)</w:t>
      </w:r>
      <w:r w:rsidR="0082612F">
        <w:t>.</w:t>
      </w:r>
    </w:p>
  </w:footnote>
  <w:footnote w:id="6">
    <w:p w:rsidR="00A250B3" w14:paraId="41B14584" w14:textId="43AA11B8">
      <w:pPr>
        <w:pStyle w:val="FootnoteText"/>
      </w:pPr>
      <w:r>
        <w:rPr>
          <w:rStyle w:val="FootnoteReference"/>
        </w:rPr>
        <w:footnoteRef/>
      </w:r>
      <w:r>
        <w:t xml:space="preserve"> </w:t>
      </w:r>
      <w:r w:rsidRPr="00351357" w:rsidR="00351357">
        <w:rPr>
          <w:i/>
          <w:iCs/>
        </w:rPr>
        <w:t>Id.</w:t>
      </w:r>
      <w:r w:rsidR="00351357">
        <w:t xml:space="preserve"> citing </w:t>
      </w:r>
      <w:r w:rsidR="00371A3C">
        <w:rPr>
          <w:i/>
          <w:iCs/>
        </w:rPr>
        <w:t>Innovation NPRM</w:t>
      </w:r>
      <w:r w:rsidR="00371A3C">
        <w:t xml:space="preserve"> at 16512, para. 44 (2010) and </w:t>
      </w:r>
      <w:r w:rsidR="00371A3C">
        <w:rPr>
          <w:i/>
          <w:iCs/>
        </w:rPr>
        <w:t>Amendment of Parts 73 and 74 of the Commission’s Rules to Establish Rules for Digital Low Power Television, Television Translator, and Television Booster Stations and to Amend Rules for Digital Class A Television Stations</w:t>
      </w:r>
      <w:r w:rsidR="00371A3C">
        <w:t xml:space="preserve">, MB Docket No. 03-185, Second Report and Order, 25 FCC </w:t>
      </w:r>
      <w:r w:rsidR="00371A3C">
        <w:t>Rcd</w:t>
      </w:r>
      <w:r w:rsidR="00371A3C">
        <w:t xml:space="preserve"> 10732, 10750, para. 37 (2011).</w:t>
      </w:r>
    </w:p>
  </w:footnote>
  <w:footnote w:id="7">
    <w:p w:rsidR="00E208EC" w:rsidRPr="00DE199A" w:rsidP="004A2A44" w14:paraId="3A73DE3A" w14:textId="2E54C732">
      <w:pPr>
        <w:pStyle w:val="FootnoteText"/>
        <w:widowControl w:val="0"/>
      </w:pPr>
      <w:r w:rsidRPr="00DE199A">
        <w:rPr>
          <w:rStyle w:val="FootnoteReference"/>
        </w:rPr>
        <w:footnoteRef/>
      </w:r>
      <w:r w:rsidRPr="00DE199A">
        <w:t xml:space="preserve"> </w:t>
      </w:r>
      <w:r w:rsidR="0017579F">
        <w:t>Petition at 2.</w:t>
      </w:r>
    </w:p>
  </w:footnote>
  <w:footnote w:id="8">
    <w:p w:rsidR="00B86A87" w:rsidRPr="008A1DD4" w:rsidP="00B86A87" w14:paraId="107505C2" w14:textId="1128A9BD">
      <w:pPr>
        <w:pStyle w:val="FootnoteText"/>
        <w:widowControl w:val="0"/>
      </w:pPr>
      <w:r w:rsidRPr="008A1DD4">
        <w:rPr>
          <w:rStyle w:val="FootnoteReference"/>
        </w:rPr>
        <w:footnoteRef/>
      </w:r>
      <w:r w:rsidRPr="008A1DD4">
        <w:t xml:space="preserve"> </w:t>
      </w:r>
      <w:r w:rsidRPr="008A1DD4">
        <w:rPr>
          <w:i/>
          <w:iCs/>
        </w:rPr>
        <w:t>Id</w:t>
      </w:r>
      <w:r w:rsidRPr="008A1DD4">
        <w:t>.</w:t>
      </w:r>
      <w:r w:rsidR="000B5336">
        <w:t xml:space="preserve">  </w:t>
      </w:r>
      <w:r w:rsidR="000B5336">
        <w:rPr>
          <w:i/>
          <w:iCs/>
        </w:rPr>
        <w:t>See also</w:t>
      </w:r>
      <w:r w:rsidR="000B5336">
        <w:t xml:space="preserve"> Petition at 3 </w:t>
      </w:r>
      <w:r w:rsidR="00097111">
        <w:t>(</w:t>
      </w:r>
      <w:r w:rsidR="000B5336">
        <w:t>regarding dipole antenna lengths needed to receive VHF and UHF signals on mobile devices using ATSC 3.0 technology</w:t>
      </w:r>
      <w:r w:rsidR="00097111">
        <w:t>)</w:t>
      </w:r>
      <w:r w:rsidR="000B5336">
        <w:t xml:space="preserve"> and Engineering Statement at 3-4</w:t>
      </w:r>
      <w:r w:rsidR="00097111">
        <w:t xml:space="preserve"> (</w:t>
      </w:r>
      <w:r w:rsidR="000B5336">
        <w:t>indicating that KTVL will likely be precluded from using ATSC 3.0 technology on channel 10 to portable and mobile users of these services</w:t>
      </w:r>
      <w:r w:rsidR="00097111">
        <w:t>)</w:t>
      </w:r>
      <w:r w:rsidR="000B5336">
        <w:t>.</w:t>
      </w:r>
    </w:p>
  </w:footnote>
  <w:footnote w:id="9">
    <w:p w:rsidR="003A17B3" w14:paraId="0DD241BB" w14:textId="78573223">
      <w:pPr>
        <w:pStyle w:val="FootnoteText"/>
      </w:pPr>
      <w:r w:rsidRPr="004F7DFF">
        <w:rPr>
          <w:rStyle w:val="FootnoteReference"/>
        </w:rPr>
        <w:footnoteRef/>
      </w:r>
      <w:r w:rsidRPr="004F7DFF">
        <w:t xml:space="preserve"> </w:t>
      </w:r>
      <w:r w:rsidRPr="004F7DFF" w:rsidR="007A0BD8">
        <w:t xml:space="preserve">Amended Engineering </w:t>
      </w:r>
      <w:r w:rsidRPr="004F7DFF" w:rsidR="00D26EC3">
        <w:t>Statement</w:t>
      </w:r>
      <w:r w:rsidRPr="004F7DFF" w:rsidR="007A0BD8">
        <w:t xml:space="preserve"> at</w:t>
      </w:r>
      <w:r w:rsidR="00383E45">
        <w:t xml:space="preserve"> 2,</w:t>
      </w:r>
      <w:r w:rsidRPr="004F7DFF" w:rsidR="007A0BD8">
        <w:t xml:space="preserve"> </w:t>
      </w:r>
      <w:r w:rsidRPr="004F7DFF" w:rsidR="006829CD">
        <w:t>Exhibit 1, Loss Area Map</w:t>
      </w:r>
      <w:r w:rsidRPr="004F7DFF" w:rsidR="00BB24D5">
        <w:t>.</w:t>
      </w:r>
    </w:p>
  </w:footnote>
  <w:footnote w:id="10">
    <w:p w:rsidR="00AF6FA5" w:rsidRPr="00AF6FA5" w14:paraId="6A3F8BEE" w14:textId="6EFD6D38">
      <w:pPr>
        <w:pStyle w:val="FootnoteText"/>
      </w:pPr>
      <w:r>
        <w:rPr>
          <w:rStyle w:val="FootnoteReference"/>
        </w:rPr>
        <w:footnoteRef/>
      </w:r>
      <w:r>
        <w:t xml:space="preserve"> </w:t>
      </w:r>
      <w:r>
        <w:rPr>
          <w:i/>
          <w:iCs/>
        </w:rPr>
        <w:t>Id.</w:t>
      </w:r>
      <w:r>
        <w:t xml:space="preserve"> at </w:t>
      </w:r>
      <w:r w:rsidR="008A043D">
        <w:t xml:space="preserve">Exhibit 1, </w:t>
      </w:r>
      <w:r w:rsidR="008A043D">
        <w:t>TVStudy</w:t>
      </w:r>
      <w:r w:rsidR="008A043D">
        <w:t xml:space="preserve"> Population Loss Map</w:t>
      </w:r>
      <w:r>
        <w:t>.</w:t>
      </w:r>
    </w:p>
  </w:footnote>
  <w:footnote w:id="11">
    <w:p w:rsidR="00E208EC" w:rsidRPr="00BE3330" w:rsidP="004A2A44" w14:paraId="70D5F471" w14:textId="77777777">
      <w:pPr>
        <w:pStyle w:val="FootnoteText"/>
        <w:widowControl w:val="0"/>
      </w:pPr>
      <w:r>
        <w:rPr>
          <w:rStyle w:val="FootnoteReference"/>
        </w:rPr>
        <w:footnoteRef/>
      </w:r>
      <w:r>
        <w:t xml:space="preserve"> 47 CFR § 73.625(a).</w:t>
      </w:r>
      <w:bookmarkStart w:id="0" w:name="SR;334"/>
      <w:bookmarkEnd w:id="0"/>
    </w:p>
  </w:footnote>
  <w:footnote w:id="12">
    <w:p w:rsidR="00E208EC" w:rsidP="004A2A44" w14:paraId="5B0F8BD5" w14:textId="77777777">
      <w:pPr>
        <w:pStyle w:val="FootnoteText"/>
        <w:widowControl w:val="0"/>
      </w:pPr>
      <w:r w:rsidRPr="003F7A73">
        <w:rPr>
          <w:rStyle w:val="FootnoteReference"/>
        </w:rPr>
        <w:footnoteRef/>
      </w:r>
      <w:r w:rsidRPr="003F7A73">
        <w:t xml:space="preserve"> 47 CFR §§ 73.616, 73.623.</w:t>
      </w:r>
    </w:p>
  </w:footnote>
  <w:footnote w:id="13">
    <w:p w:rsidR="00E208EC" w:rsidP="004A2A44" w14:paraId="7C22B204" w14:textId="77777777">
      <w:pPr>
        <w:pStyle w:val="FootnoteText"/>
        <w:widowControl w:val="0"/>
      </w:pPr>
      <w:r>
        <w:rPr>
          <w:rStyle w:val="FootnoteReference"/>
        </w:rPr>
        <w:footnoteRef/>
      </w:r>
      <w:r>
        <w:t xml:space="preserve"> 47 CFR § 73.622(</w:t>
      </w:r>
      <w:r>
        <w:t>i</w:t>
      </w:r>
      <w:r>
        <w:t>).</w:t>
      </w:r>
    </w:p>
  </w:footnote>
  <w:footnote w:id="14">
    <w:p w:rsidR="00C43C45" w14:paraId="6AFB4931" w14:textId="5BBBF0B9">
      <w:pPr>
        <w:pStyle w:val="FootnoteText"/>
      </w:pPr>
      <w:r>
        <w:rPr>
          <w:rStyle w:val="FootnoteReference"/>
        </w:rPr>
        <w:footnoteRef/>
      </w:r>
      <w:r>
        <w:t xml:space="preserve"> </w:t>
      </w:r>
      <w:r w:rsidRPr="00C43C45">
        <w:rPr>
          <w:i/>
          <w:iCs/>
        </w:rPr>
        <w:t xml:space="preserve">See, e.g., </w:t>
      </w:r>
      <w:r w:rsidRPr="00C43C45" w:rsidR="00EC2B94">
        <w:rPr>
          <w:i/>
          <w:iCs/>
        </w:rPr>
        <w:t>Buffalo, Io</w:t>
      </w:r>
      <w:r w:rsidR="00EC2B94">
        <w:rPr>
          <w:i/>
          <w:iCs/>
        </w:rPr>
        <w:t>l</w:t>
      </w:r>
      <w:r w:rsidRPr="00C43C45" w:rsidR="00EC2B94">
        <w:rPr>
          <w:i/>
          <w:iCs/>
        </w:rPr>
        <w:t>a, Normangee, and Madisonville, Texas</w:t>
      </w:r>
      <w:r w:rsidRPr="00C43C45" w:rsidR="00EC2B94">
        <w:t xml:space="preserve">, </w:t>
      </w:r>
      <w:r w:rsidR="00EC2B94">
        <w:t xml:space="preserve">MB Docket No. 07-729, </w:t>
      </w:r>
      <w:r w:rsidRPr="00C43C45" w:rsidR="00EC2B94">
        <w:t>Report and Order</w:t>
      </w:r>
      <w:r w:rsidR="00EC2B94">
        <w:t>,</w:t>
      </w:r>
      <w:r w:rsidRPr="00C43C45" w:rsidR="00EC2B94">
        <w:t xml:space="preserve"> 24 FCC </w:t>
      </w:r>
      <w:r w:rsidRPr="00C43C45" w:rsidR="00EC2B94">
        <w:t>Rcd</w:t>
      </w:r>
      <w:r w:rsidRPr="00C43C45" w:rsidR="00EC2B94">
        <w:t xml:space="preserve"> 8192, 8194</w:t>
      </w:r>
      <w:r w:rsidR="00EC2B94">
        <w:t>, para. 9</w:t>
      </w:r>
      <w:r w:rsidRPr="00C43C45" w:rsidR="00EC2B94">
        <w:t xml:space="preserve"> (</w:t>
      </w:r>
      <w:r w:rsidR="00097111">
        <w:t xml:space="preserve">Aud. Div. </w:t>
      </w:r>
      <w:r w:rsidRPr="00C43C45" w:rsidR="00EC2B94">
        <w:t>2009).</w:t>
      </w:r>
      <w:r w:rsidR="00EC2B94">
        <w:t xml:space="preserve">  </w:t>
      </w:r>
    </w:p>
  </w:footnote>
  <w:footnote w:id="15">
    <w:p w:rsidR="0025083E" w14:paraId="427A9357" w14:textId="01284AFE">
      <w:pPr>
        <w:pStyle w:val="FootnoteText"/>
      </w:pPr>
      <w:r>
        <w:rPr>
          <w:rStyle w:val="FootnoteReference"/>
        </w:rPr>
        <w:footnoteRef/>
      </w:r>
      <w:r>
        <w:t xml:space="preserve"> </w:t>
      </w:r>
      <w:r w:rsidRPr="0025083E">
        <w:t>47 CFR § 1.420(j).</w:t>
      </w:r>
    </w:p>
  </w:footnote>
  <w:footnote w:id="16">
    <w:p w:rsidR="00787DB6" w:rsidP="004A2A44" w14:paraId="6790A2E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7">
    <w:p w:rsidR="00787DB6" w:rsidP="004A2A44" w14:paraId="23A4F6BA" w14:textId="77777777">
      <w:pPr>
        <w:pStyle w:val="FootnoteText"/>
        <w:widowControl w:val="0"/>
      </w:pPr>
      <w:r>
        <w:rPr>
          <w:rStyle w:val="FootnoteReference"/>
        </w:rPr>
        <w:footnoteRef/>
      </w:r>
      <w:r>
        <w:t xml:space="preserve"> </w:t>
      </w:r>
      <w:r w:rsidRPr="005F375B">
        <w:t>47 CFR § 1.420(</w:t>
      </w:r>
      <w:r>
        <w:t>g)(2)</w:t>
      </w:r>
      <w:r w:rsidRPr="005F375B">
        <w:t>.</w:t>
      </w:r>
    </w:p>
  </w:footnote>
  <w:footnote w:id="18">
    <w:p w:rsidR="00787DB6" w:rsidP="004A2A44" w14:paraId="0A9A0428" w14:textId="77777777">
      <w:pPr>
        <w:pStyle w:val="FootnoteText"/>
        <w:widowControl w:val="0"/>
      </w:pPr>
      <w:r>
        <w:rPr>
          <w:rStyle w:val="FootnoteReference"/>
        </w:rPr>
        <w:footnoteRef/>
      </w:r>
      <w:r>
        <w:t xml:space="preserve"> </w:t>
      </w:r>
      <w:r w:rsidRPr="003B6FA0">
        <w:t>47 CFR §§ 1.415, 1.419,</w:t>
      </w:r>
      <w:r>
        <w:t xml:space="preserve"> and 1.420.</w:t>
      </w:r>
    </w:p>
  </w:footnote>
  <w:footnote w:id="19">
    <w:p w:rsidR="00787DB6" w:rsidRPr="006F1759" w:rsidP="004A2A44" w14:paraId="519E2A0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0">
    <w:p w:rsidR="00787DB6" w:rsidP="004A2A44" w14:paraId="5568348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1">
    <w:p w:rsidR="00787DB6" w:rsidP="004A2A44" w14:paraId="19B47497" w14:textId="62E530DA">
      <w:pPr>
        <w:pStyle w:val="FootnoteText"/>
        <w:widowControl w:val="0"/>
      </w:pPr>
      <w:r>
        <w:rPr>
          <w:rStyle w:val="FootnoteReference"/>
        </w:rPr>
        <w:footnoteRef/>
      </w:r>
      <w:r>
        <w:t xml:space="preserve"> 47 CFR § </w:t>
      </w:r>
      <w:r w:rsidR="00810450">
        <w:t>1</w:t>
      </w:r>
      <w:r>
        <w:t>.</w:t>
      </w:r>
      <w:r w:rsidR="00810450">
        <w:t>4</w:t>
      </w:r>
      <w:r>
        <w:t>20.</w:t>
      </w:r>
    </w:p>
  </w:footnote>
  <w:footnote w:id="22">
    <w:p w:rsidR="00787DB6" w:rsidP="004A2A44" w14:paraId="3AE99242"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3">
    <w:p w:rsidR="00787DB6" w:rsidRPr="00522221" w:rsidP="004A2A44" w14:paraId="7C64ED0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4">
    <w:p w:rsidR="00787DB6" w:rsidP="004A2A44" w14:paraId="46E60E5E" w14:textId="77777777">
      <w:pPr>
        <w:pStyle w:val="FootnoteText"/>
        <w:widowControl w:val="0"/>
      </w:pPr>
      <w:r>
        <w:rPr>
          <w:rStyle w:val="FootnoteReference"/>
        </w:rPr>
        <w:footnoteRef/>
      </w:r>
      <w:r>
        <w:t xml:space="preserve"> 47 CFR § 1.1208.</w:t>
      </w:r>
    </w:p>
  </w:footnote>
  <w:footnote w:id="25">
    <w:p w:rsidR="00787DB6" w:rsidP="004A2A44" w14:paraId="02C20A7D" w14:textId="77777777">
      <w:pPr>
        <w:pStyle w:val="FootnoteText"/>
        <w:widowControl w:val="0"/>
      </w:pPr>
      <w:r>
        <w:rPr>
          <w:rStyle w:val="FootnoteReference"/>
        </w:rPr>
        <w:footnoteRef/>
      </w:r>
      <w:r>
        <w:t xml:space="preserve"> 47 CFR § 1.1204(a)(10).</w:t>
      </w:r>
    </w:p>
  </w:footnote>
  <w:footnote w:id="26">
    <w:p w:rsidR="00787DB6" w:rsidP="004A2A44" w14:paraId="691904D2" w14:textId="592A7688">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7">
    <w:p w:rsidR="00003FD3" w:rsidP="004A2A44" w14:paraId="774DD95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003FD3" w:rsidP="004A2A44" w14:paraId="00983C9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9">
    <w:p w:rsidR="000A72DA" w:rsidP="004A2A44" w14:paraId="212E5754" w14:textId="68FE36EC">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0A72DA" w:rsidP="004A2A44" w14:paraId="560844AC" w14:textId="53491AEF">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72E96C91">
    <w:pPr>
      <w:pStyle w:val="Header"/>
      <w:rPr>
        <w:b w:val="0"/>
      </w:rPr>
    </w:pPr>
    <w:r>
      <w:tab/>
      <w:t>Federal Communications Commission</w:t>
    </w:r>
    <w:r>
      <w:tab/>
    </w:r>
    <w:r w:rsidR="004A2A44">
      <w:t>DA</w:t>
    </w:r>
    <w:r w:rsidR="004C2A2E">
      <w:t xml:space="preserve"> 21-436</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2534DAB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4C2A2E">
      <w:rPr>
        <w:spacing w:val="-2"/>
      </w:rPr>
      <w:t>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9B9"/>
    <w:rsid w:val="00023C1B"/>
    <w:rsid w:val="00036039"/>
    <w:rsid w:val="00037F90"/>
    <w:rsid w:val="00045B74"/>
    <w:rsid w:val="00051120"/>
    <w:rsid w:val="00063529"/>
    <w:rsid w:val="000716A9"/>
    <w:rsid w:val="000875BF"/>
    <w:rsid w:val="00096D8C"/>
    <w:rsid w:val="00097111"/>
    <w:rsid w:val="000A6DCC"/>
    <w:rsid w:val="000A72DA"/>
    <w:rsid w:val="000B04C6"/>
    <w:rsid w:val="000B393B"/>
    <w:rsid w:val="000B3957"/>
    <w:rsid w:val="000B5336"/>
    <w:rsid w:val="000C0B65"/>
    <w:rsid w:val="000C7622"/>
    <w:rsid w:val="000D78AE"/>
    <w:rsid w:val="000D7B7B"/>
    <w:rsid w:val="000E05FE"/>
    <w:rsid w:val="000E3D42"/>
    <w:rsid w:val="000F259D"/>
    <w:rsid w:val="000F7C63"/>
    <w:rsid w:val="00101542"/>
    <w:rsid w:val="001043C7"/>
    <w:rsid w:val="00113A6F"/>
    <w:rsid w:val="00122BD5"/>
    <w:rsid w:val="00130CDC"/>
    <w:rsid w:val="001317A9"/>
    <w:rsid w:val="00133F79"/>
    <w:rsid w:val="00134EA3"/>
    <w:rsid w:val="00153566"/>
    <w:rsid w:val="001609FC"/>
    <w:rsid w:val="001659A0"/>
    <w:rsid w:val="0017579F"/>
    <w:rsid w:val="00193681"/>
    <w:rsid w:val="00194A66"/>
    <w:rsid w:val="00197FE5"/>
    <w:rsid w:val="001A7095"/>
    <w:rsid w:val="001B4637"/>
    <w:rsid w:val="001D29F6"/>
    <w:rsid w:val="001D64FD"/>
    <w:rsid w:val="001D6BCF"/>
    <w:rsid w:val="001E01CA"/>
    <w:rsid w:val="001E1C45"/>
    <w:rsid w:val="001E67AD"/>
    <w:rsid w:val="001F1858"/>
    <w:rsid w:val="001F250D"/>
    <w:rsid w:val="001F2E5A"/>
    <w:rsid w:val="001F304F"/>
    <w:rsid w:val="001F315D"/>
    <w:rsid w:val="00202AF5"/>
    <w:rsid w:val="00212BDD"/>
    <w:rsid w:val="002148F6"/>
    <w:rsid w:val="002268F8"/>
    <w:rsid w:val="0022695F"/>
    <w:rsid w:val="00226A10"/>
    <w:rsid w:val="00232DD1"/>
    <w:rsid w:val="00235881"/>
    <w:rsid w:val="00236ABA"/>
    <w:rsid w:val="0025083E"/>
    <w:rsid w:val="00263012"/>
    <w:rsid w:val="00273EA0"/>
    <w:rsid w:val="00275CF5"/>
    <w:rsid w:val="002809E9"/>
    <w:rsid w:val="00282422"/>
    <w:rsid w:val="0028301F"/>
    <w:rsid w:val="00285017"/>
    <w:rsid w:val="002A2D2E"/>
    <w:rsid w:val="002A2F03"/>
    <w:rsid w:val="002C00E8"/>
    <w:rsid w:val="002C2A5E"/>
    <w:rsid w:val="002D3921"/>
    <w:rsid w:val="002D72B9"/>
    <w:rsid w:val="002F6E46"/>
    <w:rsid w:val="00311E3F"/>
    <w:rsid w:val="0031233E"/>
    <w:rsid w:val="00315FEE"/>
    <w:rsid w:val="00316473"/>
    <w:rsid w:val="00316968"/>
    <w:rsid w:val="00327A95"/>
    <w:rsid w:val="003304A2"/>
    <w:rsid w:val="00331D74"/>
    <w:rsid w:val="003356E8"/>
    <w:rsid w:val="00341BB1"/>
    <w:rsid w:val="00343749"/>
    <w:rsid w:val="00343F5A"/>
    <w:rsid w:val="00345D82"/>
    <w:rsid w:val="00351357"/>
    <w:rsid w:val="00351EF5"/>
    <w:rsid w:val="00352A67"/>
    <w:rsid w:val="003532A0"/>
    <w:rsid w:val="003539C4"/>
    <w:rsid w:val="00365F31"/>
    <w:rsid w:val="003660ED"/>
    <w:rsid w:val="00370034"/>
    <w:rsid w:val="00370A09"/>
    <w:rsid w:val="00370A81"/>
    <w:rsid w:val="00371A3C"/>
    <w:rsid w:val="00383E45"/>
    <w:rsid w:val="00386604"/>
    <w:rsid w:val="00390A40"/>
    <w:rsid w:val="003A17B3"/>
    <w:rsid w:val="003B0550"/>
    <w:rsid w:val="003B2BBE"/>
    <w:rsid w:val="003B694F"/>
    <w:rsid w:val="003B6FA0"/>
    <w:rsid w:val="003D2541"/>
    <w:rsid w:val="003D38D6"/>
    <w:rsid w:val="003D7231"/>
    <w:rsid w:val="003F171C"/>
    <w:rsid w:val="003F5FC9"/>
    <w:rsid w:val="003F7A73"/>
    <w:rsid w:val="00406272"/>
    <w:rsid w:val="00412FC5"/>
    <w:rsid w:val="004144C7"/>
    <w:rsid w:val="00417699"/>
    <w:rsid w:val="00417A8A"/>
    <w:rsid w:val="00420DB4"/>
    <w:rsid w:val="004210A9"/>
    <w:rsid w:val="00422276"/>
    <w:rsid w:val="004242F1"/>
    <w:rsid w:val="00425EAC"/>
    <w:rsid w:val="00430E9E"/>
    <w:rsid w:val="00431425"/>
    <w:rsid w:val="00436BE4"/>
    <w:rsid w:val="00437790"/>
    <w:rsid w:val="004418B6"/>
    <w:rsid w:val="00445A00"/>
    <w:rsid w:val="00446248"/>
    <w:rsid w:val="00451B0F"/>
    <w:rsid w:val="00453457"/>
    <w:rsid w:val="00465053"/>
    <w:rsid w:val="00475411"/>
    <w:rsid w:val="0048464E"/>
    <w:rsid w:val="00484F99"/>
    <w:rsid w:val="00493354"/>
    <w:rsid w:val="004A2A44"/>
    <w:rsid w:val="004A3C48"/>
    <w:rsid w:val="004A5916"/>
    <w:rsid w:val="004B1CA9"/>
    <w:rsid w:val="004B33FE"/>
    <w:rsid w:val="004C2A2E"/>
    <w:rsid w:val="004C2EE3"/>
    <w:rsid w:val="004C638D"/>
    <w:rsid w:val="004D4D8E"/>
    <w:rsid w:val="004D6FE1"/>
    <w:rsid w:val="004E4A22"/>
    <w:rsid w:val="004F5B48"/>
    <w:rsid w:val="004F7DFF"/>
    <w:rsid w:val="004F7ED5"/>
    <w:rsid w:val="00507BFC"/>
    <w:rsid w:val="00511968"/>
    <w:rsid w:val="0051768F"/>
    <w:rsid w:val="00517BC6"/>
    <w:rsid w:val="00522221"/>
    <w:rsid w:val="00522E39"/>
    <w:rsid w:val="005276B8"/>
    <w:rsid w:val="00540ED1"/>
    <w:rsid w:val="005411A9"/>
    <w:rsid w:val="00543469"/>
    <w:rsid w:val="00555584"/>
    <w:rsid w:val="0055614C"/>
    <w:rsid w:val="00563090"/>
    <w:rsid w:val="00566D06"/>
    <w:rsid w:val="005757D6"/>
    <w:rsid w:val="005761E4"/>
    <w:rsid w:val="005A7F82"/>
    <w:rsid w:val="005B1762"/>
    <w:rsid w:val="005B3D01"/>
    <w:rsid w:val="005B51DB"/>
    <w:rsid w:val="005D07C4"/>
    <w:rsid w:val="005D3FB0"/>
    <w:rsid w:val="005D607D"/>
    <w:rsid w:val="005D7E3E"/>
    <w:rsid w:val="005E14C2"/>
    <w:rsid w:val="005E3497"/>
    <w:rsid w:val="005F375B"/>
    <w:rsid w:val="00607BA5"/>
    <w:rsid w:val="00610A51"/>
    <w:rsid w:val="0061180A"/>
    <w:rsid w:val="00626EB6"/>
    <w:rsid w:val="00647E02"/>
    <w:rsid w:val="00653DC6"/>
    <w:rsid w:val="00655D03"/>
    <w:rsid w:val="00662635"/>
    <w:rsid w:val="006704F5"/>
    <w:rsid w:val="006829CD"/>
    <w:rsid w:val="00683388"/>
    <w:rsid w:val="00683F84"/>
    <w:rsid w:val="006915BE"/>
    <w:rsid w:val="00691C22"/>
    <w:rsid w:val="00695325"/>
    <w:rsid w:val="006A3717"/>
    <w:rsid w:val="006A4BFB"/>
    <w:rsid w:val="006A6A81"/>
    <w:rsid w:val="006A7A0C"/>
    <w:rsid w:val="006C565C"/>
    <w:rsid w:val="006D33F6"/>
    <w:rsid w:val="006F1759"/>
    <w:rsid w:val="006F6769"/>
    <w:rsid w:val="006F7393"/>
    <w:rsid w:val="0070224F"/>
    <w:rsid w:val="00702B0C"/>
    <w:rsid w:val="00710CE6"/>
    <w:rsid w:val="007115F7"/>
    <w:rsid w:val="00712696"/>
    <w:rsid w:val="00717A51"/>
    <w:rsid w:val="00726E82"/>
    <w:rsid w:val="0073056C"/>
    <w:rsid w:val="0074233A"/>
    <w:rsid w:val="00745508"/>
    <w:rsid w:val="00746017"/>
    <w:rsid w:val="0075166D"/>
    <w:rsid w:val="00780924"/>
    <w:rsid w:val="00785689"/>
    <w:rsid w:val="00785CD8"/>
    <w:rsid w:val="007868FC"/>
    <w:rsid w:val="00787DB6"/>
    <w:rsid w:val="0079307D"/>
    <w:rsid w:val="0079754B"/>
    <w:rsid w:val="00797C80"/>
    <w:rsid w:val="007A0BD8"/>
    <w:rsid w:val="007A163B"/>
    <w:rsid w:val="007A1E6D"/>
    <w:rsid w:val="007A3BAB"/>
    <w:rsid w:val="007B0EB2"/>
    <w:rsid w:val="007C16F4"/>
    <w:rsid w:val="007D4249"/>
    <w:rsid w:val="007E2DAF"/>
    <w:rsid w:val="008016FA"/>
    <w:rsid w:val="00810450"/>
    <w:rsid w:val="00810B6F"/>
    <w:rsid w:val="00822CE0"/>
    <w:rsid w:val="008247DA"/>
    <w:rsid w:val="008248C2"/>
    <w:rsid w:val="0082612F"/>
    <w:rsid w:val="008344F3"/>
    <w:rsid w:val="0084005D"/>
    <w:rsid w:val="00840FF0"/>
    <w:rsid w:val="00841AB1"/>
    <w:rsid w:val="008470CB"/>
    <w:rsid w:val="00847350"/>
    <w:rsid w:val="008531BA"/>
    <w:rsid w:val="00857E66"/>
    <w:rsid w:val="00862235"/>
    <w:rsid w:val="0087360E"/>
    <w:rsid w:val="00894FC0"/>
    <w:rsid w:val="00896190"/>
    <w:rsid w:val="00897354"/>
    <w:rsid w:val="008977FA"/>
    <w:rsid w:val="0089784D"/>
    <w:rsid w:val="008A043D"/>
    <w:rsid w:val="008A1DD4"/>
    <w:rsid w:val="008A58AA"/>
    <w:rsid w:val="008A5C52"/>
    <w:rsid w:val="008B497D"/>
    <w:rsid w:val="008B62DD"/>
    <w:rsid w:val="008B6B96"/>
    <w:rsid w:val="008B72FE"/>
    <w:rsid w:val="008C68F1"/>
    <w:rsid w:val="008E3E9D"/>
    <w:rsid w:val="008F3D12"/>
    <w:rsid w:val="008F643B"/>
    <w:rsid w:val="00915089"/>
    <w:rsid w:val="00916924"/>
    <w:rsid w:val="00921803"/>
    <w:rsid w:val="009243CF"/>
    <w:rsid w:val="00926503"/>
    <w:rsid w:val="00937D13"/>
    <w:rsid w:val="0094051C"/>
    <w:rsid w:val="00945222"/>
    <w:rsid w:val="00945D64"/>
    <w:rsid w:val="009726D8"/>
    <w:rsid w:val="00983E5E"/>
    <w:rsid w:val="00985BD1"/>
    <w:rsid w:val="00990D14"/>
    <w:rsid w:val="00991506"/>
    <w:rsid w:val="00993E08"/>
    <w:rsid w:val="009A6869"/>
    <w:rsid w:val="009B038E"/>
    <w:rsid w:val="009B4AD1"/>
    <w:rsid w:val="009B7B38"/>
    <w:rsid w:val="009C6F27"/>
    <w:rsid w:val="009D7308"/>
    <w:rsid w:val="009D7448"/>
    <w:rsid w:val="009F2562"/>
    <w:rsid w:val="009F76DB"/>
    <w:rsid w:val="00A22CD2"/>
    <w:rsid w:val="00A250B3"/>
    <w:rsid w:val="00A32C3B"/>
    <w:rsid w:val="00A42382"/>
    <w:rsid w:val="00A45F4F"/>
    <w:rsid w:val="00A46B85"/>
    <w:rsid w:val="00A600A9"/>
    <w:rsid w:val="00A66590"/>
    <w:rsid w:val="00A71673"/>
    <w:rsid w:val="00A724A0"/>
    <w:rsid w:val="00A73D10"/>
    <w:rsid w:val="00A76268"/>
    <w:rsid w:val="00A86487"/>
    <w:rsid w:val="00A929B1"/>
    <w:rsid w:val="00AA55B7"/>
    <w:rsid w:val="00AA5B9E"/>
    <w:rsid w:val="00AA6025"/>
    <w:rsid w:val="00AB2407"/>
    <w:rsid w:val="00AB53DF"/>
    <w:rsid w:val="00AB6B83"/>
    <w:rsid w:val="00AC7242"/>
    <w:rsid w:val="00AE7A62"/>
    <w:rsid w:val="00AF0D12"/>
    <w:rsid w:val="00AF1A92"/>
    <w:rsid w:val="00AF6613"/>
    <w:rsid w:val="00AF6FA5"/>
    <w:rsid w:val="00B07E5C"/>
    <w:rsid w:val="00B16BEA"/>
    <w:rsid w:val="00B32A7C"/>
    <w:rsid w:val="00B37909"/>
    <w:rsid w:val="00B6477A"/>
    <w:rsid w:val="00B811F7"/>
    <w:rsid w:val="00B83A64"/>
    <w:rsid w:val="00B86A87"/>
    <w:rsid w:val="00B94088"/>
    <w:rsid w:val="00B97DD3"/>
    <w:rsid w:val="00BA5DC6"/>
    <w:rsid w:val="00BA5E70"/>
    <w:rsid w:val="00BA6196"/>
    <w:rsid w:val="00BB24D5"/>
    <w:rsid w:val="00BC5600"/>
    <w:rsid w:val="00BC69ED"/>
    <w:rsid w:val="00BC6D8C"/>
    <w:rsid w:val="00BD7822"/>
    <w:rsid w:val="00BE3330"/>
    <w:rsid w:val="00BE4DD9"/>
    <w:rsid w:val="00BF1951"/>
    <w:rsid w:val="00C16F3A"/>
    <w:rsid w:val="00C22632"/>
    <w:rsid w:val="00C27ED4"/>
    <w:rsid w:val="00C34006"/>
    <w:rsid w:val="00C364E9"/>
    <w:rsid w:val="00C36B4C"/>
    <w:rsid w:val="00C426B1"/>
    <w:rsid w:val="00C43C45"/>
    <w:rsid w:val="00C64F0B"/>
    <w:rsid w:val="00C66160"/>
    <w:rsid w:val="00C66F10"/>
    <w:rsid w:val="00C721AC"/>
    <w:rsid w:val="00C8216B"/>
    <w:rsid w:val="00C85F9D"/>
    <w:rsid w:val="00C90D6A"/>
    <w:rsid w:val="00C9183B"/>
    <w:rsid w:val="00CA247E"/>
    <w:rsid w:val="00CA6D21"/>
    <w:rsid w:val="00CB3F0D"/>
    <w:rsid w:val="00CB7341"/>
    <w:rsid w:val="00CC72B6"/>
    <w:rsid w:val="00CD23FD"/>
    <w:rsid w:val="00CE35EF"/>
    <w:rsid w:val="00CE5579"/>
    <w:rsid w:val="00D0218D"/>
    <w:rsid w:val="00D12200"/>
    <w:rsid w:val="00D15D4B"/>
    <w:rsid w:val="00D2014A"/>
    <w:rsid w:val="00D2371E"/>
    <w:rsid w:val="00D25FB5"/>
    <w:rsid w:val="00D26EC3"/>
    <w:rsid w:val="00D304B5"/>
    <w:rsid w:val="00D40C1D"/>
    <w:rsid w:val="00D44223"/>
    <w:rsid w:val="00D62C5A"/>
    <w:rsid w:val="00D734A5"/>
    <w:rsid w:val="00D93E1A"/>
    <w:rsid w:val="00D942DC"/>
    <w:rsid w:val="00DA059A"/>
    <w:rsid w:val="00DA2529"/>
    <w:rsid w:val="00DB130A"/>
    <w:rsid w:val="00DB2EBB"/>
    <w:rsid w:val="00DC10A1"/>
    <w:rsid w:val="00DC15EC"/>
    <w:rsid w:val="00DC655F"/>
    <w:rsid w:val="00DC746F"/>
    <w:rsid w:val="00DD0B59"/>
    <w:rsid w:val="00DD2D4D"/>
    <w:rsid w:val="00DD5445"/>
    <w:rsid w:val="00DD7EBD"/>
    <w:rsid w:val="00DE199A"/>
    <w:rsid w:val="00DF62B6"/>
    <w:rsid w:val="00E0049C"/>
    <w:rsid w:val="00E0270B"/>
    <w:rsid w:val="00E07225"/>
    <w:rsid w:val="00E13505"/>
    <w:rsid w:val="00E208EC"/>
    <w:rsid w:val="00E20B16"/>
    <w:rsid w:val="00E24A53"/>
    <w:rsid w:val="00E462E9"/>
    <w:rsid w:val="00E5409F"/>
    <w:rsid w:val="00E5492D"/>
    <w:rsid w:val="00E560B4"/>
    <w:rsid w:val="00E84B42"/>
    <w:rsid w:val="00EA0CA8"/>
    <w:rsid w:val="00EA23F6"/>
    <w:rsid w:val="00EB1119"/>
    <w:rsid w:val="00EB1685"/>
    <w:rsid w:val="00EC1133"/>
    <w:rsid w:val="00EC216A"/>
    <w:rsid w:val="00EC2B94"/>
    <w:rsid w:val="00ED485D"/>
    <w:rsid w:val="00EE6488"/>
    <w:rsid w:val="00EF7BFB"/>
    <w:rsid w:val="00F021FA"/>
    <w:rsid w:val="00F116E3"/>
    <w:rsid w:val="00F11D79"/>
    <w:rsid w:val="00F14545"/>
    <w:rsid w:val="00F24E3B"/>
    <w:rsid w:val="00F26A1C"/>
    <w:rsid w:val="00F30797"/>
    <w:rsid w:val="00F356C6"/>
    <w:rsid w:val="00F50456"/>
    <w:rsid w:val="00F50EC7"/>
    <w:rsid w:val="00F52BAB"/>
    <w:rsid w:val="00F62E97"/>
    <w:rsid w:val="00F64209"/>
    <w:rsid w:val="00F91E0E"/>
    <w:rsid w:val="00F93BF5"/>
    <w:rsid w:val="00F94623"/>
    <w:rsid w:val="00FB4AB0"/>
    <w:rsid w:val="00FD792B"/>
    <w:rsid w:val="00FE522E"/>
    <w:rsid w:val="00FF37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E916B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2E"/>
    <w:pPr>
      <w:widowControl w:val="0"/>
    </w:pPr>
    <w:rPr>
      <w:snapToGrid w:val="0"/>
      <w:kern w:val="28"/>
      <w:sz w:val="22"/>
    </w:rPr>
  </w:style>
  <w:style w:type="paragraph" w:styleId="Heading1">
    <w:name w:val="heading 1"/>
    <w:basedOn w:val="Normal"/>
    <w:next w:val="ParaNum"/>
    <w:qFormat/>
    <w:rsid w:val="004C2A2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2A2E"/>
    <w:pPr>
      <w:keepNext/>
      <w:numPr>
        <w:ilvl w:val="1"/>
        <w:numId w:val="3"/>
      </w:numPr>
      <w:spacing w:after="120"/>
      <w:outlineLvl w:val="1"/>
    </w:pPr>
    <w:rPr>
      <w:b/>
    </w:rPr>
  </w:style>
  <w:style w:type="paragraph" w:styleId="Heading3">
    <w:name w:val="heading 3"/>
    <w:basedOn w:val="Normal"/>
    <w:next w:val="ParaNum"/>
    <w:qFormat/>
    <w:rsid w:val="004C2A2E"/>
    <w:pPr>
      <w:keepNext/>
      <w:numPr>
        <w:ilvl w:val="2"/>
        <w:numId w:val="3"/>
      </w:numPr>
      <w:tabs>
        <w:tab w:val="left" w:pos="2160"/>
      </w:tabs>
      <w:spacing w:after="120"/>
      <w:outlineLvl w:val="2"/>
    </w:pPr>
    <w:rPr>
      <w:b/>
    </w:rPr>
  </w:style>
  <w:style w:type="paragraph" w:styleId="Heading4">
    <w:name w:val="heading 4"/>
    <w:basedOn w:val="Normal"/>
    <w:next w:val="ParaNum"/>
    <w:qFormat/>
    <w:rsid w:val="004C2A2E"/>
    <w:pPr>
      <w:keepNext/>
      <w:numPr>
        <w:ilvl w:val="3"/>
        <w:numId w:val="3"/>
      </w:numPr>
      <w:tabs>
        <w:tab w:val="left" w:pos="2880"/>
      </w:tabs>
      <w:spacing w:after="120"/>
      <w:outlineLvl w:val="3"/>
    </w:pPr>
    <w:rPr>
      <w:b/>
    </w:rPr>
  </w:style>
  <w:style w:type="paragraph" w:styleId="Heading5">
    <w:name w:val="heading 5"/>
    <w:basedOn w:val="Normal"/>
    <w:next w:val="ParaNum"/>
    <w:qFormat/>
    <w:rsid w:val="004C2A2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C2A2E"/>
    <w:pPr>
      <w:numPr>
        <w:ilvl w:val="5"/>
        <w:numId w:val="3"/>
      </w:numPr>
      <w:tabs>
        <w:tab w:val="left" w:pos="4320"/>
      </w:tabs>
      <w:spacing w:after="120"/>
      <w:outlineLvl w:val="5"/>
    </w:pPr>
    <w:rPr>
      <w:b/>
    </w:rPr>
  </w:style>
  <w:style w:type="paragraph" w:styleId="Heading7">
    <w:name w:val="heading 7"/>
    <w:basedOn w:val="Normal"/>
    <w:next w:val="ParaNum"/>
    <w:qFormat/>
    <w:rsid w:val="004C2A2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C2A2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C2A2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2A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2A2E"/>
  </w:style>
  <w:style w:type="paragraph" w:customStyle="1" w:styleId="ParaNum">
    <w:name w:val="ParaNum"/>
    <w:basedOn w:val="Normal"/>
    <w:link w:val="ParaNumChar1"/>
    <w:rsid w:val="004C2A2E"/>
    <w:pPr>
      <w:numPr>
        <w:numId w:val="2"/>
      </w:numPr>
      <w:tabs>
        <w:tab w:val="clear" w:pos="1080"/>
        <w:tab w:val="num" w:pos="1440"/>
      </w:tabs>
      <w:spacing w:after="120"/>
    </w:pPr>
  </w:style>
  <w:style w:type="paragraph" w:styleId="EndnoteText">
    <w:name w:val="endnote text"/>
    <w:basedOn w:val="Normal"/>
    <w:semiHidden/>
    <w:rsid w:val="004C2A2E"/>
    <w:rPr>
      <w:sz w:val="20"/>
    </w:rPr>
  </w:style>
  <w:style w:type="character" w:styleId="EndnoteReference">
    <w:name w:val="endnote reference"/>
    <w:semiHidden/>
    <w:rsid w:val="004C2A2E"/>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4C2A2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C2A2E"/>
    <w:rPr>
      <w:rFonts w:ascii="Times New Roman" w:hAnsi="Times New Roman"/>
      <w:dstrike w:val="0"/>
      <w:color w:val="auto"/>
      <w:sz w:val="20"/>
      <w:vertAlign w:val="superscript"/>
    </w:rPr>
  </w:style>
  <w:style w:type="paragraph" w:styleId="TOC1">
    <w:name w:val="toc 1"/>
    <w:basedOn w:val="Normal"/>
    <w:next w:val="Normal"/>
    <w:semiHidden/>
    <w:rsid w:val="004C2A2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C2A2E"/>
    <w:pPr>
      <w:tabs>
        <w:tab w:val="left" w:pos="720"/>
        <w:tab w:val="right" w:leader="dot" w:pos="9360"/>
      </w:tabs>
      <w:suppressAutoHyphens/>
      <w:ind w:left="720" w:right="720" w:hanging="360"/>
    </w:pPr>
    <w:rPr>
      <w:noProof/>
    </w:rPr>
  </w:style>
  <w:style w:type="paragraph" w:styleId="TOC3">
    <w:name w:val="toc 3"/>
    <w:basedOn w:val="Normal"/>
    <w:next w:val="Normal"/>
    <w:semiHidden/>
    <w:rsid w:val="004C2A2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2A2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2A2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2A2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2A2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2A2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2A2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2A2E"/>
    <w:pPr>
      <w:tabs>
        <w:tab w:val="right" w:pos="9360"/>
      </w:tabs>
      <w:suppressAutoHyphens/>
    </w:pPr>
  </w:style>
  <w:style w:type="character" w:customStyle="1" w:styleId="EquationCaption">
    <w:name w:val="_Equation Caption"/>
    <w:rsid w:val="004C2A2E"/>
  </w:style>
  <w:style w:type="paragraph" w:styleId="Header">
    <w:name w:val="header"/>
    <w:basedOn w:val="Normal"/>
    <w:autoRedefine/>
    <w:rsid w:val="004C2A2E"/>
    <w:pPr>
      <w:tabs>
        <w:tab w:val="center" w:pos="4680"/>
        <w:tab w:val="right" w:pos="9360"/>
      </w:tabs>
    </w:pPr>
    <w:rPr>
      <w:b/>
    </w:rPr>
  </w:style>
  <w:style w:type="paragraph" w:styleId="Footer">
    <w:name w:val="footer"/>
    <w:basedOn w:val="Normal"/>
    <w:link w:val="FooterChar"/>
    <w:uiPriority w:val="99"/>
    <w:rsid w:val="004C2A2E"/>
    <w:pPr>
      <w:tabs>
        <w:tab w:val="center" w:pos="4320"/>
        <w:tab w:val="right" w:pos="8640"/>
      </w:tabs>
    </w:pPr>
  </w:style>
  <w:style w:type="character" w:styleId="PageNumber">
    <w:name w:val="page number"/>
    <w:basedOn w:val="DefaultParagraphFont"/>
    <w:rsid w:val="004C2A2E"/>
  </w:style>
  <w:style w:type="paragraph" w:styleId="BlockText">
    <w:name w:val="Block Text"/>
    <w:basedOn w:val="Normal"/>
    <w:rsid w:val="004C2A2E"/>
    <w:pPr>
      <w:spacing w:after="240"/>
      <w:ind w:left="1440" w:right="1440"/>
    </w:pPr>
  </w:style>
  <w:style w:type="paragraph" w:customStyle="1" w:styleId="Paratitle">
    <w:name w:val="Para title"/>
    <w:basedOn w:val="Normal"/>
    <w:rsid w:val="004C2A2E"/>
    <w:pPr>
      <w:tabs>
        <w:tab w:val="center" w:pos="9270"/>
      </w:tabs>
      <w:spacing w:after="240"/>
    </w:pPr>
    <w:rPr>
      <w:spacing w:val="-2"/>
    </w:rPr>
  </w:style>
  <w:style w:type="paragraph" w:customStyle="1" w:styleId="Bullet">
    <w:name w:val="Bullet"/>
    <w:basedOn w:val="Normal"/>
    <w:rsid w:val="004C2A2E"/>
    <w:pPr>
      <w:tabs>
        <w:tab w:val="left" w:pos="2160"/>
      </w:tabs>
      <w:spacing w:after="220"/>
      <w:ind w:left="2160" w:hanging="720"/>
    </w:pPr>
  </w:style>
  <w:style w:type="paragraph" w:customStyle="1" w:styleId="TableFormat">
    <w:name w:val="TableFormat"/>
    <w:basedOn w:val="Bullet"/>
    <w:rsid w:val="004C2A2E"/>
    <w:pPr>
      <w:tabs>
        <w:tab w:val="clear" w:pos="2160"/>
        <w:tab w:val="left" w:pos="5040"/>
      </w:tabs>
      <w:ind w:left="5040" w:hanging="3600"/>
    </w:pPr>
  </w:style>
  <w:style w:type="paragraph" w:customStyle="1" w:styleId="TOCTitle">
    <w:name w:val="TOC Title"/>
    <w:basedOn w:val="Normal"/>
    <w:rsid w:val="004C2A2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2A2E"/>
    <w:pPr>
      <w:jc w:val="center"/>
    </w:pPr>
    <w:rPr>
      <w:rFonts w:ascii="Times New Roman Bold" w:hAnsi="Times New Roman Bold"/>
      <w:b/>
      <w:bCs/>
      <w:caps/>
      <w:szCs w:val="22"/>
    </w:rPr>
  </w:style>
  <w:style w:type="character" w:styleId="Hyperlink">
    <w:name w:val="Hyperlink"/>
    <w:rsid w:val="004C2A2E"/>
    <w:rPr>
      <w:color w:val="0000FF"/>
      <w:u w:val="single"/>
    </w:rPr>
  </w:style>
  <w:style w:type="character" w:customStyle="1" w:styleId="FooterChar">
    <w:name w:val="Footer Char"/>
    <w:link w:val="Footer"/>
    <w:uiPriority w:val="99"/>
    <w:rsid w:val="004C2A2E"/>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