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263E70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DA19842" w14:textId="77777777">
      <w:pPr>
        <w:pStyle w:val="StyleBoldCentered"/>
      </w:pPr>
      <w:r>
        <w:t>F</w:t>
      </w:r>
      <w:r>
        <w:rPr>
          <w:caps w:val="0"/>
        </w:rPr>
        <w:t>ederal Communications Commission</w:t>
      </w:r>
    </w:p>
    <w:p w:rsidR="004C2EE3" w:rsidP="00096D8C" w14:paraId="4B5AEABA" w14:textId="77777777">
      <w:pPr>
        <w:pStyle w:val="StyleBoldCentered"/>
      </w:pPr>
      <w:r>
        <w:rPr>
          <w:caps w:val="0"/>
        </w:rPr>
        <w:t>Washington, D.C. 20554</w:t>
      </w:r>
    </w:p>
    <w:p w:rsidR="004C2EE3" w:rsidP="0070224F" w14:paraId="66671B73" w14:textId="77777777"/>
    <w:tbl>
      <w:tblPr>
        <w:tblW w:w="0" w:type="auto"/>
        <w:tblLayout w:type="fixed"/>
        <w:tblLook w:val="0000"/>
      </w:tblPr>
      <w:tblGrid>
        <w:gridCol w:w="4698"/>
        <w:gridCol w:w="630"/>
        <w:gridCol w:w="4248"/>
      </w:tblGrid>
      <w:tr w14:paraId="03E56418" w14:textId="77777777">
        <w:tblPrEx>
          <w:tblW w:w="0" w:type="auto"/>
          <w:tblLayout w:type="fixed"/>
          <w:tblLook w:val="0000"/>
        </w:tblPrEx>
        <w:tc>
          <w:tcPr>
            <w:tcW w:w="4698" w:type="dxa"/>
          </w:tcPr>
          <w:p w:rsidR="00474268" w:rsidRPr="00474268" w:rsidP="00474268" w14:paraId="7E8007F3" w14:textId="77777777">
            <w:pPr>
              <w:tabs>
                <w:tab w:val="center" w:pos="4680"/>
              </w:tabs>
              <w:suppressAutoHyphens/>
              <w:rPr>
                <w:spacing w:val="-2"/>
              </w:rPr>
            </w:pPr>
            <w:r w:rsidRPr="00474268">
              <w:rPr>
                <w:spacing w:val="-2"/>
              </w:rPr>
              <w:t xml:space="preserve">In re Application of  </w:t>
            </w:r>
          </w:p>
          <w:p w:rsidR="00474268" w:rsidRPr="00474268" w:rsidP="00474268" w14:paraId="10BDFE53" w14:textId="77777777">
            <w:pPr>
              <w:tabs>
                <w:tab w:val="center" w:pos="4680"/>
              </w:tabs>
              <w:suppressAutoHyphens/>
              <w:rPr>
                <w:spacing w:val="-2"/>
              </w:rPr>
            </w:pPr>
          </w:p>
          <w:p w:rsidR="00A308E9" w:rsidRPr="00A308E9" w:rsidP="00A308E9" w14:paraId="5B4F92C2" w14:textId="77777777">
            <w:pPr>
              <w:tabs>
                <w:tab w:val="center" w:pos="4680"/>
              </w:tabs>
              <w:suppressAutoHyphens/>
              <w:rPr>
                <w:b/>
                <w:bCs/>
                <w:spacing w:val="-2"/>
              </w:rPr>
            </w:pPr>
            <w:r w:rsidRPr="00A308E9">
              <w:rPr>
                <w:b/>
                <w:bCs/>
                <w:spacing w:val="-2"/>
              </w:rPr>
              <w:t>School District, Bay City</w:t>
            </w:r>
          </w:p>
          <w:p w:rsidR="00A308E9" w:rsidRPr="00A308E9" w:rsidP="00A308E9" w14:paraId="16BE0202" w14:textId="77777777">
            <w:pPr>
              <w:tabs>
                <w:tab w:val="center" w:pos="4680"/>
              </w:tabs>
              <w:suppressAutoHyphens/>
              <w:rPr>
                <w:b/>
                <w:bCs/>
                <w:spacing w:val="-2"/>
              </w:rPr>
            </w:pPr>
          </w:p>
          <w:p w:rsidR="00A308E9" w:rsidRPr="00A308E9" w:rsidP="00A308E9" w14:paraId="125FBEED" w14:textId="77777777">
            <w:pPr>
              <w:tabs>
                <w:tab w:val="center" w:pos="4680"/>
              </w:tabs>
              <w:suppressAutoHyphens/>
              <w:rPr>
                <w:spacing w:val="-2"/>
              </w:rPr>
            </w:pPr>
            <w:r w:rsidRPr="00A308E9">
              <w:rPr>
                <w:spacing w:val="-2"/>
              </w:rPr>
              <w:t>For Renewal of License for</w:t>
            </w:r>
          </w:p>
          <w:p w:rsidR="00A308E9" w:rsidRPr="00A308E9" w:rsidP="00A308E9" w14:paraId="7E2C4669" w14:textId="77777777">
            <w:pPr>
              <w:tabs>
                <w:tab w:val="center" w:pos="4680"/>
              </w:tabs>
              <w:suppressAutoHyphens/>
              <w:rPr>
                <w:spacing w:val="-2"/>
              </w:rPr>
            </w:pPr>
            <w:r w:rsidRPr="00A308E9">
              <w:rPr>
                <w:spacing w:val="-2"/>
              </w:rPr>
              <w:t>Station WCHW-FM</w:t>
            </w:r>
          </w:p>
          <w:p w:rsidR="004C2EE3" w:rsidRPr="007115F7" w:rsidP="00474268" w14:paraId="29E89B9F" w14:textId="7C1C48AD">
            <w:pPr>
              <w:tabs>
                <w:tab w:val="center" w:pos="4680"/>
              </w:tabs>
              <w:suppressAutoHyphens/>
              <w:rPr>
                <w:spacing w:val="-2"/>
              </w:rPr>
            </w:pPr>
            <w:r w:rsidRPr="00A308E9">
              <w:rPr>
                <w:spacing w:val="-2"/>
              </w:rPr>
              <w:t>Bay City, Michigan</w:t>
            </w:r>
          </w:p>
        </w:tc>
        <w:tc>
          <w:tcPr>
            <w:tcW w:w="630" w:type="dxa"/>
          </w:tcPr>
          <w:p w:rsidR="004C2EE3" w14:paraId="5BA6FF12" w14:textId="77777777">
            <w:pPr>
              <w:tabs>
                <w:tab w:val="center" w:pos="4680"/>
              </w:tabs>
              <w:suppressAutoHyphens/>
              <w:rPr>
                <w:b/>
                <w:spacing w:val="-2"/>
              </w:rPr>
            </w:pPr>
            <w:r>
              <w:rPr>
                <w:b/>
                <w:spacing w:val="-2"/>
              </w:rPr>
              <w:t>)</w:t>
            </w:r>
          </w:p>
          <w:p w:rsidR="004C2EE3" w14:paraId="30944D5A" w14:textId="77777777">
            <w:pPr>
              <w:tabs>
                <w:tab w:val="center" w:pos="4680"/>
              </w:tabs>
              <w:suppressAutoHyphens/>
              <w:rPr>
                <w:b/>
                <w:spacing w:val="-2"/>
              </w:rPr>
            </w:pPr>
            <w:r>
              <w:rPr>
                <w:b/>
                <w:spacing w:val="-2"/>
              </w:rPr>
              <w:t>)</w:t>
            </w:r>
          </w:p>
          <w:p w:rsidR="004C2EE3" w14:paraId="44683A2E" w14:textId="77777777">
            <w:pPr>
              <w:tabs>
                <w:tab w:val="center" w:pos="4680"/>
              </w:tabs>
              <w:suppressAutoHyphens/>
              <w:rPr>
                <w:b/>
                <w:spacing w:val="-2"/>
              </w:rPr>
            </w:pPr>
            <w:r>
              <w:rPr>
                <w:b/>
                <w:spacing w:val="-2"/>
              </w:rPr>
              <w:t>)</w:t>
            </w:r>
          </w:p>
          <w:p w:rsidR="004C2EE3" w14:paraId="6D8CD14C" w14:textId="77777777">
            <w:pPr>
              <w:tabs>
                <w:tab w:val="center" w:pos="4680"/>
              </w:tabs>
              <w:suppressAutoHyphens/>
              <w:rPr>
                <w:b/>
                <w:spacing w:val="-2"/>
              </w:rPr>
            </w:pPr>
            <w:r>
              <w:rPr>
                <w:b/>
                <w:spacing w:val="-2"/>
              </w:rPr>
              <w:t>)</w:t>
            </w:r>
          </w:p>
          <w:p w:rsidR="004C2EE3" w14:paraId="4E46419A" w14:textId="77777777">
            <w:pPr>
              <w:tabs>
                <w:tab w:val="center" w:pos="4680"/>
              </w:tabs>
              <w:suppressAutoHyphens/>
              <w:rPr>
                <w:b/>
                <w:spacing w:val="-2"/>
              </w:rPr>
            </w:pPr>
            <w:r>
              <w:rPr>
                <w:b/>
                <w:spacing w:val="-2"/>
              </w:rPr>
              <w:t>)</w:t>
            </w:r>
          </w:p>
          <w:p w:rsidR="004C2EE3" w14:paraId="784F877C" w14:textId="77777777">
            <w:pPr>
              <w:tabs>
                <w:tab w:val="center" w:pos="4680"/>
              </w:tabs>
              <w:suppressAutoHyphens/>
              <w:rPr>
                <w:b/>
                <w:spacing w:val="-2"/>
              </w:rPr>
            </w:pPr>
            <w:r>
              <w:rPr>
                <w:b/>
                <w:spacing w:val="-2"/>
              </w:rPr>
              <w:t>)</w:t>
            </w:r>
          </w:p>
          <w:p w:rsidR="004C2EE3" w:rsidRPr="00474268" w14:paraId="12BAF059" w14:textId="104883C7">
            <w:pPr>
              <w:tabs>
                <w:tab w:val="center" w:pos="4680"/>
              </w:tabs>
              <w:suppressAutoHyphens/>
              <w:rPr>
                <w:b/>
                <w:spacing w:val="-2"/>
              </w:rPr>
            </w:pPr>
            <w:r>
              <w:rPr>
                <w:b/>
                <w:spacing w:val="-2"/>
              </w:rPr>
              <w:t>)</w:t>
            </w:r>
          </w:p>
        </w:tc>
        <w:tc>
          <w:tcPr>
            <w:tcW w:w="4248" w:type="dxa"/>
          </w:tcPr>
          <w:p w:rsidR="004C2EE3" w14:paraId="28A34B58" w14:textId="77777777">
            <w:pPr>
              <w:tabs>
                <w:tab w:val="center" w:pos="4680"/>
              </w:tabs>
              <w:suppressAutoHyphens/>
              <w:rPr>
                <w:spacing w:val="-2"/>
              </w:rPr>
            </w:pPr>
          </w:p>
          <w:p w:rsidR="004C2EE3" w14:paraId="1B8E2D9D" w14:textId="77777777">
            <w:pPr>
              <w:pStyle w:val="TOAHeading"/>
              <w:tabs>
                <w:tab w:val="center" w:pos="4680"/>
                <w:tab w:val="clear" w:pos="9360"/>
              </w:tabs>
              <w:rPr>
                <w:spacing w:val="-2"/>
              </w:rPr>
            </w:pPr>
          </w:p>
          <w:p w:rsidR="00A308E9" w:rsidRPr="00A308E9" w:rsidP="00A308E9" w14:paraId="00DE123B" w14:textId="77777777">
            <w:pPr>
              <w:pStyle w:val="TOAHeading"/>
              <w:rPr>
                <w:b/>
                <w:spacing w:val="-2"/>
              </w:rPr>
            </w:pPr>
            <w:r w:rsidRPr="00A308E9">
              <w:rPr>
                <w:spacing w:val="-2"/>
              </w:rPr>
              <w:t>Facility ID No. 59351</w:t>
            </w:r>
          </w:p>
          <w:p w:rsidR="00A308E9" w:rsidRPr="00A308E9" w:rsidP="00A308E9" w14:paraId="626E179B" w14:textId="3447594F">
            <w:pPr>
              <w:pStyle w:val="TOAHeading"/>
              <w:rPr>
                <w:spacing w:val="-2"/>
              </w:rPr>
            </w:pPr>
            <w:r w:rsidRPr="00A308E9">
              <w:rPr>
                <w:spacing w:val="-2"/>
              </w:rPr>
              <w:t>NAL/Acct. No. MB-202141410019</w:t>
            </w:r>
          </w:p>
          <w:p w:rsidR="00A308E9" w:rsidRPr="00A308E9" w:rsidP="00A308E9" w14:paraId="348C7BAA" w14:textId="77777777">
            <w:pPr>
              <w:pStyle w:val="TOAHeading"/>
              <w:rPr>
                <w:spacing w:val="-2"/>
              </w:rPr>
            </w:pPr>
            <w:r w:rsidRPr="00A308E9">
              <w:rPr>
                <w:spacing w:val="-2"/>
              </w:rPr>
              <w:t>FRN: 0010754273</w:t>
            </w:r>
          </w:p>
          <w:p w:rsidR="004C2EE3" w:rsidP="00A308E9" w14:paraId="38788DD1" w14:textId="0C70EC59">
            <w:pPr>
              <w:tabs>
                <w:tab w:val="center" w:pos="4680"/>
              </w:tabs>
              <w:suppressAutoHyphens/>
              <w:rPr>
                <w:spacing w:val="-2"/>
              </w:rPr>
            </w:pPr>
            <w:r w:rsidRPr="00A308E9">
              <w:rPr>
                <w:spacing w:val="-2"/>
              </w:rPr>
              <w:t>File No. 0000122730</w:t>
            </w:r>
          </w:p>
        </w:tc>
      </w:tr>
    </w:tbl>
    <w:p w:rsidR="004C2EE3" w:rsidP="0070224F" w14:paraId="123DA60B" w14:textId="77777777"/>
    <w:p w:rsidR="00841AB1" w:rsidP="00F021FA" w14:paraId="6217A5BF" w14:textId="0C06A0E8">
      <w:pPr>
        <w:pStyle w:val="StyleBoldCentered"/>
      </w:pPr>
      <w:r>
        <w:t>ORDER</w:t>
      </w:r>
    </w:p>
    <w:p w:rsidR="004C2EE3" w14:paraId="403E819B" w14:textId="77777777">
      <w:pPr>
        <w:tabs>
          <w:tab w:val="left" w:pos="-720"/>
        </w:tabs>
        <w:suppressAutoHyphens/>
        <w:spacing w:line="227" w:lineRule="auto"/>
        <w:rPr>
          <w:spacing w:val="-2"/>
        </w:rPr>
      </w:pPr>
    </w:p>
    <w:p w:rsidR="004C2EE3" w:rsidP="00133F79" w14:paraId="38FEDC65" w14:textId="53530DDA">
      <w:pPr>
        <w:tabs>
          <w:tab w:val="left" w:pos="720"/>
          <w:tab w:val="right" w:pos="9360"/>
        </w:tabs>
        <w:suppressAutoHyphens/>
        <w:spacing w:line="227" w:lineRule="auto"/>
        <w:rPr>
          <w:spacing w:val="-2"/>
        </w:rPr>
      </w:pPr>
      <w:r>
        <w:rPr>
          <w:b/>
          <w:spacing w:val="-2"/>
        </w:rPr>
        <w:t xml:space="preserve">Adopted:  </w:t>
      </w:r>
      <w:r w:rsidR="009A69FB">
        <w:rPr>
          <w:b/>
          <w:spacing w:val="-2"/>
        </w:rPr>
        <w:t>April 19,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A69FB">
        <w:rPr>
          <w:b/>
          <w:spacing w:val="-2"/>
        </w:rPr>
        <w:t>April 19, 2021</w:t>
      </w:r>
    </w:p>
    <w:p w:rsidR="00822CE0" w14:paraId="2459D44D" w14:textId="77777777"/>
    <w:p w:rsidR="004C2EE3" w14:paraId="25325DFF" w14:textId="62096A70">
      <w:pPr>
        <w:rPr>
          <w:spacing w:val="-2"/>
        </w:rPr>
      </w:pPr>
      <w:r>
        <w:t xml:space="preserve">By </w:t>
      </w:r>
      <w:r w:rsidR="004E4A22">
        <w:t>the</w:t>
      </w:r>
      <w:r w:rsidR="002A2D2E">
        <w:t xml:space="preserve"> </w:t>
      </w:r>
      <w:r w:rsidR="00474268">
        <w:rPr>
          <w:spacing w:val="-2"/>
        </w:rPr>
        <w:t>Chief, Audio Division, Media Bureau</w:t>
      </w:r>
      <w:r>
        <w:rPr>
          <w:spacing w:val="-2"/>
        </w:rPr>
        <w:t>:</w:t>
      </w:r>
    </w:p>
    <w:p w:rsidR="00822CE0" w14:paraId="184CD92E" w14:textId="77777777">
      <w:pPr>
        <w:rPr>
          <w:spacing w:val="-2"/>
        </w:rPr>
      </w:pPr>
    </w:p>
    <w:p w:rsidR="00474268" w:rsidP="00474268" w14:paraId="05519D87" w14:textId="3B442C8E">
      <w:pPr>
        <w:pStyle w:val="Heading1"/>
      </w:pPr>
      <w:r>
        <w:t>INTRODUCTION</w:t>
      </w:r>
    </w:p>
    <w:p w:rsidR="00474268" w:rsidRPr="00474268" w:rsidP="00474268" w14:paraId="21579398" w14:textId="1B52D195">
      <w:pPr>
        <w:pStyle w:val="ParaNum"/>
      </w:pPr>
      <w:r w:rsidRPr="00474268">
        <w:t>The Media Bureau (Bureau) has before it a request to cancel a Notice of Apparent Liability (</w:t>
      </w:r>
      <w:r w:rsidRPr="000820BC">
        <w:rPr>
          <w:i/>
          <w:iCs/>
        </w:rPr>
        <w:t>NAL</w:t>
      </w:r>
      <w:r w:rsidRPr="00474268">
        <w:t>)</w:t>
      </w:r>
      <w:r>
        <w:rPr>
          <w:vertAlign w:val="superscript"/>
        </w:rPr>
        <w:footnoteReference w:id="3"/>
      </w:r>
      <w:r w:rsidRPr="00474268">
        <w:t xml:space="preserve"> issued to </w:t>
      </w:r>
      <w:r w:rsidR="001D1BF9">
        <w:t>School District, Bay City</w:t>
      </w:r>
      <w:r w:rsidRPr="00474268">
        <w:t xml:space="preserve"> (Licensee), licensee of </w:t>
      </w:r>
      <w:r w:rsidR="00C35831">
        <w:t xml:space="preserve">Station </w:t>
      </w:r>
      <w:r w:rsidR="001D1BF9">
        <w:t>WCHW-FM, Bay City, Michigan</w:t>
      </w:r>
      <w:r w:rsidRPr="00474268">
        <w:t xml:space="preserve"> (Station), for apparently willfully violating section 73.3539 of the Commission’s rules (Rules) by failing to timely file a license renewal application for the Station. </w:t>
      </w:r>
      <w:r w:rsidR="000820BC">
        <w:t xml:space="preserve"> </w:t>
      </w:r>
      <w:r w:rsidRPr="00474268">
        <w:t>As discussed below, we cancel the forfeiture and instead admonish Licensee for the violation.</w:t>
      </w:r>
    </w:p>
    <w:p w:rsidR="00474268" w:rsidRPr="00474268" w:rsidP="00474268" w14:paraId="37C5FDF1" w14:textId="77777777">
      <w:pPr>
        <w:pStyle w:val="Heading1"/>
      </w:pPr>
      <w:r w:rsidRPr="00474268">
        <w:t>BACKGROUND</w:t>
      </w:r>
    </w:p>
    <w:p w:rsidR="00A35A37" w:rsidRPr="00A35A37" w:rsidP="00A35A37" w14:paraId="7B557B47" w14:textId="7B0F0362">
      <w:pPr>
        <w:pStyle w:val="ParaNum"/>
      </w:pPr>
      <w:r w:rsidRPr="00A35A37">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4"/>
      </w:r>
      <w:r w:rsidRPr="00A35A37">
        <w:t xml:space="preserve">  </w:t>
      </w:r>
      <w:r w:rsidRPr="001D1BF9" w:rsidR="001D1BF9">
        <w:t>An application for renewal of the Station’s license should have been filed by June 1, 2020, the first business day of the fourth full calendar month prior to the Station’s October 1, 2020 license expiration date.</w:t>
      </w:r>
      <w:r>
        <w:rPr>
          <w:vertAlign w:val="superscript"/>
        </w:rPr>
        <w:footnoteReference w:id="5"/>
      </w:r>
      <w:r w:rsidRPr="001D1BF9" w:rsidR="001D1BF9">
        <w:t xml:space="preserve"> </w:t>
      </w:r>
      <w:r w:rsidRPr="00A35A37">
        <w:t xml:space="preserve">The application was not filed until </w:t>
      </w:r>
      <w:r w:rsidR="001D1BF9">
        <w:t>September 29,</w:t>
      </w:r>
      <w:r w:rsidRPr="00A35A37">
        <w:t xml:space="preserve"> 2020.  The Licensee provided no explanation for its untimely filing of the application. </w:t>
      </w:r>
    </w:p>
    <w:p w:rsidR="00A35A37" w:rsidRPr="00A35A37" w:rsidP="00A35A37" w14:paraId="7ADC9538" w14:textId="051FE54F">
      <w:pPr>
        <w:pStyle w:val="ParaNum"/>
        <w:rPr>
          <w:szCs w:val="22"/>
        </w:rPr>
      </w:pPr>
      <w:r w:rsidRPr="002007ED">
        <w:rPr>
          <w:szCs w:val="22"/>
        </w:rPr>
        <w:t xml:space="preserve">Accordingly, on </w:t>
      </w:r>
      <w:r w:rsidR="001D1BF9">
        <w:rPr>
          <w:szCs w:val="22"/>
        </w:rPr>
        <w:t>March 4</w:t>
      </w:r>
      <w:r>
        <w:rPr>
          <w:szCs w:val="22"/>
        </w:rPr>
        <w:t>, 2021</w:t>
      </w:r>
      <w:r w:rsidRPr="002007ED">
        <w:rPr>
          <w:szCs w:val="22"/>
        </w:rPr>
        <w:t xml:space="preserve">, we released the </w:t>
      </w:r>
      <w:r w:rsidRPr="002007ED">
        <w:rPr>
          <w:i/>
          <w:iCs/>
          <w:szCs w:val="22"/>
        </w:rPr>
        <w:t>NAL</w:t>
      </w:r>
      <w:r w:rsidRPr="002007ED">
        <w:rPr>
          <w:szCs w:val="22"/>
        </w:rPr>
        <w:t xml:space="preserve">, which proposed a forfeiture of </w:t>
      </w:r>
      <w:r w:rsidR="00C4039E">
        <w:rPr>
          <w:szCs w:val="22"/>
        </w:rPr>
        <w:t>three thousand</w:t>
      </w:r>
      <w:r>
        <w:rPr>
          <w:szCs w:val="22"/>
        </w:rPr>
        <w:t xml:space="preserve"> </w:t>
      </w:r>
      <w:r w:rsidRPr="002007ED">
        <w:rPr>
          <w:szCs w:val="22"/>
        </w:rPr>
        <w:t>dollars ($</w:t>
      </w:r>
      <w:r w:rsidR="00C4039E">
        <w:rPr>
          <w:szCs w:val="22"/>
        </w:rPr>
        <w:t>3,0</w:t>
      </w:r>
      <w:r w:rsidRPr="002007ED">
        <w:rPr>
          <w:szCs w:val="22"/>
        </w:rPr>
        <w:t xml:space="preserve">00).  The </w:t>
      </w:r>
      <w:r w:rsidRPr="002007ED">
        <w:rPr>
          <w:i/>
          <w:szCs w:val="22"/>
        </w:rPr>
        <w:t>NAL</w:t>
      </w:r>
      <w:r w:rsidRPr="002007ED">
        <w:rPr>
          <w:szCs w:val="22"/>
        </w:rPr>
        <w:t xml:space="preserve"> gave the Licensee thirty days to pay the full amount of the proposed forfeiture or file a written statement seeking reduction or cancellation of the proposed forfeiture.</w:t>
      </w:r>
      <w:r>
        <w:rPr>
          <w:rStyle w:val="FootnoteReference"/>
          <w:szCs w:val="22"/>
        </w:rPr>
        <w:footnoteReference w:id="6"/>
      </w:r>
      <w:r w:rsidRPr="002007ED">
        <w:rPr>
          <w:szCs w:val="22"/>
        </w:rPr>
        <w:t xml:space="preserve">  </w:t>
      </w:r>
    </w:p>
    <w:p w:rsidR="00A35A37" w:rsidRPr="00474268" w:rsidP="009E197B" w14:paraId="6B57184B" w14:textId="3DCB4335">
      <w:pPr>
        <w:pStyle w:val="ParaNum"/>
        <w:widowControl/>
      </w:pPr>
      <w:r w:rsidRPr="00A35A37">
        <w:t xml:space="preserve">On </w:t>
      </w:r>
      <w:r w:rsidR="001D1BF9">
        <w:t xml:space="preserve">March 30, </w:t>
      </w:r>
      <w:r w:rsidRPr="00A35A37">
        <w:t>2021, the Licensee submitted a written response in which</w:t>
      </w:r>
      <w:r w:rsidR="00A308E9">
        <w:t xml:space="preserve"> it explains that, due to restrictions associated with the COVID-19 pandemic, its employees did not have access to the Station</w:t>
      </w:r>
      <w:r w:rsidR="00A45187">
        <w:t>—located inside a school—</w:t>
      </w:r>
      <w:r w:rsidR="00417684">
        <w:t>from March 12</w:t>
      </w:r>
      <w:r w:rsidR="009E197B">
        <w:t>,</w:t>
      </w:r>
      <w:r w:rsidR="00417684">
        <w:t xml:space="preserve"> 2020, </w:t>
      </w:r>
      <w:r w:rsidR="00A308E9">
        <w:t>until June 24, 2020</w:t>
      </w:r>
      <w:r w:rsidRPr="00A35A37">
        <w:t>.</w:t>
      </w:r>
      <w:r>
        <w:rPr>
          <w:vertAlign w:val="superscript"/>
        </w:rPr>
        <w:footnoteReference w:id="7"/>
      </w:r>
      <w:r w:rsidR="00A308E9">
        <w:t xml:space="preserve">  Licensee further states that it was under the impression that</w:t>
      </w:r>
      <w:r w:rsidR="009E197B">
        <w:t xml:space="preserve"> the filing deadline for the renewal application was July 1, 2020, and believed that</w:t>
      </w:r>
      <w:r w:rsidR="00A308E9">
        <w:t xml:space="preserve"> it had </w:t>
      </w:r>
      <w:r w:rsidR="001D1BF9">
        <w:t>filed its renewal application on June 29, 2020, but then received an emai</w:t>
      </w:r>
      <w:r w:rsidR="005C158B">
        <w:t>l</w:t>
      </w:r>
      <w:r w:rsidR="001D1BF9">
        <w:t xml:space="preserve"> on </w:t>
      </w:r>
      <w:r w:rsidR="001D1BF9">
        <w:t>September 3, 2020,</w:t>
      </w:r>
      <w:r w:rsidR="005C158B">
        <w:t xml:space="preserve"> from the Bureau staff informing Licensee</w:t>
      </w:r>
      <w:r w:rsidR="001D1BF9">
        <w:t xml:space="preserve"> that </w:t>
      </w:r>
      <w:r w:rsidR="005C158B">
        <w:t>the Commission had not received an application.</w:t>
      </w:r>
      <w:r>
        <w:rPr>
          <w:rStyle w:val="FootnoteReference"/>
        </w:rPr>
        <w:footnoteReference w:id="8"/>
      </w:r>
      <w:r w:rsidR="005C158B">
        <w:t xml:space="preserve">  </w:t>
      </w:r>
    </w:p>
    <w:p w:rsidR="00474268" w:rsidRPr="00474268" w:rsidP="00474268" w14:paraId="7B531C69" w14:textId="77777777">
      <w:pPr>
        <w:pStyle w:val="Heading1"/>
      </w:pPr>
      <w:r w:rsidRPr="00474268">
        <w:t>DISCUSSION</w:t>
      </w:r>
    </w:p>
    <w:p w:rsidR="00474268" w:rsidRPr="00474268" w:rsidP="000820BC" w14:paraId="3E75D085" w14:textId="180B627D">
      <w:pPr>
        <w:pStyle w:val="ParaNum"/>
        <w:widowControl/>
      </w:pPr>
      <w:r>
        <w:t>Although Licensee was incorrect in its belief that the filing deadline was July 1, 2020, Licensee was nonetheless unable to file before the</w:t>
      </w:r>
      <w:r w:rsidR="005C158B">
        <w:t xml:space="preserve"> June 1, 2020</w:t>
      </w:r>
      <w:r w:rsidR="00417684">
        <w:t>,</w:t>
      </w:r>
      <w:r w:rsidR="005C158B">
        <w:t xml:space="preserve"> filing deadline </w:t>
      </w:r>
      <w:r>
        <w:t xml:space="preserve">because of its </w:t>
      </w:r>
      <w:r w:rsidR="005C158B">
        <w:t xml:space="preserve">inability to access </w:t>
      </w:r>
      <w:r w:rsidR="00417684">
        <w:t>the Station</w:t>
      </w:r>
      <w:r w:rsidR="005C158B">
        <w:t xml:space="preserve"> </w:t>
      </w:r>
      <w:r>
        <w:t>during the</w:t>
      </w:r>
      <w:r w:rsidR="005C158B">
        <w:t xml:space="preserve"> COVID-19 </w:t>
      </w:r>
      <w:r>
        <w:t xml:space="preserve">school closure.  </w:t>
      </w:r>
      <w:r w:rsidR="00C20621">
        <w:t>However</w:t>
      </w:r>
      <w:r w:rsidR="001D1BF9">
        <w:t>, t</w:t>
      </w:r>
      <w:r w:rsidR="007045EC">
        <w:t>he staff has reviewed the Licensee’s account in the Commission’s database, LMS, and determined that several renewal applications were begun on June 29, 2020, but none was filed—all remain in “saved” status.  Licensee misunderstood our electronic filing procedures and erroneously assumed that it submitted a timely filed renewal application</w:t>
      </w:r>
      <w:r w:rsidR="009E197B">
        <w:t xml:space="preserve">.  </w:t>
      </w:r>
      <w:r w:rsidRPr="003E5642" w:rsidR="007045EC">
        <w:t xml:space="preserve">Therefore, the failure to </w:t>
      </w:r>
      <w:r w:rsidR="00417684">
        <w:t>promptly</w:t>
      </w:r>
      <w:r w:rsidR="00C20621">
        <w:t xml:space="preserve"> and correctly</w:t>
      </w:r>
      <w:r w:rsidRPr="003E5642" w:rsidR="007045EC">
        <w:t xml:space="preserve"> file the renewal application </w:t>
      </w:r>
      <w:r w:rsidR="00417684">
        <w:t xml:space="preserve">following the reopening of the Station </w:t>
      </w:r>
      <w:r w:rsidRPr="003E5642" w:rsidR="007045EC">
        <w:t>was due to Licensee’s own error.</w:t>
      </w:r>
      <w:r w:rsidR="00DC29B9">
        <w:t xml:space="preserve"> </w:t>
      </w:r>
      <w:r w:rsidR="007045EC">
        <w:t xml:space="preserve"> A</w:t>
      </w:r>
      <w:r w:rsidRPr="00442B7A" w:rsidR="007045EC">
        <w:t>s the Commission has held, violations resulting from inadvertent error or failure to become familiar with the FCC's requirements are willful violations.</w:t>
      </w:r>
      <w:r>
        <w:rPr>
          <w:rStyle w:val="FootnoteReference"/>
        </w:rPr>
        <w:footnoteReference w:id="9"/>
      </w:r>
      <w:r w:rsidRPr="00442B7A" w:rsidR="007045EC">
        <w:t xml:space="preserve"> </w:t>
      </w:r>
      <w:r w:rsidR="007045EC">
        <w:t xml:space="preserve"> </w:t>
      </w:r>
      <w:r w:rsidRPr="00442B7A" w:rsidR="007045EC">
        <w:t xml:space="preserve">Moreover, the Commission has specifically ruled that confusion or difficulties with the Commission's electronic filing system are not grounds for reduction </w:t>
      </w:r>
      <w:r w:rsidR="007045EC">
        <w:t>or cancellation of a forfeiture.</w:t>
      </w:r>
      <w:r>
        <w:rPr>
          <w:rStyle w:val="FootnoteReference"/>
        </w:rPr>
        <w:footnoteReference w:id="10"/>
      </w:r>
      <w:r w:rsidR="007045EC">
        <w:t xml:space="preserve">  </w:t>
      </w:r>
      <w:r w:rsidRPr="00442B7A" w:rsidR="007045EC">
        <w:t xml:space="preserve">Accordingly, </w:t>
      </w:r>
      <w:r w:rsidRPr="00474268">
        <w:t>we admonish Licensee for its willful violation of section 73.3539 of the Rules.</w:t>
      </w:r>
    </w:p>
    <w:p w:rsidR="00474268" w:rsidRPr="00474268" w:rsidP="00474268" w14:paraId="48CD5934" w14:textId="77777777">
      <w:pPr>
        <w:pStyle w:val="Heading1"/>
      </w:pPr>
      <w:r w:rsidRPr="00474268">
        <w:t>ORDERING CLAUSES</w:t>
      </w:r>
    </w:p>
    <w:p w:rsidR="00474268" w:rsidRPr="00474268" w:rsidP="00474268" w14:paraId="08E40665" w14:textId="46907402">
      <w:pPr>
        <w:pStyle w:val="ParaNum"/>
      </w:pPr>
      <w:r w:rsidRPr="00474268">
        <w:t xml:space="preserve">Accordingly, </w:t>
      </w:r>
      <w:r w:rsidRPr="00474268">
        <w:rPr>
          <w:b/>
        </w:rPr>
        <w:t>IT IS ORDERED</w:t>
      </w:r>
      <w:r w:rsidRPr="00474268">
        <w:t xml:space="preserve"> that, pursuant to section 504(b) of the Communications Act of 1934, as amended,</w:t>
      </w:r>
      <w:r>
        <w:rPr>
          <w:vertAlign w:val="superscript"/>
        </w:rPr>
        <w:footnoteReference w:id="11"/>
      </w:r>
      <w:r w:rsidRPr="00474268">
        <w:t xml:space="preserve">  and sections 0.61, 0.283, and 1.80(f)(4) of the Commission’s rules,</w:t>
      </w:r>
      <w:r>
        <w:rPr>
          <w:vertAlign w:val="superscript"/>
        </w:rPr>
        <w:footnoteReference w:id="12"/>
      </w:r>
      <w:r w:rsidRPr="00474268">
        <w:t xml:space="preserve">  the Notice of Apparent Liability for a Forfeiture (NAL/Acct. No. MB-20</w:t>
      </w:r>
      <w:r w:rsidR="000D54FB">
        <w:t>21</w:t>
      </w:r>
      <w:r w:rsidRPr="00474268">
        <w:t>414100</w:t>
      </w:r>
      <w:r w:rsidR="00853A4D">
        <w:t>19</w:t>
      </w:r>
      <w:r w:rsidRPr="00474268">
        <w:t xml:space="preserve">) issued to </w:t>
      </w:r>
      <w:r w:rsidRPr="008A6011" w:rsidR="008A6011">
        <w:rPr>
          <w:bCs/>
        </w:rPr>
        <w:t>School District, Bay City</w:t>
      </w:r>
      <w:r w:rsidRPr="008A6011" w:rsidR="008A6011">
        <w:t xml:space="preserve"> </w:t>
      </w:r>
      <w:r w:rsidRPr="00474268">
        <w:rPr>
          <w:b/>
        </w:rPr>
        <w:t xml:space="preserve">IS CANCELLED </w:t>
      </w:r>
      <w:r w:rsidRPr="00474268">
        <w:t xml:space="preserve">and that </w:t>
      </w:r>
      <w:r w:rsidRPr="008A6011" w:rsidR="008A6011">
        <w:rPr>
          <w:bCs/>
        </w:rPr>
        <w:t>School District, Bay City</w:t>
      </w:r>
      <w:r w:rsidRPr="008A6011" w:rsidR="008A6011">
        <w:t xml:space="preserve"> </w:t>
      </w:r>
      <w:r w:rsidRPr="00474268">
        <w:t xml:space="preserve">is instead </w:t>
      </w:r>
      <w:r w:rsidRPr="00474268">
        <w:rPr>
          <w:b/>
        </w:rPr>
        <w:t>HEREBY ADMONISHED</w:t>
      </w:r>
      <w:r w:rsidRPr="00474268">
        <w:t xml:space="preserve"> for its violation of section 73.3539 of the Commission’s rules.</w:t>
      </w:r>
    </w:p>
    <w:p w:rsidR="0032346C" w:rsidRPr="0032346C" w:rsidP="0032346C" w14:paraId="5BFB4F98" w14:textId="667BDE69">
      <w:pPr>
        <w:pStyle w:val="ParaNum"/>
      </w:pPr>
      <w:r w:rsidRPr="009D02C8">
        <w:rPr>
          <w:b/>
          <w:bCs/>
        </w:rPr>
        <w:t>IT IS FURTHER ORDERED</w:t>
      </w:r>
      <w:r w:rsidRPr="00D426DF">
        <w:t xml:space="preserve"> that</w:t>
      </w:r>
      <w:r>
        <w:t xml:space="preserve"> </w:t>
      </w:r>
      <w:r w:rsidRPr="001172AD">
        <w:t xml:space="preserve">the application for renewal of license filed by </w:t>
      </w:r>
      <w:r w:rsidRPr="008A6011" w:rsidR="008A6011">
        <w:rPr>
          <w:bCs/>
        </w:rPr>
        <w:t>School District, Bay City</w:t>
      </w:r>
      <w:r w:rsidRPr="001172AD">
        <w:t xml:space="preserve"> for </w:t>
      </w:r>
      <w:r w:rsidR="00C35831">
        <w:t xml:space="preserve">Station </w:t>
      </w:r>
      <w:r w:rsidR="00853A4D">
        <w:t>WCHW-FM, Bay City, Michigan</w:t>
      </w:r>
      <w:r w:rsidRPr="001172AD">
        <w:t xml:space="preserve"> (File No. </w:t>
      </w:r>
      <w:r w:rsidRPr="00A35A37" w:rsidR="00A35A37">
        <w:t>0000</w:t>
      </w:r>
      <w:r w:rsidR="00C35831">
        <w:t>1</w:t>
      </w:r>
      <w:r w:rsidR="00853A4D">
        <w:t>22730</w:t>
      </w:r>
      <w:r>
        <w:t>)</w:t>
      </w:r>
      <w:r w:rsidRPr="001172AD">
        <w:t xml:space="preserve"> </w:t>
      </w:r>
      <w:r w:rsidRPr="001172AD">
        <w:rPr>
          <w:b/>
          <w:bCs/>
        </w:rPr>
        <w:t>IS GRANTED</w:t>
      </w:r>
      <w:r w:rsidRPr="001172AD">
        <w:t>.</w:t>
      </w:r>
    </w:p>
    <w:p w:rsidR="008A6011" w:rsidP="009E197B" w14:paraId="06589E39" w14:textId="77777777">
      <w:pPr>
        <w:pStyle w:val="ParaNum"/>
        <w:keepNext/>
        <w:keepLines/>
        <w:widowControl/>
      </w:pPr>
      <w:r w:rsidRPr="00594F74">
        <w:rPr>
          <w:b/>
          <w:bCs/>
        </w:rPr>
        <w:t>IT IS FURTHER ORDERED</w:t>
      </w:r>
      <w:r w:rsidRPr="007C7A60">
        <w:t xml:space="preserve"> that copies of this </w:t>
      </w:r>
      <w:r>
        <w:t xml:space="preserve">Notice of Apparent Liability for Forfeiture </w:t>
      </w:r>
      <w:r w:rsidRPr="007C7A60">
        <w:t>shall be sent by First Class and Certified Mail, Return Receipt Requested, to</w:t>
      </w:r>
      <w:r>
        <w:t xml:space="preserve"> Bryan Bishop, Bay City Public Schools, PO Box 48708, Bay City, MI 48708.</w:t>
      </w:r>
    </w:p>
    <w:p w:rsidR="00474268" w:rsidP="009E197B" w14:paraId="603478A5" w14:textId="77777777">
      <w:pPr>
        <w:keepNext/>
        <w:keepLines/>
        <w:widowControl/>
      </w:pPr>
      <w:r>
        <w:tab/>
      </w:r>
      <w:r>
        <w:tab/>
      </w:r>
      <w:r>
        <w:tab/>
      </w:r>
      <w:r>
        <w:tab/>
      </w:r>
      <w:r>
        <w:tab/>
      </w:r>
      <w:r>
        <w:tab/>
        <w:t>FEDERAL COMMUNICATIONS COMMISSION</w:t>
      </w:r>
    </w:p>
    <w:p w:rsidR="00474268" w:rsidP="009E197B" w14:paraId="58054BA0" w14:textId="77777777">
      <w:pPr>
        <w:keepNext/>
        <w:keepLines/>
        <w:widowControl/>
      </w:pPr>
    </w:p>
    <w:p w:rsidR="00474268" w:rsidP="009E197B" w14:paraId="5E33125D" w14:textId="77777777">
      <w:pPr>
        <w:keepNext/>
        <w:keepLines/>
        <w:widowControl/>
      </w:pPr>
    </w:p>
    <w:p w:rsidR="00474268" w:rsidP="009E197B" w14:paraId="6854606F" w14:textId="77777777">
      <w:pPr>
        <w:keepNext/>
        <w:keepLines/>
        <w:widowControl/>
      </w:pPr>
    </w:p>
    <w:p w:rsidR="00474268" w:rsidP="009E197B" w14:paraId="08047CB0" w14:textId="77777777">
      <w:pPr>
        <w:keepNext/>
        <w:keepLines/>
        <w:widowControl/>
      </w:pPr>
    </w:p>
    <w:p w:rsidR="00474268" w:rsidRPr="00474268" w:rsidP="009E197B" w14:paraId="01D1FC07" w14:textId="77777777">
      <w:pPr>
        <w:keepNext/>
        <w:keepLines/>
        <w:widowControl/>
      </w:pPr>
      <w:r>
        <w:tab/>
      </w:r>
      <w:r>
        <w:tab/>
      </w:r>
      <w:r>
        <w:tab/>
      </w:r>
      <w:r>
        <w:tab/>
      </w:r>
      <w:r>
        <w:tab/>
      </w:r>
      <w:r>
        <w:tab/>
      </w:r>
      <w:r w:rsidRPr="00474268">
        <w:t>Albert Shuldiner</w:t>
      </w:r>
    </w:p>
    <w:p w:rsidR="00474268" w:rsidRPr="00474268" w:rsidP="009E197B" w14:paraId="6FBE402D" w14:textId="77777777">
      <w:pPr>
        <w:keepNext/>
        <w:keepLines/>
        <w:widowControl/>
      </w:pPr>
      <w:r w:rsidRPr="00474268">
        <w:tab/>
      </w:r>
      <w:r w:rsidRPr="00474268">
        <w:tab/>
      </w:r>
      <w:r w:rsidRPr="00474268">
        <w:tab/>
      </w:r>
      <w:r w:rsidRPr="00474268">
        <w:tab/>
      </w:r>
      <w:r w:rsidRPr="00474268">
        <w:tab/>
      </w:r>
      <w:r w:rsidRPr="00474268">
        <w:tab/>
        <w:t>Chief, Audio Division</w:t>
      </w:r>
    </w:p>
    <w:p w:rsidR="00474268" w:rsidRPr="00474268" w:rsidP="009E197B" w14:paraId="70B101EC" w14:textId="77777777">
      <w:pPr>
        <w:keepNext/>
        <w:keepLines/>
        <w:widowControl/>
      </w:pPr>
      <w:r w:rsidRPr="00474268">
        <w:tab/>
      </w:r>
      <w:r w:rsidRPr="00474268">
        <w:tab/>
      </w:r>
      <w:r w:rsidRPr="00474268">
        <w:tab/>
      </w:r>
      <w:r w:rsidRPr="00474268">
        <w:tab/>
      </w:r>
      <w:r w:rsidRPr="00474268">
        <w:tab/>
      </w:r>
      <w:r w:rsidRPr="00474268">
        <w:tab/>
        <w:t>Media Bureau</w:t>
      </w:r>
    </w:p>
    <w:p w:rsidR="00412FC5" w:rsidP="00474268" w14:paraId="57346F82" w14:textId="51A3AA2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55614C" w14:paraId="7010C0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35A37" w14:paraId="4DC5EF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4334824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A35A37" w14:paraId="5076903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14:paraId="6BEAC3B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5A37" w14:paraId="11A6B81A" w14:textId="77777777">
      <w:r>
        <w:separator/>
      </w:r>
    </w:p>
  </w:footnote>
  <w:footnote w:type="continuationSeparator" w:id="1">
    <w:p w:rsidR="00A35A37" w:rsidP="00C721AC" w14:paraId="244E93D3" w14:textId="77777777">
      <w:pPr>
        <w:spacing w:before="120"/>
        <w:rPr>
          <w:sz w:val="20"/>
        </w:rPr>
      </w:pPr>
      <w:r>
        <w:rPr>
          <w:sz w:val="20"/>
        </w:rPr>
        <w:t xml:space="preserve">(Continued from previous page)  </w:t>
      </w:r>
      <w:r>
        <w:rPr>
          <w:sz w:val="20"/>
        </w:rPr>
        <w:separator/>
      </w:r>
    </w:p>
  </w:footnote>
  <w:footnote w:type="continuationNotice" w:id="2">
    <w:p w:rsidR="00A35A37" w:rsidP="00C721AC" w14:paraId="4416648B" w14:textId="77777777">
      <w:pPr>
        <w:jc w:val="right"/>
        <w:rPr>
          <w:sz w:val="20"/>
        </w:rPr>
      </w:pPr>
      <w:r>
        <w:rPr>
          <w:sz w:val="20"/>
        </w:rPr>
        <w:t>(continued….)</w:t>
      </w:r>
    </w:p>
  </w:footnote>
  <w:footnote w:id="3">
    <w:p w:rsidR="00A35A37" w:rsidP="00474268" w14:paraId="66339738" w14:textId="6BFED30D">
      <w:pPr>
        <w:pStyle w:val="FootnoteText"/>
      </w:pPr>
      <w:r>
        <w:rPr>
          <w:rStyle w:val="FootnoteReference"/>
        </w:rPr>
        <w:footnoteRef/>
      </w:r>
      <w:r>
        <w:t xml:space="preserve"> </w:t>
      </w:r>
      <w:r w:rsidR="001D1BF9">
        <w:rPr>
          <w:i/>
          <w:iCs/>
        </w:rPr>
        <w:t>School District, Bay City</w:t>
      </w:r>
      <w:r w:rsidRPr="00474268">
        <w:rPr>
          <w:i/>
          <w:iCs/>
        </w:rPr>
        <w:t xml:space="preserve">, </w:t>
      </w:r>
      <w:r w:rsidRPr="00474268">
        <w:t>Memorandum Opinion and Order and Notice of Apparent Liability for Forfeiture, DA 21-</w:t>
      </w:r>
      <w:r w:rsidR="001D1BF9">
        <w:t>259</w:t>
      </w:r>
      <w:r w:rsidRPr="00474268">
        <w:t xml:space="preserve"> (MB </w:t>
      </w:r>
      <w:r w:rsidR="001D1BF9">
        <w:t>Mar. 4</w:t>
      </w:r>
      <w:r w:rsidRPr="00474268">
        <w:t>, 2021).</w:t>
      </w:r>
    </w:p>
  </w:footnote>
  <w:footnote w:id="4">
    <w:p w:rsidR="00A35A37" w:rsidRPr="00E1189A" w:rsidP="00A35A37" w14:paraId="2B5DD898" w14:textId="6B3A2F48">
      <w:pPr>
        <w:pStyle w:val="FootnoteText"/>
      </w:pPr>
      <w:r w:rsidRPr="000725CB">
        <w:rPr>
          <w:rStyle w:val="FootnoteReference"/>
        </w:rPr>
        <w:footnoteRef/>
      </w:r>
      <w:r w:rsidRPr="000725CB">
        <w:t xml:space="preserve"> </w:t>
      </w:r>
      <w:r w:rsidRPr="00C35831" w:rsidR="00C35831">
        <w:t>47</w:t>
      </w:r>
      <w:r w:rsidRPr="000725CB">
        <w:t xml:space="preserve"> </w:t>
      </w:r>
      <w:r w:rsidRPr="0067463B" w:rsidR="0067463B">
        <w:t xml:space="preserve">CFR </w:t>
      </w:r>
      <w:r w:rsidRPr="000725CB">
        <w:t>§ 73.3539(a).</w:t>
      </w:r>
      <w:r>
        <w:t xml:space="preserve">  </w:t>
      </w:r>
    </w:p>
  </w:footnote>
  <w:footnote w:id="5">
    <w:p w:rsidR="001D1BF9" w:rsidRPr="00FF7A3C" w:rsidP="001D1BF9" w14:paraId="656D06F4"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p>
  </w:footnote>
  <w:footnote w:id="6">
    <w:p w:rsidR="00A35A37" w:rsidP="00A35A37" w14:paraId="7C97985E" w14:textId="66A953D3">
      <w:pPr>
        <w:pStyle w:val="FootnoteText"/>
      </w:pPr>
      <w:r>
        <w:rPr>
          <w:rStyle w:val="FootnoteReference"/>
        </w:rPr>
        <w:footnoteRef/>
      </w:r>
      <w:r>
        <w:t xml:space="preserve"> </w:t>
      </w:r>
      <w:r w:rsidR="000820BC">
        <w:rPr>
          <w:i/>
          <w:iCs/>
        </w:rPr>
        <w:t>NAL</w:t>
      </w:r>
      <w:r>
        <w:t xml:space="preserve"> at </w:t>
      </w:r>
      <w:r w:rsidR="000820BC">
        <w:t xml:space="preserve">3, </w:t>
      </w:r>
      <w:r>
        <w:t xml:space="preserve">para. </w:t>
      </w:r>
      <w:r w:rsidR="00D46AC2">
        <w:t>9</w:t>
      </w:r>
      <w:r>
        <w:t>.</w:t>
      </w:r>
    </w:p>
  </w:footnote>
  <w:footnote w:id="7">
    <w:p w:rsidR="00CB34AF" w:rsidRPr="0072332E" w:rsidP="00CB34AF" w14:paraId="5DF8D74C" w14:textId="0C4D7863">
      <w:pPr>
        <w:pStyle w:val="FootnoteText"/>
      </w:pPr>
      <w:r>
        <w:rPr>
          <w:rStyle w:val="FootnoteReference"/>
        </w:rPr>
        <w:footnoteRef/>
      </w:r>
      <w:r>
        <w:t xml:space="preserve"> </w:t>
      </w:r>
      <w:r w:rsidRPr="00CC03DE">
        <w:t>Response</w:t>
      </w:r>
      <w:r>
        <w:t xml:space="preserve"> to Notice of Apparent Liability for Forfeiture of </w:t>
      </w:r>
      <w:r w:rsidR="00C35831">
        <w:t>Blount</w:t>
      </w:r>
      <w:r>
        <w:t xml:space="preserve"> County Broadcastin</w:t>
      </w:r>
      <w:r w:rsidR="00C35831">
        <w:t>g Corp</w:t>
      </w:r>
      <w:r>
        <w:t>. (</w:t>
      </w:r>
      <w:r w:rsidR="00C35831">
        <w:t>received</w:t>
      </w:r>
      <w:r>
        <w:t xml:space="preserve"> </w:t>
      </w:r>
      <w:r w:rsidR="001D1BF9">
        <w:t xml:space="preserve">Mar. </w:t>
      </w:r>
      <w:r w:rsidR="001D1BF9">
        <w:t>30</w:t>
      </w:r>
      <w:r>
        <w:t xml:space="preserve"> 2021) (</w:t>
      </w:r>
      <w:r w:rsidRPr="0072332E">
        <w:t>Response).</w:t>
      </w:r>
      <w:r>
        <w:t xml:space="preserve"> </w:t>
      </w:r>
    </w:p>
  </w:footnote>
  <w:footnote w:id="8">
    <w:p w:rsidR="005C158B" w:rsidRPr="005C158B" w14:paraId="73EA750F" w14:textId="088C16C4">
      <w:pPr>
        <w:pStyle w:val="FootnoteText"/>
      </w:pPr>
      <w:r>
        <w:rPr>
          <w:rStyle w:val="FootnoteReference"/>
        </w:rPr>
        <w:footnoteRef/>
      </w:r>
      <w:r>
        <w:t xml:space="preserve"> </w:t>
      </w:r>
      <w:r>
        <w:rPr>
          <w:i/>
          <w:iCs/>
        </w:rPr>
        <w:t>Id</w:t>
      </w:r>
      <w:r>
        <w:t>.</w:t>
      </w:r>
    </w:p>
  </w:footnote>
  <w:footnote w:id="9">
    <w:p w:rsidR="007045EC" w:rsidRPr="004A5F29" w:rsidP="007045EC" w14:paraId="1C618583" w14:textId="3E6A4C71">
      <w:pPr>
        <w:pStyle w:val="FootnoteText"/>
      </w:pPr>
      <w:r w:rsidRPr="004A5F29">
        <w:rPr>
          <w:rStyle w:val="FootnoteReference"/>
        </w:rPr>
        <w:footnoteRef/>
      </w:r>
      <w:r w:rsidRPr="004A5F29">
        <w:t xml:space="preserve"> </w:t>
      </w:r>
      <w:r w:rsidRPr="004A5F29">
        <w:rPr>
          <w:i/>
        </w:rPr>
        <w:t xml:space="preserve">See </w:t>
      </w:r>
      <w:r w:rsidRPr="004A5F29">
        <w:rPr>
          <w:i/>
          <w:iCs/>
        </w:rPr>
        <w:t>S</w:t>
      </w:r>
      <w:r>
        <w:rPr>
          <w:i/>
          <w:iCs/>
        </w:rPr>
        <w:t>.</w:t>
      </w:r>
      <w:r w:rsidRPr="004A5F29">
        <w:rPr>
          <w:i/>
          <w:iCs/>
        </w:rPr>
        <w:t xml:space="preserve"> California Broad</w:t>
      </w:r>
      <w:r>
        <w:rPr>
          <w:i/>
          <w:iCs/>
        </w:rPr>
        <w:t>.</w:t>
      </w:r>
      <w:r w:rsidRPr="004A5F29">
        <w:rPr>
          <w:i/>
          <w:iCs/>
        </w:rPr>
        <w:t xml:space="preserve"> Co.,</w:t>
      </w:r>
      <w:r w:rsidRPr="004A5F29">
        <w:t xml:space="preserve"> Memorandum Opinion and Order, </w:t>
      </w:r>
      <w:r w:rsidRPr="00417684">
        <w:t xml:space="preserve">6 FCC </w:t>
      </w:r>
      <w:r w:rsidRPr="00417684">
        <w:t>Rcd</w:t>
      </w:r>
      <w:r w:rsidRPr="00417684">
        <w:t xml:space="preserve"> 4387, 4387</w:t>
      </w:r>
      <w:r w:rsidR="009E197B">
        <w:t>, para. 3</w:t>
      </w:r>
      <w:r w:rsidRPr="00417684">
        <w:t xml:space="preserve"> (1991)</w:t>
      </w:r>
      <w:r w:rsidRPr="004A5F29">
        <w:t xml:space="preserve">, </w:t>
      </w:r>
      <w:r w:rsidRPr="004A5F29">
        <w:rPr>
          <w:i/>
          <w:iCs/>
        </w:rPr>
        <w:t>recon. denied,</w:t>
      </w:r>
      <w:r w:rsidRPr="004A5F29">
        <w:t xml:space="preserve"> </w:t>
      </w:r>
      <w:r w:rsidR="00417684">
        <w:t xml:space="preserve">Memorandum Opinion and Order, </w:t>
      </w:r>
      <w:r w:rsidRPr="00417684">
        <w:t xml:space="preserve">7 FCC </w:t>
      </w:r>
      <w:r w:rsidRPr="00417684">
        <w:t>Rcd</w:t>
      </w:r>
      <w:r w:rsidRPr="00417684">
        <w:t xml:space="preserve"> 3454 (1992)</w:t>
      </w:r>
      <w:r w:rsidRPr="004A5F29">
        <w:t xml:space="preserve"> (stating that “inadvertence ... is at best, ignorance of the law, which the Commission does not consider a mitigating circumstance”); </w:t>
      </w:r>
      <w:r w:rsidRPr="004A5F29">
        <w:rPr>
          <w:i/>
          <w:iCs/>
        </w:rPr>
        <w:t xml:space="preserve">Standard </w:t>
      </w:r>
      <w:r w:rsidRPr="000343D3">
        <w:rPr>
          <w:i/>
          <w:iCs/>
        </w:rPr>
        <w:t>Comm’cns</w:t>
      </w:r>
      <w:r>
        <w:rPr>
          <w:i/>
          <w:iCs/>
        </w:rPr>
        <w:t xml:space="preserve"> </w:t>
      </w:r>
      <w:r w:rsidRPr="004A5F29">
        <w:rPr>
          <w:i/>
          <w:iCs/>
        </w:rPr>
        <w:t>Corp.,</w:t>
      </w:r>
      <w:r w:rsidRPr="004A5F29">
        <w:t xml:space="preserve"> Memorandum Opinion and Order, </w:t>
      </w:r>
      <w:r w:rsidRPr="00417684">
        <w:t xml:space="preserve">1 FCC </w:t>
      </w:r>
      <w:r w:rsidRPr="00417684">
        <w:t>Rcd</w:t>
      </w:r>
      <w:r w:rsidRPr="00417684">
        <w:t xml:space="preserve"> 358, 358 (1986)</w:t>
      </w:r>
      <w:r w:rsidRPr="004A5F29">
        <w:t xml:space="preserve"> (stating that “employee acts or omissions, such as clerical errors in failing to file required forms, do not excuse violations”).</w:t>
      </w:r>
    </w:p>
  </w:footnote>
  <w:footnote w:id="10">
    <w:p w:rsidR="007045EC" w:rsidRPr="004A5F29" w:rsidP="007045EC" w14:paraId="644BB0EE" w14:textId="5851D38C">
      <w:pPr>
        <w:pStyle w:val="FootnoteText"/>
      </w:pPr>
      <w:r w:rsidRPr="004A5F29">
        <w:rPr>
          <w:rStyle w:val="FootnoteReference"/>
        </w:rPr>
        <w:footnoteRef/>
      </w:r>
      <w:r w:rsidRPr="004A5F29">
        <w:t xml:space="preserve"> </w:t>
      </w:r>
      <w:r w:rsidRPr="00417684">
        <w:rPr>
          <w:i/>
          <w:iCs/>
        </w:rPr>
        <w:t xml:space="preserve">See </w:t>
      </w:r>
      <w:r w:rsidRPr="00417684">
        <w:rPr>
          <w:i/>
        </w:rPr>
        <w:t>Ritenour Consol. School Dist.</w:t>
      </w:r>
      <w:r w:rsidRPr="00417684">
        <w:t xml:space="preserve">, Forfeiture Order, 25 FCC </w:t>
      </w:r>
      <w:r w:rsidRPr="00417684">
        <w:t>Rcd</w:t>
      </w:r>
      <w:r w:rsidRPr="00417684">
        <w:t xml:space="preserve"> 3266, 3267, para. 5 (MB 2010) (</w:t>
      </w:r>
      <w:r w:rsidRPr="00417684">
        <w:rPr>
          <w:i/>
        </w:rPr>
        <w:t>Ritenour</w:t>
      </w:r>
      <w:r w:rsidRPr="00417684">
        <w:t>)</w:t>
      </w:r>
      <w:r w:rsidRPr="00417684">
        <w:rPr>
          <w:i/>
        </w:rPr>
        <w:t xml:space="preserve"> </w:t>
      </w:r>
      <w:r w:rsidRPr="00417684">
        <w:t xml:space="preserve">(rejecting </w:t>
      </w:r>
      <w:r w:rsidR="00DC29B9">
        <w:t>licensee</w:t>
      </w:r>
      <w:r w:rsidRPr="00417684">
        <w:t xml:space="preserve">’s argument that it thought renewal application was timely filed because it was in “pending” status); </w:t>
      </w:r>
      <w:r w:rsidRPr="00417684">
        <w:rPr>
          <w:i/>
          <w:iCs/>
        </w:rPr>
        <w:t>Muskegon Training and Educ. Center,</w:t>
      </w:r>
      <w:r w:rsidRPr="00417684">
        <w:t xml:space="preserve"> Forfeiture Order, 23 FCC </w:t>
      </w:r>
      <w:r w:rsidRPr="00417684">
        <w:t>Rcd</w:t>
      </w:r>
      <w:r w:rsidRPr="00417684">
        <w:t xml:space="preserve"> 11241, 11242-43, para. 6 (MB 2008)</w:t>
      </w:r>
      <w:r w:rsidRPr="00417684">
        <w:rPr>
          <w:rStyle w:val="Hyperlink"/>
          <w:color w:val="auto"/>
          <w:u w:val="none"/>
        </w:rPr>
        <w:t xml:space="preserve"> (same)</w:t>
      </w:r>
      <w:r w:rsidRPr="00417684">
        <w:t>.</w:t>
      </w:r>
    </w:p>
  </w:footnote>
  <w:footnote w:id="11">
    <w:p w:rsidR="00A35A37" w:rsidP="00474268" w14:paraId="47D8359C" w14:textId="77777777">
      <w:pPr>
        <w:pStyle w:val="FootnoteText"/>
      </w:pPr>
      <w:r>
        <w:rPr>
          <w:rStyle w:val="FootnoteReference"/>
        </w:rPr>
        <w:footnoteRef/>
      </w:r>
      <w:r>
        <w:t xml:space="preserve"> </w:t>
      </w:r>
      <w:r w:rsidRPr="005A3217">
        <w:t>47 U.S.C. § 504(b).</w:t>
      </w:r>
    </w:p>
  </w:footnote>
  <w:footnote w:id="12">
    <w:p w:rsidR="00A35A37" w:rsidP="00474268" w14:paraId="4C8D86C0"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C86E24E" w14:textId="42AD5BFB">
    <w:pPr>
      <w:pStyle w:val="Header"/>
      <w:rPr>
        <w:b w:val="0"/>
      </w:rPr>
    </w:pPr>
    <w:r>
      <w:tab/>
      <w:t>Federal Communications Commission</w:t>
    </w:r>
    <w:r>
      <w:tab/>
    </w:r>
    <w:r w:rsidR="009A69FB">
      <w:t>DA 21-439</w:t>
    </w:r>
  </w:p>
  <w:p w:rsidR="00A35A37" w14:paraId="1DA48FA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A35A37" w14:paraId="4D27877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A37" w:rsidP="00810B6F" w14:paraId="3FCDC295" w14:textId="423AB58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21-439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54C89A8"/>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43D3"/>
    <w:rsid w:val="00036039"/>
    <w:rsid w:val="00037F90"/>
    <w:rsid w:val="000725CB"/>
    <w:rsid w:val="000820BC"/>
    <w:rsid w:val="000875BF"/>
    <w:rsid w:val="00096D8C"/>
    <w:rsid w:val="000C0B65"/>
    <w:rsid w:val="000D54FB"/>
    <w:rsid w:val="000E05FE"/>
    <w:rsid w:val="000E3D42"/>
    <w:rsid w:val="001172AD"/>
    <w:rsid w:val="00122BD5"/>
    <w:rsid w:val="00133F79"/>
    <w:rsid w:val="00194A66"/>
    <w:rsid w:val="001D1BF9"/>
    <w:rsid w:val="001D6BCF"/>
    <w:rsid w:val="001E01CA"/>
    <w:rsid w:val="002007ED"/>
    <w:rsid w:val="002546D1"/>
    <w:rsid w:val="00275CF5"/>
    <w:rsid w:val="0028301F"/>
    <w:rsid w:val="00285017"/>
    <w:rsid w:val="002A2D2E"/>
    <w:rsid w:val="002C00E8"/>
    <w:rsid w:val="0032346C"/>
    <w:rsid w:val="00343749"/>
    <w:rsid w:val="003660ED"/>
    <w:rsid w:val="003B0550"/>
    <w:rsid w:val="003B694F"/>
    <w:rsid w:val="003E5642"/>
    <w:rsid w:val="003F171C"/>
    <w:rsid w:val="00412FC5"/>
    <w:rsid w:val="00417684"/>
    <w:rsid w:val="00422276"/>
    <w:rsid w:val="004242F1"/>
    <w:rsid w:val="00442B7A"/>
    <w:rsid w:val="00445A00"/>
    <w:rsid w:val="00451B0F"/>
    <w:rsid w:val="00474268"/>
    <w:rsid w:val="004A5F29"/>
    <w:rsid w:val="004C2EE3"/>
    <w:rsid w:val="004E4A22"/>
    <w:rsid w:val="00511968"/>
    <w:rsid w:val="0055614C"/>
    <w:rsid w:val="00566D06"/>
    <w:rsid w:val="00594F74"/>
    <w:rsid w:val="005A3217"/>
    <w:rsid w:val="005C158B"/>
    <w:rsid w:val="005E14C2"/>
    <w:rsid w:val="00607BA5"/>
    <w:rsid w:val="0061180A"/>
    <w:rsid w:val="00626EB6"/>
    <w:rsid w:val="00655D03"/>
    <w:rsid w:val="00660F53"/>
    <w:rsid w:val="0067463B"/>
    <w:rsid w:val="00683388"/>
    <w:rsid w:val="00683F84"/>
    <w:rsid w:val="006A6A81"/>
    <w:rsid w:val="006F7393"/>
    <w:rsid w:val="0070224F"/>
    <w:rsid w:val="007045EC"/>
    <w:rsid w:val="007115F7"/>
    <w:rsid w:val="0072332E"/>
    <w:rsid w:val="00785689"/>
    <w:rsid w:val="0079754B"/>
    <w:rsid w:val="007A1E6D"/>
    <w:rsid w:val="007B0EB2"/>
    <w:rsid w:val="007C7A60"/>
    <w:rsid w:val="00810B6F"/>
    <w:rsid w:val="00822CE0"/>
    <w:rsid w:val="00841AB1"/>
    <w:rsid w:val="00853A4D"/>
    <w:rsid w:val="008A6011"/>
    <w:rsid w:val="008C68F1"/>
    <w:rsid w:val="00921803"/>
    <w:rsid w:val="00926503"/>
    <w:rsid w:val="009726D8"/>
    <w:rsid w:val="009A69FB"/>
    <w:rsid w:val="009D02C8"/>
    <w:rsid w:val="009D7308"/>
    <w:rsid w:val="009E197B"/>
    <w:rsid w:val="009F76DB"/>
    <w:rsid w:val="00A308E9"/>
    <w:rsid w:val="00A32C3B"/>
    <w:rsid w:val="00A35A37"/>
    <w:rsid w:val="00A45187"/>
    <w:rsid w:val="00A45F4F"/>
    <w:rsid w:val="00A600A9"/>
    <w:rsid w:val="00AA55B7"/>
    <w:rsid w:val="00AA5B9E"/>
    <w:rsid w:val="00AB2407"/>
    <w:rsid w:val="00AB53DF"/>
    <w:rsid w:val="00B07E5C"/>
    <w:rsid w:val="00B55C67"/>
    <w:rsid w:val="00B811F7"/>
    <w:rsid w:val="00BA5DC6"/>
    <w:rsid w:val="00BA6196"/>
    <w:rsid w:val="00BC6D8C"/>
    <w:rsid w:val="00C20621"/>
    <w:rsid w:val="00C34006"/>
    <w:rsid w:val="00C35831"/>
    <w:rsid w:val="00C36B4C"/>
    <w:rsid w:val="00C4039E"/>
    <w:rsid w:val="00C426B1"/>
    <w:rsid w:val="00C66160"/>
    <w:rsid w:val="00C721AC"/>
    <w:rsid w:val="00C90D6A"/>
    <w:rsid w:val="00CA247E"/>
    <w:rsid w:val="00CA6D21"/>
    <w:rsid w:val="00CB34AF"/>
    <w:rsid w:val="00CC03DE"/>
    <w:rsid w:val="00CC72B6"/>
    <w:rsid w:val="00CF0BDA"/>
    <w:rsid w:val="00D0218D"/>
    <w:rsid w:val="00D25FB5"/>
    <w:rsid w:val="00D426DF"/>
    <w:rsid w:val="00D44223"/>
    <w:rsid w:val="00D46AC2"/>
    <w:rsid w:val="00DA2529"/>
    <w:rsid w:val="00DB130A"/>
    <w:rsid w:val="00DB2EBB"/>
    <w:rsid w:val="00DC10A1"/>
    <w:rsid w:val="00DC29B9"/>
    <w:rsid w:val="00DC655F"/>
    <w:rsid w:val="00DD0B59"/>
    <w:rsid w:val="00DD7EBD"/>
    <w:rsid w:val="00DF62B6"/>
    <w:rsid w:val="00E07225"/>
    <w:rsid w:val="00E1189A"/>
    <w:rsid w:val="00E5409F"/>
    <w:rsid w:val="00EE6488"/>
    <w:rsid w:val="00F021FA"/>
    <w:rsid w:val="00F62E97"/>
    <w:rsid w:val="00F64209"/>
    <w:rsid w:val="00F93BF5"/>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030558"/>
  <w15:chartTrackingRefBased/>
  <w15:docId w15:val="{D25AB962-DF1D-44EF-AEB7-992E861C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9FB"/>
    <w:pPr>
      <w:widowControl w:val="0"/>
    </w:pPr>
    <w:rPr>
      <w:snapToGrid w:val="0"/>
      <w:kern w:val="28"/>
      <w:sz w:val="22"/>
    </w:rPr>
  </w:style>
  <w:style w:type="paragraph" w:styleId="Heading1">
    <w:name w:val="heading 1"/>
    <w:basedOn w:val="Normal"/>
    <w:next w:val="ParaNum"/>
    <w:qFormat/>
    <w:rsid w:val="009A69F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69FB"/>
    <w:pPr>
      <w:keepNext/>
      <w:numPr>
        <w:ilvl w:val="1"/>
        <w:numId w:val="3"/>
      </w:numPr>
      <w:spacing w:after="120"/>
      <w:outlineLvl w:val="1"/>
    </w:pPr>
    <w:rPr>
      <w:b/>
    </w:rPr>
  </w:style>
  <w:style w:type="paragraph" w:styleId="Heading3">
    <w:name w:val="heading 3"/>
    <w:basedOn w:val="Normal"/>
    <w:next w:val="ParaNum"/>
    <w:qFormat/>
    <w:rsid w:val="009A69FB"/>
    <w:pPr>
      <w:keepNext/>
      <w:numPr>
        <w:ilvl w:val="2"/>
        <w:numId w:val="3"/>
      </w:numPr>
      <w:tabs>
        <w:tab w:val="left" w:pos="2160"/>
      </w:tabs>
      <w:spacing w:after="120"/>
      <w:outlineLvl w:val="2"/>
    </w:pPr>
    <w:rPr>
      <w:b/>
    </w:rPr>
  </w:style>
  <w:style w:type="paragraph" w:styleId="Heading4">
    <w:name w:val="heading 4"/>
    <w:basedOn w:val="Normal"/>
    <w:next w:val="ParaNum"/>
    <w:qFormat/>
    <w:rsid w:val="009A69FB"/>
    <w:pPr>
      <w:keepNext/>
      <w:numPr>
        <w:ilvl w:val="3"/>
        <w:numId w:val="3"/>
      </w:numPr>
      <w:tabs>
        <w:tab w:val="left" w:pos="2880"/>
      </w:tabs>
      <w:spacing w:after="120"/>
      <w:outlineLvl w:val="3"/>
    </w:pPr>
    <w:rPr>
      <w:b/>
    </w:rPr>
  </w:style>
  <w:style w:type="paragraph" w:styleId="Heading5">
    <w:name w:val="heading 5"/>
    <w:basedOn w:val="Normal"/>
    <w:next w:val="ParaNum"/>
    <w:qFormat/>
    <w:rsid w:val="009A69F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69FB"/>
    <w:pPr>
      <w:numPr>
        <w:ilvl w:val="5"/>
        <w:numId w:val="3"/>
      </w:numPr>
      <w:tabs>
        <w:tab w:val="left" w:pos="4320"/>
      </w:tabs>
      <w:spacing w:after="120"/>
      <w:outlineLvl w:val="5"/>
    </w:pPr>
    <w:rPr>
      <w:b/>
    </w:rPr>
  </w:style>
  <w:style w:type="paragraph" w:styleId="Heading7">
    <w:name w:val="heading 7"/>
    <w:basedOn w:val="Normal"/>
    <w:next w:val="ParaNum"/>
    <w:qFormat/>
    <w:rsid w:val="009A69F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69F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69F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69F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69FB"/>
  </w:style>
  <w:style w:type="paragraph" w:customStyle="1" w:styleId="ParaNum">
    <w:name w:val="ParaNum"/>
    <w:basedOn w:val="Normal"/>
    <w:link w:val="ParaNumChar"/>
    <w:rsid w:val="009A69FB"/>
    <w:pPr>
      <w:numPr>
        <w:numId w:val="2"/>
      </w:numPr>
      <w:tabs>
        <w:tab w:val="clear" w:pos="1080"/>
        <w:tab w:val="num" w:pos="1440"/>
      </w:tabs>
      <w:spacing w:after="120"/>
    </w:pPr>
  </w:style>
  <w:style w:type="paragraph" w:styleId="EndnoteText">
    <w:name w:val="endnote text"/>
    <w:basedOn w:val="Normal"/>
    <w:semiHidden/>
    <w:rsid w:val="009A69FB"/>
    <w:rPr>
      <w:sz w:val="20"/>
    </w:rPr>
  </w:style>
  <w:style w:type="character" w:styleId="EndnoteReference">
    <w:name w:val="endnote reference"/>
    <w:semiHidden/>
    <w:rsid w:val="009A69FB"/>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9A69F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9A69FB"/>
    <w:rPr>
      <w:rFonts w:ascii="Times New Roman" w:hAnsi="Times New Roman"/>
      <w:dstrike w:val="0"/>
      <w:color w:val="auto"/>
      <w:sz w:val="20"/>
      <w:vertAlign w:val="superscript"/>
    </w:rPr>
  </w:style>
  <w:style w:type="paragraph" w:styleId="TOC1">
    <w:name w:val="toc 1"/>
    <w:basedOn w:val="Normal"/>
    <w:next w:val="Normal"/>
    <w:semiHidden/>
    <w:rsid w:val="009A69F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69FB"/>
    <w:pPr>
      <w:tabs>
        <w:tab w:val="left" w:pos="720"/>
        <w:tab w:val="right" w:leader="dot" w:pos="9360"/>
      </w:tabs>
      <w:suppressAutoHyphens/>
      <w:ind w:left="720" w:right="720" w:hanging="360"/>
    </w:pPr>
    <w:rPr>
      <w:noProof/>
    </w:rPr>
  </w:style>
  <w:style w:type="paragraph" w:styleId="TOC3">
    <w:name w:val="toc 3"/>
    <w:basedOn w:val="Normal"/>
    <w:next w:val="Normal"/>
    <w:semiHidden/>
    <w:rsid w:val="009A69F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69F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69F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69F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69F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69F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69FB"/>
    <w:pPr>
      <w:tabs>
        <w:tab w:val="left" w:pos="3240"/>
        <w:tab w:val="right" w:leader="dot" w:pos="9360"/>
      </w:tabs>
      <w:suppressAutoHyphens/>
      <w:ind w:left="3240" w:hanging="360"/>
    </w:pPr>
    <w:rPr>
      <w:noProof/>
    </w:rPr>
  </w:style>
  <w:style w:type="paragraph" w:styleId="TOAHeading">
    <w:name w:val="toa heading"/>
    <w:basedOn w:val="Normal"/>
    <w:next w:val="Normal"/>
    <w:rsid w:val="009A69FB"/>
    <w:pPr>
      <w:tabs>
        <w:tab w:val="right" w:pos="9360"/>
      </w:tabs>
      <w:suppressAutoHyphens/>
    </w:pPr>
  </w:style>
  <w:style w:type="character" w:customStyle="1" w:styleId="EquationCaption">
    <w:name w:val="_Equation Caption"/>
    <w:rsid w:val="009A69FB"/>
  </w:style>
  <w:style w:type="paragraph" w:styleId="Header">
    <w:name w:val="header"/>
    <w:basedOn w:val="Normal"/>
    <w:autoRedefine/>
    <w:rsid w:val="009A69FB"/>
    <w:pPr>
      <w:tabs>
        <w:tab w:val="center" w:pos="4680"/>
        <w:tab w:val="right" w:pos="9360"/>
      </w:tabs>
    </w:pPr>
    <w:rPr>
      <w:b/>
    </w:rPr>
  </w:style>
  <w:style w:type="paragraph" w:styleId="Footer">
    <w:name w:val="footer"/>
    <w:basedOn w:val="Normal"/>
    <w:link w:val="FooterChar"/>
    <w:uiPriority w:val="99"/>
    <w:rsid w:val="009A69FB"/>
    <w:pPr>
      <w:tabs>
        <w:tab w:val="center" w:pos="4320"/>
        <w:tab w:val="right" w:pos="8640"/>
      </w:tabs>
    </w:pPr>
  </w:style>
  <w:style w:type="character" w:styleId="PageNumber">
    <w:name w:val="page number"/>
    <w:basedOn w:val="DefaultParagraphFont"/>
    <w:rsid w:val="009A69FB"/>
  </w:style>
  <w:style w:type="paragraph" w:styleId="BlockText">
    <w:name w:val="Block Text"/>
    <w:basedOn w:val="Normal"/>
    <w:rsid w:val="009A69FB"/>
    <w:pPr>
      <w:spacing w:after="240"/>
      <w:ind w:left="1440" w:right="1440"/>
    </w:pPr>
  </w:style>
  <w:style w:type="paragraph" w:customStyle="1" w:styleId="Paratitle">
    <w:name w:val="Para title"/>
    <w:basedOn w:val="Normal"/>
    <w:rsid w:val="009A69FB"/>
    <w:pPr>
      <w:tabs>
        <w:tab w:val="center" w:pos="9270"/>
      </w:tabs>
      <w:spacing w:after="240"/>
    </w:pPr>
    <w:rPr>
      <w:spacing w:val="-2"/>
    </w:rPr>
  </w:style>
  <w:style w:type="paragraph" w:customStyle="1" w:styleId="Bullet">
    <w:name w:val="Bullet"/>
    <w:basedOn w:val="Normal"/>
    <w:rsid w:val="009A69FB"/>
    <w:pPr>
      <w:tabs>
        <w:tab w:val="left" w:pos="2160"/>
      </w:tabs>
      <w:spacing w:after="220"/>
      <w:ind w:left="2160" w:hanging="720"/>
    </w:pPr>
  </w:style>
  <w:style w:type="paragraph" w:customStyle="1" w:styleId="TableFormat">
    <w:name w:val="TableFormat"/>
    <w:basedOn w:val="Bullet"/>
    <w:rsid w:val="009A69FB"/>
    <w:pPr>
      <w:tabs>
        <w:tab w:val="clear" w:pos="2160"/>
        <w:tab w:val="left" w:pos="5040"/>
      </w:tabs>
      <w:ind w:left="5040" w:hanging="3600"/>
    </w:pPr>
  </w:style>
  <w:style w:type="paragraph" w:customStyle="1" w:styleId="TOCTitle">
    <w:name w:val="TOC Title"/>
    <w:basedOn w:val="Normal"/>
    <w:rsid w:val="009A69F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69FB"/>
    <w:pPr>
      <w:jc w:val="center"/>
    </w:pPr>
    <w:rPr>
      <w:rFonts w:ascii="Times New Roman Bold" w:hAnsi="Times New Roman Bold"/>
      <w:b/>
      <w:bCs/>
      <w:caps/>
      <w:szCs w:val="22"/>
    </w:rPr>
  </w:style>
  <w:style w:type="character" w:styleId="Hyperlink">
    <w:name w:val="Hyperlink"/>
    <w:rsid w:val="009A69FB"/>
    <w:rPr>
      <w:color w:val="0000FF"/>
      <w:u w:val="single"/>
    </w:rPr>
  </w:style>
  <w:style w:type="character" w:customStyle="1" w:styleId="FooterChar">
    <w:name w:val="Footer Char"/>
    <w:link w:val="Footer"/>
    <w:uiPriority w:val="99"/>
    <w:rsid w:val="009A69FB"/>
    <w:rPr>
      <w:snapToGrid w:val="0"/>
      <w:kern w:val="28"/>
      <w:sz w:val="22"/>
    </w:rPr>
  </w:style>
  <w:style w:type="character" w:customStyle="1" w:styleId="ParaNumChar">
    <w:name w:val="ParaNum Char"/>
    <w:link w:val="ParaNum"/>
    <w:rsid w:val="0047426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A35A37"/>
  </w:style>
  <w:style w:type="paragraph" w:styleId="BalloonText">
    <w:name w:val="Balloon Text"/>
    <w:basedOn w:val="Normal"/>
    <w:link w:val="BalloonTextChar"/>
    <w:rsid w:val="00B55C67"/>
    <w:rPr>
      <w:rFonts w:ascii="Segoe UI" w:hAnsi="Segoe UI" w:cs="Segoe UI"/>
      <w:sz w:val="18"/>
      <w:szCs w:val="18"/>
    </w:rPr>
  </w:style>
  <w:style w:type="character" w:customStyle="1" w:styleId="BalloonTextChar">
    <w:name w:val="Balloon Text Char"/>
    <w:basedOn w:val="DefaultParagraphFont"/>
    <w:link w:val="BalloonText"/>
    <w:rsid w:val="00B55C6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