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2007ED" w:rsidP="004756DA" w14:paraId="4F1C79DE" w14:textId="77777777">
      <w:pPr>
        <w:jc w:val="center"/>
        <w:rPr>
          <w:b/>
          <w:szCs w:val="22"/>
        </w:rPr>
      </w:pPr>
      <w:r w:rsidRPr="002007ED">
        <w:rPr>
          <w:b/>
          <w:szCs w:val="22"/>
        </w:rPr>
        <w:t>Before the</w:t>
      </w:r>
    </w:p>
    <w:p w:rsidR="004756DA" w:rsidRPr="002007ED" w:rsidP="004756DA" w14:paraId="127C21E0" w14:textId="77777777">
      <w:pPr>
        <w:jc w:val="center"/>
        <w:rPr>
          <w:b/>
          <w:szCs w:val="22"/>
        </w:rPr>
      </w:pPr>
      <w:r w:rsidRPr="002007ED">
        <w:rPr>
          <w:b/>
          <w:szCs w:val="22"/>
        </w:rPr>
        <w:t>Federal Communications Commission</w:t>
      </w:r>
    </w:p>
    <w:p w:rsidR="004756DA" w:rsidRPr="002007ED" w:rsidP="004756DA" w14:paraId="3F2C5B40" w14:textId="77777777">
      <w:pPr>
        <w:jc w:val="center"/>
        <w:rPr>
          <w:b/>
          <w:szCs w:val="22"/>
        </w:rPr>
      </w:pPr>
      <w:r w:rsidRPr="002007ED">
        <w:rPr>
          <w:b/>
          <w:szCs w:val="22"/>
        </w:rPr>
        <w:t>Washington, D.C. 20554</w:t>
      </w:r>
    </w:p>
    <w:p w:rsidR="004756DA" w:rsidRPr="002007ED" w:rsidP="004756DA" w14:paraId="23B58E07" w14:textId="77777777">
      <w:pPr>
        <w:rPr>
          <w:szCs w:val="22"/>
        </w:rPr>
      </w:pPr>
    </w:p>
    <w:tbl>
      <w:tblPr>
        <w:tblW w:w="9648" w:type="dxa"/>
        <w:tblLayout w:type="fixed"/>
        <w:tblLook w:val="0000"/>
      </w:tblPr>
      <w:tblGrid>
        <w:gridCol w:w="4698"/>
        <w:gridCol w:w="720"/>
        <w:gridCol w:w="4230"/>
      </w:tblGrid>
      <w:tr w14:paraId="2278A3D3" w14:textId="77777777" w:rsidTr="000C1190">
        <w:tblPrEx>
          <w:tblW w:w="9648" w:type="dxa"/>
          <w:tblLayout w:type="fixed"/>
          <w:tblLook w:val="0000"/>
        </w:tblPrEx>
        <w:tc>
          <w:tcPr>
            <w:tcW w:w="4698" w:type="dxa"/>
          </w:tcPr>
          <w:p w:rsidR="004756DA" w:rsidRPr="002007ED" w:rsidP="000C1190" w14:paraId="07166BFA" w14:textId="77777777">
            <w:pPr>
              <w:ind w:right="-18"/>
              <w:rPr>
                <w:szCs w:val="22"/>
              </w:rPr>
            </w:pPr>
            <w:r w:rsidRPr="002007ED">
              <w:rPr>
                <w:szCs w:val="22"/>
              </w:rPr>
              <w:t xml:space="preserve">In re </w:t>
            </w:r>
            <w:r w:rsidRPr="002007ED" w:rsidR="00EA24F5">
              <w:rPr>
                <w:szCs w:val="22"/>
              </w:rPr>
              <w:t>Application of</w:t>
            </w:r>
            <w:r w:rsidRPr="002007ED">
              <w:rPr>
                <w:szCs w:val="22"/>
              </w:rPr>
              <w:t xml:space="preserve">  </w:t>
            </w:r>
          </w:p>
          <w:p w:rsidR="004756DA" w:rsidRPr="002007ED" w:rsidP="000C1190" w14:paraId="0239099A" w14:textId="77777777">
            <w:pPr>
              <w:ind w:right="-18"/>
              <w:rPr>
                <w:szCs w:val="22"/>
              </w:rPr>
            </w:pPr>
          </w:p>
          <w:p w:rsidR="001751AB" w:rsidRPr="002007ED" w:rsidP="001751AB" w14:paraId="079A0663" w14:textId="06352BF1">
            <w:pPr>
              <w:ind w:right="-18"/>
              <w:rPr>
                <w:bCs/>
                <w:szCs w:val="22"/>
              </w:rPr>
            </w:pPr>
            <w:r w:rsidRPr="002007ED">
              <w:rPr>
                <w:bCs/>
                <w:szCs w:val="22"/>
              </w:rPr>
              <w:t>Imani Communications Corporation, Inc.</w:t>
            </w:r>
          </w:p>
          <w:p w:rsidR="001751AB" w:rsidRPr="002007ED" w:rsidP="001751AB" w14:paraId="3AF3B066" w14:textId="77777777">
            <w:pPr>
              <w:ind w:right="-18"/>
              <w:rPr>
                <w:szCs w:val="22"/>
              </w:rPr>
            </w:pPr>
          </w:p>
          <w:p w:rsidR="001751AB" w:rsidRPr="002007ED" w:rsidP="001751AB" w14:paraId="31C307E1" w14:textId="77777777">
            <w:pPr>
              <w:ind w:right="-18"/>
              <w:rPr>
                <w:szCs w:val="22"/>
              </w:rPr>
            </w:pPr>
            <w:r w:rsidRPr="002007ED">
              <w:rPr>
                <w:szCs w:val="22"/>
              </w:rPr>
              <w:t>For Renewal of License for</w:t>
            </w:r>
          </w:p>
          <w:p w:rsidR="001751AB" w:rsidRPr="002007ED" w:rsidP="001751AB" w14:paraId="22121FE0" w14:textId="20B36912">
            <w:pPr>
              <w:ind w:right="-18"/>
              <w:rPr>
                <w:szCs w:val="22"/>
              </w:rPr>
            </w:pPr>
            <w:r w:rsidRPr="002007ED">
              <w:rPr>
                <w:szCs w:val="22"/>
              </w:rPr>
              <w:t xml:space="preserve">Station </w:t>
            </w:r>
            <w:r w:rsidRPr="002007ED" w:rsidR="00213FBD">
              <w:rPr>
                <w:szCs w:val="22"/>
              </w:rPr>
              <w:t>WBFZ</w:t>
            </w:r>
            <w:r w:rsidRPr="002007ED">
              <w:rPr>
                <w:szCs w:val="22"/>
              </w:rPr>
              <w:t>(FM)</w:t>
            </w:r>
          </w:p>
          <w:p w:rsidR="004756DA" w:rsidRPr="002007ED" w:rsidP="001751AB" w14:paraId="0045DF9D" w14:textId="55BE362B">
            <w:pPr>
              <w:ind w:right="-18"/>
              <w:rPr>
                <w:szCs w:val="22"/>
              </w:rPr>
            </w:pPr>
            <w:r w:rsidRPr="002007ED">
              <w:rPr>
                <w:szCs w:val="22"/>
              </w:rPr>
              <w:t>Selma</w:t>
            </w:r>
            <w:r w:rsidRPr="002007ED" w:rsidR="001751AB">
              <w:rPr>
                <w:szCs w:val="22"/>
              </w:rPr>
              <w:t xml:space="preserve">, </w:t>
            </w:r>
            <w:r w:rsidRPr="002007ED">
              <w:rPr>
                <w:szCs w:val="22"/>
              </w:rPr>
              <w:t>Alabama</w:t>
            </w:r>
            <w:r w:rsidRPr="002007ED" w:rsidR="001751AB">
              <w:rPr>
                <w:szCs w:val="22"/>
              </w:rPr>
              <w:t xml:space="preserve"> </w:t>
            </w:r>
          </w:p>
          <w:p w:rsidR="004756DA" w:rsidRPr="002007ED" w:rsidP="000C1190" w14:paraId="13A03E7D" w14:textId="0F8A1BE9">
            <w:pPr>
              <w:ind w:right="-18"/>
              <w:rPr>
                <w:b/>
                <w:szCs w:val="22"/>
              </w:rPr>
            </w:pPr>
          </w:p>
        </w:tc>
        <w:tc>
          <w:tcPr>
            <w:tcW w:w="720" w:type="dxa"/>
          </w:tcPr>
          <w:p w:rsidR="004756DA" w:rsidRPr="002007ED" w:rsidP="000C1190" w14:paraId="0589FA96" w14:textId="77777777">
            <w:pPr>
              <w:rPr>
                <w:b/>
                <w:szCs w:val="22"/>
              </w:rPr>
            </w:pPr>
            <w:r w:rsidRPr="002007ED">
              <w:rPr>
                <w:b/>
                <w:szCs w:val="22"/>
              </w:rPr>
              <w:t>)</w:t>
            </w:r>
          </w:p>
          <w:p w:rsidR="004756DA" w:rsidRPr="002007ED" w:rsidP="000C1190" w14:paraId="195EFEAE" w14:textId="77777777">
            <w:pPr>
              <w:rPr>
                <w:b/>
                <w:szCs w:val="22"/>
              </w:rPr>
            </w:pPr>
            <w:r w:rsidRPr="002007ED">
              <w:rPr>
                <w:b/>
                <w:szCs w:val="22"/>
              </w:rPr>
              <w:t>)</w:t>
            </w:r>
          </w:p>
          <w:p w:rsidR="004756DA" w:rsidRPr="002007ED" w:rsidP="000C1190" w14:paraId="6C5D08FE" w14:textId="77777777">
            <w:pPr>
              <w:rPr>
                <w:b/>
                <w:szCs w:val="22"/>
              </w:rPr>
            </w:pPr>
            <w:r w:rsidRPr="002007ED">
              <w:rPr>
                <w:b/>
                <w:szCs w:val="22"/>
              </w:rPr>
              <w:t>)</w:t>
            </w:r>
          </w:p>
          <w:p w:rsidR="004756DA" w:rsidRPr="002007ED" w:rsidP="000C1190" w14:paraId="482EFBFA" w14:textId="77777777">
            <w:pPr>
              <w:rPr>
                <w:b/>
                <w:szCs w:val="22"/>
              </w:rPr>
            </w:pPr>
            <w:r w:rsidRPr="002007ED">
              <w:rPr>
                <w:b/>
                <w:szCs w:val="22"/>
              </w:rPr>
              <w:t>)</w:t>
            </w:r>
          </w:p>
          <w:p w:rsidR="004756DA" w:rsidRPr="002007ED" w:rsidP="000C1190" w14:paraId="4D85940A" w14:textId="77777777">
            <w:pPr>
              <w:rPr>
                <w:b/>
                <w:szCs w:val="22"/>
              </w:rPr>
            </w:pPr>
            <w:r w:rsidRPr="002007ED">
              <w:rPr>
                <w:b/>
                <w:szCs w:val="22"/>
              </w:rPr>
              <w:t>)</w:t>
            </w:r>
          </w:p>
          <w:p w:rsidR="004756DA" w:rsidRPr="002007ED" w:rsidP="000C1190" w14:paraId="188D24E4" w14:textId="77777777">
            <w:pPr>
              <w:rPr>
                <w:b/>
                <w:szCs w:val="22"/>
              </w:rPr>
            </w:pPr>
            <w:r w:rsidRPr="002007ED">
              <w:rPr>
                <w:b/>
                <w:szCs w:val="22"/>
              </w:rPr>
              <w:t>)</w:t>
            </w:r>
          </w:p>
          <w:p w:rsidR="009834E0" w:rsidRPr="002007ED" w:rsidP="000C1190" w14:paraId="79CD0FD3" w14:textId="77777777">
            <w:pPr>
              <w:rPr>
                <w:b/>
                <w:szCs w:val="22"/>
              </w:rPr>
            </w:pPr>
            <w:r w:rsidRPr="002007ED">
              <w:rPr>
                <w:b/>
                <w:szCs w:val="22"/>
              </w:rPr>
              <w:t>)</w:t>
            </w:r>
          </w:p>
          <w:p w:rsidR="00EA24F5" w:rsidRPr="002007ED" w:rsidP="000C1190" w14:paraId="4AE4F90E" w14:textId="746385AD">
            <w:pPr>
              <w:rPr>
                <w:b/>
                <w:szCs w:val="22"/>
              </w:rPr>
            </w:pPr>
          </w:p>
        </w:tc>
        <w:tc>
          <w:tcPr>
            <w:tcW w:w="4230" w:type="dxa"/>
          </w:tcPr>
          <w:p w:rsidR="004756DA" w:rsidRPr="002007ED" w:rsidP="000C1190" w14:paraId="4D335B09" w14:textId="77777777">
            <w:pPr>
              <w:rPr>
                <w:szCs w:val="22"/>
              </w:rPr>
            </w:pPr>
          </w:p>
          <w:p w:rsidR="004756DA" w:rsidRPr="002007ED" w:rsidP="000C1190" w14:paraId="46385703" w14:textId="77777777">
            <w:pPr>
              <w:rPr>
                <w:szCs w:val="22"/>
              </w:rPr>
            </w:pPr>
          </w:p>
          <w:p w:rsidR="008E3E6A" w:rsidRPr="002007ED" w:rsidP="008E3E6A" w14:paraId="146E1DD2" w14:textId="2A18D2E8">
            <w:pPr>
              <w:ind w:right="-18"/>
              <w:rPr>
                <w:b/>
                <w:szCs w:val="22"/>
              </w:rPr>
            </w:pPr>
            <w:r w:rsidRPr="002007ED">
              <w:rPr>
                <w:szCs w:val="22"/>
              </w:rPr>
              <w:t>Facility ID No.</w:t>
            </w:r>
            <w:r w:rsidRPr="002007ED">
              <w:rPr>
                <w:b/>
                <w:szCs w:val="22"/>
              </w:rPr>
              <w:t xml:space="preserve"> </w:t>
            </w:r>
            <w:r w:rsidRPr="002007ED" w:rsidR="005D2851">
              <w:rPr>
                <w:bCs/>
                <w:szCs w:val="22"/>
              </w:rPr>
              <w:t>81739</w:t>
            </w:r>
          </w:p>
          <w:p w:rsidR="008E3E6A" w:rsidRPr="002007ED" w:rsidP="008E3E6A" w14:paraId="5F7ABF07" w14:textId="35B3F8DE">
            <w:pPr>
              <w:rPr>
                <w:szCs w:val="22"/>
              </w:rPr>
            </w:pPr>
            <w:r w:rsidRPr="002007ED">
              <w:rPr>
                <w:szCs w:val="22"/>
              </w:rPr>
              <w:t>NAL/Acct. No.  MB-</w:t>
            </w:r>
            <w:r w:rsidRPr="002007ED" w:rsidR="005D2851">
              <w:rPr>
                <w:bCs/>
                <w:szCs w:val="22"/>
              </w:rPr>
              <w:t>202041410006</w:t>
            </w:r>
          </w:p>
          <w:p w:rsidR="008E3E6A" w:rsidRPr="002007ED" w:rsidP="008E3E6A" w14:paraId="02FF6329" w14:textId="7FEB30EB">
            <w:pPr>
              <w:rPr>
                <w:szCs w:val="22"/>
              </w:rPr>
            </w:pPr>
            <w:r w:rsidRPr="002007ED">
              <w:rPr>
                <w:szCs w:val="22"/>
              </w:rPr>
              <w:t xml:space="preserve">FRN:  </w:t>
            </w:r>
            <w:r w:rsidRPr="002007ED" w:rsidR="005D2851">
              <w:rPr>
                <w:szCs w:val="22"/>
              </w:rPr>
              <w:t>0007716624</w:t>
            </w:r>
          </w:p>
          <w:p w:rsidR="004756DA" w:rsidRPr="002007ED" w:rsidP="008E3E6A" w14:paraId="41A64382" w14:textId="5B6A1707">
            <w:pPr>
              <w:rPr>
                <w:szCs w:val="22"/>
              </w:rPr>
            </w:pPr>
            <w:r w:rsidRPr="002007ED">
              <w:rPr>
                <w:szCs w:val="22"/>
              </w:rPr>
              <w:t xml:space="preserve">File No. </w:t>
            </w:r>
            <w:r w:rsidRPr="002007ED" w:rsidR="005D2851">
              <w:rPr>
                <w:szCs w:val="22"/>
              </w:rPr>
              <w:t>0000108753</w:t>
            </w:r>
          </w:p>
        </w:tc>
      </w:tr>
    </w:tbl>
    <w:p w:rsidR="004756DA" w:rsidRPr="002007ED" w:rsidP="004756DA" w14:paraId="7C2E69A0" w14:textId="02362101">
      <w:pPr>
        <w:jc w:val="center"/>
        <w:rPr>
          <w:b/>
          <w:szCs w:val="22"/>
        </w:rPr>
      </w:pPr>
      <w:r w:rsidRPr="002007ED">
        <w:rPr>
          <w:b/>
          <w:szCs w:val="22"/>
        </w:rPr>
        <w:t>ORDER</w:t>
      </w:r>
    </w:p>
    <w:p w:rsidR="004756DA" w:rsidRPr="002007ED" w:rsidP="004756DA" w14:paraId="1B9714FD" w14:textId="77777777">
      <w:pPr>
        <w:tabs>
          <w:tab w:val="left" w:pos="5760"/>
        </w:tabs>
        <w:rPr>
          <w:szCs w:val="22"/>
        </w:rPr>
      </w:pPr>
    </w:p>
    <w:p w:rsidR="004756DA" w:rsidRPr="002007ED" w:rsidP="004756DA" w14:paraId="0E0CFD1D" w14:textId="008F17D7">
      <w:pPr>
        <w:tabs>
          <w:tab w:val="left" w:pos="5760"/>
        </w:tabs>
        <w:rPr>
          <w:b/>
          <w:szCs w:val="22"/>
        </w:rPr>
      </w:pPr>
      <w:r w:rsidRPr="002007ED">
        <w:rPr>
          <w:b/>
          <w:szCs w:val="22"/>
        </w:rPr>
        <w:t xml:space="preserve">Adopted:  </w:t>
      </w:r>
      <w:r w:rsidRPr="002007ED" w:rsidR="005D2851">
        <w:rPr>
          <w:b/>
          <w:szCs w:val="22"/>
        </w:rPr>
        <w:t>January</w:t>
      </w:r>
      <w:r w:rsidRPr="002007ED" w:rsidR="009D053D">
        <w:rPr>
          <w:b/>
          <w:szCs w:val="22"/>
        </w:rPr>
        <w:t xml:space="preserve"> </w:t>
      </w:r>
      <w:r w:rsidR="002816C4">
        <w:rPr>
          <w:b/>
          <w:szCs w:val="22"/>
        </w:rPr>
        <w:t>13</w:t>
      </w:r>
      <w:r w:rsidRPr="002007ED" w:rsidR="009D053D">
        <w:rPr>
          <w:b/>
          <w:szCs w:val="22"/>
        </w:rPr>
        <w:t xml:space="preserve">, </w:t>
      </w:r>
      <w:r w:rsidRPr="002007ED" w:rsidR="008C4F3D">
        <w:rPr>
          <w:b/>
          <w:szCs w:val="22"/>
        </w:rPr>
        <w:t>202</w:t>
      </w:r>
      <w:r w:rsidRPr="002007ED" w:rsidR="005D2851">
        <w:rPr>
          <w:b/>
          <w:szCs w:val="22"/>
        </w:rPr>
        <w:t>1</w:t>
      </w:r>
      <w:r w:rsidRPr="002007ED">
        <w:rPr>
          <w:b/>
          <w:szCs w:val="22"/>
        </w:rPr>
        <w:tab/>
        <w:t xml:space="preserve">Released:  </w:t>
      </w:r>
      <w:r w:rsidRPr="002007ED" w:rsidR="005D2851">
        <w:rPr>
          <w:b/>
          <w:szCs w:val="22"/>
        </w:rPr>
        <w:t>January</w:t>
      </w:r>
      <w:r w:rsidRPr="002007ED" w:rsidR="009D053D">
        <w:rPr>
          <w:b/>
          <w:szCs w:val="22"/>
        </w:rPr>
        <w:t xml:space="preserve"> </w:t>
      </w:r>
      <w:r w:rsidR="002816C4">
        <w:rPr>
          <w:b/>
          <w:szCs w:val="22"/>
        </w:rPr>
        <w:t>13</w:t>
      </w:r>
      <w:bookmarkStart w:id="0" w:name="_GoBack"/>
      <w:bookmarkEnd w:id="0"/>
      <w:r w:rsidRPr="002007ED" w:rsidR="009D053D">
        <w:rPr>
          <w:b/>
          <w:szCs w:val="22"/>
        </w:rPr>
        <w:t xml:space="preserve">, </w:t>
      </w:r>
      <w:r w:rsidRPr="002007ED" w:rsidR="008C4F3D">
        <w:rPr>
          <w:b/>
          <w:szCs w:val="22"/>
        </w:rPr>
        <w:t>202</w:t>
      </w:r>
      <w:r w:rsidRPr="002007ED" w:rsidR="005D2851">
        <w:rPr>
          <w:b/>
          <w:szCs w:val="22"/>
        </w:rPr>
        <w:t>1</w:t>
      </w:r>
    </w:p>
    <w:p w:rsidR="004756DA" w:rsidRPr="002007ED" w:rsidP="004756DA" w14:paraId="2356F4CA" w14:textId="77777777">
      <w:pPr>
        <w:tabs>
          <w:tab w:val="left" w:pos="5760"/>
        </w:tabs>
        <w:rPr>
          <w:b/>
          <w:szCs w:val="22"/>
        </w:rPr>
      </w:pPr>
    </w:p>
    <w:p w:rsidR="004756DA" w:rsidRPr="002007ED" w:rsidP="004756DA" w14:paraId="59F9A626" w14:textId="77777777">
      <w:pPr>
        <w:tabs>
          <w:tab w:val="left" w:pos="5760"/>
        </w:tabs>
        <w:rPr>
          <w:spacing w:val="-2"/>
          <w:szCs w:val="22"/>
        </w:rPr>
      </w:pPr>
      <w:r w:rsidRPr="002007ED">
        <w:rPr>
          <w:szCs w:val="22"/>
        </w:rPr>
        <w:t xml:space="preserve">By the Chief, </w:t>
      </w:r>
      <w:r w:rsidRPr="002007ED" w:rsidR="00475AB4">
        <w:rPr>
          <w:szCs w:val="22"/>
        </w:rPr>
        <w:t>Audio Division</w:t>
      </w:r>
      <w:r w:rsidRPr="002007ED" w:rsidR="00BF70C1">
        <w:rPr>
          <w:szCs w:val="22"/>
        </w:rPr>
        <w:t>, Media Bureau</w:t>
      </w:r>
      <w:r w:rsidRPr="002007ED">
        <w:rPr>
          <w:spacing w:val="-2"/>
          <w:szCs w:val="22"/>
        </w:rPr>
        <w:t>:</w:t>
      </w:r>
    </w:p>
    <w:p w:rsidR="007415F1" w:rsidRPr="002007ED" w:rsidP="007415F1" w14:paraId="0D3E7FA0" w14:textId="77777777">
      <w:pPr>
        <w:tabs>
          <w:tab w:val="left" w:pos="1080"/>
          <w:tab w:val="left" w:pos="5760"/>
        </w:tabs>
        <w:rPr>
          <w:spacing w:val="-2"/>
          <w:szCs w:val="22"/>
        </w:rPr>
      </w:pPr>
    </w:p>
    <w:p w:rsidR="005F3236" w:rsidRPr="002007ED" w:rsidP="005F3236" w14:paraId="312B41E3" w14:textId="0A65D0AC">
      <w:pPr>
        <w:pStyle w:val="Heading1"/>
        <w:rPr>
          <w:rFonts w:ascii="Times New Roman" w:hAnsi="Times New Roman"/>
          <w:szCs w:val="22"/>
        </w:rPr>
      </w:pPr>
      <w:r w:rsidRPr="002007ED">
        <w:rPr>
          <w:rFonts w:ascii="Times New Roman" w:hAnsi="Times New Roman"/>
          <w:szCs w:val="22"/>
        </w:rPr>
        <w:t>introduction</w:t>
      </w:r>
    </w:p>
    <w:p w:rsidR="00A15369" w:rsidRPr="002007ED" w:rsidP="00D0760B" w14:paraId="2A0D0ECB" w14:textId="0F5864A7">
      <w:pPr>
        <w:pStyle w:val="ParaNum"/>
        <w:rPr>
          <w:szCs w:val="22"/>
        </w:rPr>
      </w:pPr>
      <w:r w:rsidRPr="002007ED">
        <w:rPr>
          <w:szCs w:val="22"/>
        </w:rPr>
        <w:t xml:space="preserve">In this </w:t>
      </w:r>
      <w:r w:rsidRPr="002007ED">
        <w:rPr>
          <w:i/>
          <w:szCs w:val="22"/>
        </w:rPr>
        <w:t>Order</w:t>
      </w:r>
      <w:r w:rsidRPr="002007ED">
        <w:rPr>
          <w:szCs w:val="22"/>
        </w:rPr>
        <w:t>,</w:t>
      </w:r>
      <w:r w:rsidRPr="002007ED" w:rsidR="008C4F3D">
        <w:rPr>
          <w:szCs w:val="22"/>
        </w:rPr>
        <w:t xml:space="preserve"> on our own motion, we </w:t>
      </w:r>
      <w:r w:rsidRPr="002007ED" w:rsidR="005A40EE">
        <w:rPr>
          <w:szCs w:val="22"/>
        </w:rPr>
        <w:t>modify</w:t>
      </w:r>
      <w:r w:rsidRPr="002007ED">
        <w:rPr>
          <w:szCs w:val="22"/>
        </w:rPr>
        <w:t xml:space="preserve"> a </w:t>
      </w:r>
      <w:r w:rsidRPr="002007ED" w:rsidR="008C4F3D">
        <w:rPr>
          <w:i/>
          <w:iCs/>
          <w:szCs w:val="22"/>
        </w:rPr>
        <w:t>Forfeiture Order</w:t>
      </w:r>
      <w:r>
        <w:rPr>
          <w:rStyle w:val="FootnoteReference"/>
          <w:sz w:val="22"/>
          <w:szCs w:val="22"/>
        </w:rPr>
        <w:footnoteReference w:id="2"/>
      </w:r>
      <w:r w:rsidRPr="002007ED">
        <w:rPr>
          <w:szCs w:val="22"/>
        </w:rPr>
        <w:t xml:space="preserve"> issued to </w:t>
      </w:r>
      <w:r w:rsidRPr="002007ED" w:rsidR="005D2851">
        <w:rPr>
          <w:szCs w:val="22"/>
        </w:rPr>
        <w:t>Imani Communications Corporation, Inc.</w:t>
      </w:r>
      <w:r w:rsidRPr="002007ED" w:rsidR="008C4F3D">
        <w:rPr>
          <w:szCs w:val="22"/>
        </w:rPr>
        <w:t xml:space="preserve"> (Licensee)</w:t>
      </w:r>
      <w:r w:rsidRPr="002007ED">
        <w:rPr>
          <w:szCs w:val="22"/>
        </w:rPr>
        <w:t xml:space="preserve">, licensee of Station </w:t>
      </w:r>
      <w:r w:rsidRPr="002007ED" w:rsidR="005D2851">
        <w:rPr>
          <w:szCs w:val="22"/>
        </w:rPr>
        <w:t>WBFZ</w:t>
      </w:r>
      <w:r w:rsidRPr="002007ED">
        <w:rPr>
          <w:szCs w:val="22"/>
        </w:rPr>
        <w:t xml:space="preserve">(FM), </w:t>
      </w:r>
      <w:r w:rsidRPr="002007ED" w:rsidR="005D2851">
        <w:rPr>
          <w:szCs w:val="22"/>
        </w:rPr>
        <w:t>Selma</w:t>
      </w:r>
      <w:r w:rsidRPr="002007ED">
        <w:rPr>
          <w:szCs w:val="22"/>
        </w:rPr>
        <w:t xml:space="preserve">, </w:t>
      </w:r>
      <w:r w:rsidRPr="002007ED" w:rsidR="005D2851">
        <w:rPr>
          <w:szCs w:val="22"/>
        </w:rPr>
        <w:t>Alabama</w:t>
      </w:r>
      <w:r w:rsidRPr="002007ED">
        <w:rPr>
          <w:szCs w:val="22"/>
        </w:rPr>
        <w:t xml:space="preserve"> (Station).</w:t>
      </w:r>
      <w:r w:rsidRPr="002007ED" w:rsidR="008C4F3D">
        <w:rPr>
          <w:szCs w:val="22"/>
        </w:rPr>
        <w:t xml:space="preserve">  The </w:t>
      </w:r>
      <w:r w:rsidRPr="002007ED" w:rsidR="008C4F3D">
        <w:rPr>
          <w:i/>
          <w:iCs/>
          <w:szCs w:val="22"/>
        </w:rPr>
        <w:t>Forfeiture Order</w:t>
      </w:r>
      <w:r w:rsidRPr="002007ED" w:rsidR="00063599">
        <w:rPr>
          <w:szCs w:val="22"/>
        </w:rPr>
        <w:t xml:space="preserve"> incorrectly stated that </w:t>
      </w:r>
      <w:r w:rsidRPr="002007ED" w:rsidR="008C4F3D">
        <w:rPr>
          <w:szCs w:val="22"/>
        </w:rPr>
        <w:t xml:space="preserve">the Licensee had not </w:t>
      </w:r>
      <w:r w:rsidRPr="002007ED" w:rsidR="00D0760B">
        <w:rPr>
          <w:snapToGrid/>
          <w:kern w:val="0"/>
          <w:szCs w:val="22"/>
        </w:rPr>
        <w:t xml:space="preserve">filed a written statement in response to the </w:t>
      </w:r>
      <w:r w:rsidRPr="002007ED" w:rsidR="008C4F3D">
        <w:rPr>
          <w:i/>
          <w:iCs/>
          <w:szCs w:val="22"/>
        </w:rPr>
        <w:t>Memorandum Opinion and Order and Notice of Apparent Liability for Forfeiture</w:t>
      </w:r>
      <w:r w:rsidRPr="002007ED" w:rsidR="002D6CCE">
        <w:rPr>
          <w:szCs w:val="22"/>
        </w:rPr>
        <w:t xml:space="preserve"> (</w:t>
      </w:r>
      <w:r w:rsidRPr="002007ED" w:rsidR="002D6CCE">
        <w:rPr>
          <w:i/>
          <w:iCs/>
          <w:szCs w:val="22"/>
        </w:rPr>
        <w:t>NAL</w:t>
      </w:r>
      <w:r w:rsidRPr="002007ED" w:rsidR="002D6CCE">
        <w:rPr>
          <w:szCs w:val="22"/>
        </w:rPr>
        <w:t>)</w:t>
      </w:r>
      <w:r w:rsidRPr="002007ED" w:rsidR="00B205BF">
        <w:rPr>
          <w:i/>
          <w:iCs/>
          <w:szCs w:val="22"/>
        </w:rPr>
        <w:t xml:space="preserve"> </w:t>
      </w:r>
      <w:r w:rsidRPr="002007ED" w:rsidR="00B205BF">
        <w:rPr>
          <w:szCs w:val="22"/>
        </w:rPr>
        <w:t xml:space="preserve">released on </w:t>
      </w:r>
      <w:r w:rsidRPr="002007ED" w:rsidR="00182875">
        <w:rPr>
          <w:szCs w:val="22"/>
        </w:rPr>
        <w:t>October 30, 2020</w:t>
      </w:r>
      <w:r w:rsidRPr="002007ED" w:rsidR="00B9072C">
        <w:rPr>
          <w:szCs w:val="22"/>
        </w:rPr>
        <w:t>.</w:t>
      </w:r>
      <w:r>
        <w:rPr>
          <w:rStyle w:val="FootnoteReference"/>
          <w:sz w:val="22"/>
          <w:szCs w:val="22"/>
        </w:rPr>
        <w:footnoteReference w:id="3"/>
      </w:r>
      <w:r w:rsidRPr="002007ED" w:rsidR="00B9072C">
        <w:rPr>
          <w:szCs w:val="22"/>
        </w:rPr>
        <w:t xml:space="preserve">  </w:t>
      </w:r>
      <w:r w:rsidRPr="002007ED" w:rsidR="00102A40">
        <w:rPr>
          <w:szCs w:val="22"/>
        </w:rPr>
        <w:t xml:space="preserve">In fact, the Licensee had </w:t>
      </w:r>
      <w:r w:rsidRPr="002007ED" w:rsidR="001D1D96">
        <w:rPr>
          <w:szCs w:val="22"/>
        </w:rPr>
        <w:t>timely filed a response</w:t>
      </w:r>
      <w:r w:rsidRPr="002007ED" w:rsidR="00D82AA4">
        <w:rPr>
          <w:szCs w:val="22"/>
        </w:rPr>
        <w:t>, which we consider herein</w:t>
      </w:r>
      <w:r w:rsidRPr="002007ED" w:rsidR="00102A40">
        <w:rPr>
          <w:szCs w:val="22"/>
        </w:rPr>
        <w:t>.</w:t>
      </w:r>
      <w:r w:rsidRPr="002007ED" w:rsidR="00D82AA4">
        <w:rPr>
          <w:szCs w:val="22"/>
        </w:rPr>
        <w:t xml:space="preserve">  Based upon our review of the response, we </w:t>
      </w:r>
      <w:r w:rsidRPr="002007ED" w:rsidR="00913B96">
        <w:rPr>
          <w:szCs w:val="22"/>
        </w:rPr>
        <w:t xml:space="preserve">affirm our finding that the Licensee willfully violated </w:t>
      </w:r>
      <w:r w:rsidRPr="002007ED" w:rsidR="006B5182">
        <w:rPr>
          <w:szCs w:val="22"/>
        </w:rPr>
        <w:t>section 73.3539 of the Commission’s rules</w:t>
      </w:r>
      <w:r w:rsidRPr="002007ED" w:rsidR="00D24915">
        <w:rPr>
          <w:szCs w:val="22"/>
        </w:rPr>
        <w:t xml:space="preserve"> (Rules)</w:t>
      </w:r>
      <w:r w:rsidRPr="002007ED" w:rsidR="006B5182">
        <w:rPr>
          <w:szCs w:val="22"/>
        </w:rPr>
        <w:t xml:space="preserve"> but find</w:t>
      </w:r>
      <w:r w:rsidRPr="002007ED" w:rsidR="00D82AA4">
        <w:rPr>
          <w:szCs w:val="22"/>
        </w:rPr>
        <w:t xml:space="preserve"> </w:t>
      </w:r>
      <w:r w:rsidRPr="002007ED" w:rsidR="006B5182">
        <w:rPr>
          <w:szCs w:val="22"/>
        </w:rPr>
        <w:t>reduction of</w:t>
      </w:r>
      <w:r w:rsidRPr="002007ED" w:rsidR="00D82AA4">
        <w:rPr>
          <w:szCs w:val="22"/>
        </w:rPr>
        <w:t xml:space="preserve"> the forfeiture</w:t>
      </w:r>
      <w:r w:rsidRPr="002007ED" w:rsidR="006B5182">
        <w:rPr>
          <w:szCs w:val="22"/>
        </w:rPr>
        <w:t xml:space="preserve"> is justified.  Accordingly</w:t>
      </w:r>
      <w:r w:rsidRPr="002007ED" w:rsidR="0076731C">
        <w:rPr>
          <w:szCs w:val="22"/>
        </w:rPr>
        <w:t xml:space="preserve">, </w:t>
      </w:r>
      <w:r w:rsidRPr="002007ED" w:rsidR="006B5182">
        <w:rPr>
          <w:szCs w:val="22"/>
        </w:rPr>
        <w:t xml:space="preserve">we </w:t>
      </w:r>
      <w:r w:rsidRPr="002007ED" w:rsidR="00BA545E">
        <w:rPr>
          <w:szCs w:val="22"/>
        </w:rPr>
        <w:t>reduce the forfeiture to five hundred dollars ($500).</w:t>
      </w:r>
    </w:p>
    <w:p w:rsidR="005F3236" w:rsidRPr="002007ED" w:rsidP="005F3236" w14:paraId="1AB5C5C2" w14:textId="7F031B44">
      <w:pPr>
        <w:pStyle w:val="Heading1"/>
        <w:rPr>
          <w:rFonts w:ascii="Times New Roman" w:hAnsi="Times New Roman"/>
          <w:szCs w:val="22"/>
        </w:rPr>
      </w:pPr>
      <w:r w:rsidRPr="002007ED">
        <w:rPr>
          <w:rFonts w:ascii="Times New Roman" w:hAnsi="Times New Roman"/>
          <w:szCs w:val="22"/>
        </w:rPr>
        <w:t>background</w:t>
      </w:r>
    </w:p>
    <w:p w:rsidR="008426F1" w:rsidRPr="002007ED" w:rsidP="008426F1" w14:paraId="73208BAF" w14:textId="77777777">
      <w:pPr>
        <w:pStyle w:val="ParaNum"/>
        <w:rPr>
          <w:szCs w:val="22"/>
        </w:rPr>
      </w:pPr>
      <w:r w:rsidRPr="002007ED">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4"/>
      </w:r>
      <w:r w:rsidRPr="002007ED">
        <w:rPr>
          <w:szCs w:val="22"/>
        </w:rPr>
        <w:t xml:space="preserve">  An application for renewal of the Station’s license should have been filed by October 1, 2019, the first day of the fourth full calendar month prior to the Station’s license expiration date of April 1, 2020.</w:t>
      </w:r>
      <w:r>
        <w:rPr>
          <w:rStyle w:val="FootnoteReference"/>
          <w:sz w:val="22"/>
          <w:szCs w:val="22"/>
        </w:rPr>
        <w:footnoteReference w:id="5"/>
      </w:r>
      <w:r w:rsidRPr="002007ED">
        <w:rPr>
          <w:szCs w:val="22"/>
        </w:rPr>
        <w:t xml:space="preserve">  The application was not filed until March 23, 2020.  The Licensee provided no explanation for its untimely filing of the application. </w:t>
      </w:r>
    </w:p>
    <w:p w:rsidR="00A6332C" w:rsidRPr="002007ED" w:rsidP="00A32431" w14:paraId="1BE69B1D" w14:textId="053C93CE">
      <w:pPr>
        <w:pStyle w:val="ParaNum"/>
        <w:rPr>
          <w:szCs w:val="22"/>
        </w:rPr>
      </w:pPr>
      <w:r w:rsidRPr="002007ED">
        <w:rPr>
          <w:szCs w:val="22"/>
        </w:rPr>
        <w:t>Accordingly, on October 30, 2020, we release</w:t>
      </w:r>
      <w:r w:rsidRPr="002007ED" w:rsidR="002D6CCE">
        <w:rPr>
          <w:szCs w:val="22"/>
        </w:rPr>
        <w:t xml:space="preserve">d the </w:t>
      </w:r>
      <w:r w:rsidRPr="002007ED" w:rsidR="002D6CCE">
        <w:rPr>
          <w:i/>
          <w:iCs/>
          <w:szCs w:val="22"/>
        </w:rPr>
        <w:t>NAL</w:t>
      </w:r>
      <w:r w:rsidRPr="002007ED" w:rsidR="002D6CCE">
        <w:rPr>
          <w:szCs w:val="22"/>
        </w:rPr>
        <w:t xml:space="preserve">, which </w:t>
      </w:r>
      <w:r w:rsidRPr="002007ED">
        <w:rPr>
          <w:szCs w:val="22"/>
        </w:rPr>
        <w:t xml:space="preserve">proposed a forfeiture of three thousand dollars ($3,000).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6"/>
      </w:r>
      <w:r w:rsidRPr="002007ED">
        <w:rPr>
          <w:szCs w:val="22"/>
        </w:rPr>
        <w:t xml:space="preserve">  </w:t>
      </w:r>
    </w:p>
    <w:p w:rsidR="00A6332C" w:rsidRPr="002007ED" w:rsidP="0076731C" w14:paraId="3CA315CD" w14:textId="18D812F1">
      <w:pPr>
        <w:pStyle w:val="ParaNum"/>
        <w:widowControl/>
        <w:rPr>
          <w:szCs w:val="22"/>
        </w:rPr>
      </w:pPr>
      <w:r w:rsidRPr="002007ED">
        <w:rPr>
          <w:szCs w:val="22"/>
        </w:rPr>
        <w:t>On December 15, 2020, we issued</w:t>
      </w:r>
      <w:r w:rsidRPr="002007ED" w:rsidR="009C702E">
        <w:rPr>
          <w:szCs w:val="22"/>
        </w:rPr>
        <w:t xml:space="preserve"> the </w:t>
      </w:r>
      <w:r w:rsidRPr="002007ED" w:rsidR="009C702E">
        <w:rPr>
          <w:i/>
          <w:iCs/>
          <w:szCs w:val="22"/>
        </w:rPr>
        <w:t>Forfeiture Order</w:t>
      </w:r>
      <w:r w:rsidRPr="002007ED">
        <w:rPr>
          <w:szCs w:val="22"/>
        </w:rPr>
        <w:t xml:space="preserve">, which </w:t>
      </w:r>
      <w:r w:rsidRPr="002007ED" w:rsidR="003E758D">
        <w:rPr>
          <w:szCs w:val="22"/>
        </w:rPr>
        <w:t xml:space="preserve">stated that the Licensee had neither paid the proposed forfeiture nor responded in writing to the </w:t>
      </w:r>
      <w:r w:rsidRPr="002007ED" w:rsidR="003E758D">
        <w:rPr>
          <w:i/>
          <w:iCs/>
          <w:szCs w:val="22"/>
        </w:rPr>
        <w:t>NAL</w:t>
      </w:r>
      <w:r w:rsidRPr="002007ED" w:rsidR="003E758D">
        <w:rPr>
          <w:szCs w:val="22"/>
        </w:rPr>
        <w:t>.</w:t>
      </w:r>
      <w:r w:rsidRPr="002007ED">
        <w:rPr>
          <w:szCs w:val="22"/>
        </w:rPr>
        <w:t xml:space="preserve">  This statement, however, was erroneous.  Although we were unaware of it at the time we issued the </w:t>
      </w:r>
      <w:r w:rsidRPr="002007ED">
        <w:rPr>
          <w:i/>
          <w:iCs/>
          <w:szCs w:val="22"/>
        </w:rPr>
        <w:t>Forfeiture Order</w:t>
      </w:r>
      <w:r w:rsidRPr="002007ED">
        <w:rPr>
          <w:szCs w:val="22"/>
        </w:rPr>
        <w:t xml:space="preserve">, the Licensee </w:t>
      </w:r>
      <w:r w:rsidRPr="002007ED">
        <w:rPr>
          <w:szCs w:val="22"/>
        </w:rPr>
        <w:t>had in fact submitted a written response</w:t>
      </w:r>
      <w:r w:rsidRPr="002007ED" w:rsidR="00A9500C">
        <w:rPr>
          <w:szCs w:val="22"/>
        </w:rPr>
        <w:t xml:space="preserve"> </w:t>
      </w:r>
      <w:r w:rsidRPr="002007ED" w:rsidR="00EA4AB4">
        <w:rPr>
          <w:szCs w:val="22"/>
        </w:rPr>
        <w:t>in which it</w:t>
      </w:r>
      <w:r w:rsidRPr="002007ED" w:rsidR="001F407C">
        <w:rPr>
          <w:szCs w:val="22"/>
        </w:rPr>
        <w:t xml:space="preserve"> did not dispute </w:t>
      </w:r>
      <w:r w:rsidRPr="002007ED" w:rsidR="002007ED">
        <w:rPr>
          <w:szCs w:val="22"/>
        </w:rPr>
        <w:t>that it had violated section 73.35</w:t>
      </w:r>
      <w:r w:rsidR="00CA7DD3">
        <w:rPr>
          <w:szCs w:val="22"/>
        </w:rPr>
        <w:t>3</w:t>
      </w:r>
      <w:r w:rsidRPr="002007ED" w:rsidR="002007ED">
        <w:rPr>
          <w:szCs w:val="22"/>
        </w:rPr>
        <w:t>9 of the Rules</w:t>
      </w:r>
      <w:r w:rsidRPr="002007ED" w:rsidR="00324113">
        <w:rPr>
          <w:szCs w:val="22"/>
        </w:rPr>
        <w:t xml:space="preserve"> but</w:t>
      </w:r>
      <w:r w:rsidRPr="002007ED" w:rsidR="00EA4AB4">
        <w:rPr>
          <w:szCs w:val="22"/>
        </w:rPr>
        <w:t xml:space="preserve"> requested that we cancel the proposed forfeiture based on the Licensee’s inability to pay it.</w:t>
      </w:r>
      <w:r>
        <w:rPr>
          <w:rStyle w:val="FootnoteReference"/>
          <w:sz w:val="22"/>
          <w:szCs w:val="22"/>
        </w:rPr>
        <w:footnoteReference w:id="7"/>
      </w:r>
      <w:r w:rsidRPr="002007ED" w:rsidR="00A9500C">
        <w:rPr>
          <w:szCs w:val="22"/>
        </w:rPr>
        <w:t xml:space="preserve">  We consider the </w:t>
      </w:r>
      <w:r w:rsidRPr="002007ED" w:rsidR="002007ED">
        <w:rPr>
          <w:szCs w:val="22"/>
        </w:rPr>
        <w:t>r</w:t>
      </w:r>
      <w:r w:rsidRPr="002007ED" w:rsidR="00A9500C">
        <w:rPr>
          <w:szCs w:val="22"/>
        </w:rPr>
        <w:t>esponse below.</w:t>
      </w:r>
    </w:p>
    <w:p w:rsidR="00912D6D" w:rsidRPr="002007ED" w:rsidP="00912D6D" w14:paraId="50AE942E" w14:textId="2E103553">
      <w:pPr>
        <w:pStyle w:val="Heading1"/>
        <w:rPr>
          <w:rFonts w:ascii="Times New Roman" w:hAnsi="Times New Roman"/>
          <w:szCs w:val="22"/>
        </w:rPr>
      </w:pPr>
      <w:r w:rsidRPr="002007ED">
        <w:rPr>
          <w:rFonts w:ascii="Times New Roman" w:hAnsi="Times New Roman"/>
          <w:szCs w:val="22"/>
        </w:rPr>
        <w:t>discussion</w:t>
      </w:r>
    </w:p>
    <w:p w:rsidR="00D911F2" w:rsidP="00955990" w14:paraId="45526CF1" w14:textId="77777777">
      <w:pPr>
        <w:pStyle w:val="ParaNum"/>
        <w:rPr>
          <w:szCs w:val="22"/>
        </w:rPr>
      </w:pPr>
      <w:r w:rsidRPr="002007ED">
        <w:rPr>
          <w:szCs w:val="22"/>
        </w:rPr>
        <w:t>The proposed forfeiture amount in this case was assessed in accordance with Section 503(b) of the Act,</w:t>
      </w:r>
      <w:r>
        <w:rPr>
          <w:rStyle w:val="FootnoteReference"/>
          <w:sz w:val="22"/>
          <w:szCs w:val="22"/>
        </w:rPr>
        <w:footnoteReference w:id="8"/>
      </w:r>
      <w:r w:rsidRPr="002007ED">
        <w:rPr>
          <w:szCs w:val="22"/>
        </w:rPr>
        <w:t xml:space="preserve"> Section 1.80 of the Rules,</w:t>
      </w:r>
      <w:r>
        <w:rPr>
          <w:rStyle w:val="FootnoteReference"/>
          <w:sz w:val="22"/>
          <w:szCs w:val="22"/>
        </w:rPr>
        <w:footnoteReference w:id="9"/>
      </w:r>
      <w:r w:rsidRPr="002007ED">
        <w:rPr>
          <w:szCs w:val="22"/>
        </w:rPr>
        <w:t xml:space="preserve"> and the Forfeiture Policy Statement.</w:t>
      </w:r>
      <w:r>
        <w:rPr>
          <w:rStyle w:val="FootnoteReference"/>
          <w:sz w:val="22"/>
          <w:szCs w:val="22"/>
        </w:rPr>
        <w:footnoteReference w:id="10"/>
      </w:r>
      <w:r w:rsidRPr="002007ED">
        <w:rPr>
          <w:szCs w:val="22"/>
        </w:rPr>
        <w:t xml:space="preserve"> </w:t>
      </w:r>
      <w:r w:rsidRPr="002007ED" w:rsidR="00411444">
        <w:rPr>
          <w:szCs w:val="22"/>
        </w:rPr>
        <w:t xml:space="preserve"> </w:t>
      </w:r>
      <w:r w:rsidRPr="002007ED">
        <w:rPr>
          <w:szCs w:val="22"/>
        </w:rPr>
        <w:t>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szCs w:val="22"/>
          <w:vertAlign w:val="superscript"/>
        </w:rPr>
        <w:footnoteReference w:id="11"/>
      </w:r>
      <w:r w:rsidRPr="002007ED" w:rsidR="007A74E7">
        <w:rPr>
          <w:szCs w:val="22"/>
        </w:rPr>
        <w:t xml:space="preserve">  </w:t>
      </w:r>
    </w:p>
    <w:p w:rsidR="00603EAF" w:rsidRPr="00D911F2" w:rsidP="00D911F2" w14:paraId="41F61CB7" w14:textId="3B2BB8E2">
      <w:pPr>
        <w:pStyle w:val="ParaNum"/>
        <w:rPr>
          <w:szCs w:val="22"/>
        </w:rPr>
      </w:pPr>
      <w:r w:rsidRPr="002007ED">
        <w:rPr>
          <w:szCs w:val="22"/>
          <w:shd w:val="clear" w:color="auto" w:fill="FFFFFF"/>
        </w:rPr>
        <w:t>We have considered</w:t>
      </w:r>
      <w:r w:rsidR="00D911F2">
        <w:rPr>
          <w:szCs w:val="22"/>
          <w:shd w:val="clear" w:color="auto" w:fill="FFFFFF"/>
        </w:rPr>
        <w:t xml:space="preserve"> the Licensee’s r</w:t>
      </w:r>
      <w:r w:rsidRPr="002007ED">
        <w:rPr>
          <w:szCs w:val="22"/>
          <w:shd w:val="clear" w:color="auto" w:fill="FFFFFF"/>
        </w:rPr>
        <w:t>esponse in light of these statutory factors</w:t>
      </w:r>
      <w:r w:rsidRPr="002007ED" w:rsidR="00802DDA">
        <w:rPr>
          <w:szCs w:val="22"/>
          <w:shd w:val="clear" w:color="auto" w:fill="FFFFFF"/>
        </w:rPr>
        <w:t xml:space="preserve">.  </w:t>
      </w:r>
      <w:r w:rsidRPr="00D911F2" w:rsidR="00701A29">
        <w:rPr>
          <w:szCs w:val="22"/>
          <w:shd w:val="clear" w:color="auto" w:fill="FFFFFF"/>
        </w:rPr>
        <w:t xml:space="preserve">We </w:t>
      </w:r>
      <w:r w:rsidRPr="00D911F2" w:rsidR="00802DDA">
        <w:rPr>
          <w:szCs w:val="22"/>
          <w:shd w:val="clear" w:color="auto" w:fill="FFFFFF"/>
        </w:rPr>
        <w:t>affirm our undisputed finding that the Licensee willfully violated section 73.3539 of the Rules</w:t>
      </w:r>
      <w:r w:rsidRPr="00D911F2" w:rsidR="00701A29">
        <w:rPr>
          <w:szCs w:val="22"/>
          <w:shd w:val="clear" w:color="auto" w:fill="FFFFFF"/>
        </w:rPr>
        <w:t xml:space="preserve">.  However, </w:t>
      </w:r>
      <w:r w:rsidRPr="00D911F2" w:rsidR="00955990">
        <w:rPr>
          <w:szCs w:val="22"/>
        </w:rPr>
        <w:t xml:space="preserve">based </w:t>
      </w:r>
      <w:r w:rsidRPr="00D911F2">
        <w:rPr>
          <w:szCs w:val="22"/>
          <w:shd w:val="clear" w:color="auto" w:fill="FFFFFF"/>
        </w:rPr>
        <w:t xml:space="preserve">on the financial documents provided by </w:t>
      </w:r>
      <w:r w:rsidRPr="00D911F2" w:rsidR="00955990">
        <w:rPr>
          <w:szCs w:val="22"/>
          <w:shd w:val="clear" w:color="auto" w:fill="FFFFFF"/>
        </w:rPr>
        <w:t>the Licensee</w:t>
      </w:r>
      <w:r w:rsidR="00D911F2">
        <w:rPr>
          <w:szCs w:val="22"/>
          <w:shd w:val="clear" w:color="auto" w:fill="FFFFFF"/>
        </w:rPr>
        <w:t xml:space="preserve"> as part of the response</w:t>
      </w:r>
      <w:r w:rsidRPr="00D911F2">
        <w:rPr>
          <w:szCs w:val="22"/>
          <w:shd w:val="clear" w:color="auto" w:fill="FFFFFF"/>
        </w:rPr>
        <w:t xml:space="preserve">, we find that there is a sufficient basis to reduce (but not cancel) the forfeiture to </w:t>
      </w:r>
      <w:r w:rsidRPr="00D911F2" w:rsidR="005A3C5A">
        <w:rPr>
          <w:szCs w:val="22"/>
          <w:shd w:val="clear" w:color="auto" w:fill="FFFFFF"/>
        </w:rPr>
        <w:t>five hundred dollars ($500)</w:t>
      </w:r>
      <w:r w:rsidRPr="00D911F2">
        <w:rPr>
          <w:szCs w:val="22"/>
          <w:shd w:val="clear" w:color="auto" w:fill="FFFFFF"/>
        </w:rPr>
        <w:t>.</w:t>
      </w:r>
      <w:r w:rsidRPr="00D911F2" w:rsidR="00522939">
        <w:rPr>
          <w:szCs w:val="22"/>
          <w:shd w:val="clear" w:color="auto" w:fill="FFFFFF"/>
        </w:rPr>
        <w:t xml:space="preserve">  The forfeiture, as reduced, represents a percentage of the Licensee’s gross revenues comparable to that assessed against</w:t>
      </w:r>
      <w:r w:rsidR="00D911F2">
        <w:rPr>
          <w:szCs w:val="22"/>
          <w:shd w:val="clear" w:color="auto" w:fill="FFFFFF"/>
        </w:rPr>
        <w:t xml:space="preserve"> </w:t>
      </w:r>
      <w:r w:rsidRPr="00D911F2" w:rsidR="00522939">
        <w:rPr>
          <w:szCs w:val="22"/>
          <w:shd w:val="clear" w:color="auto" w:fill="FFFFFF"/>
        </w:rPr>
        <w:t>gross revenues in prior cases.</w:t>
      </w:r>
      <w:r>
        <w:rPr>
          <w:rStyle w:val="FootnoteReference"/>
          <w:sz w:val="22"/>
          <w:szCs w:val="22"/>
          <w:shd w:val="clear" w:color="auto" w:fill="FFFFFF"/>
        </w:rPr>
        <w:footnoteReference w:id="12"/>
      </w:r>
      <w:r w:rsidRPr="00D911F2" w:rsidR="006D5941">
        <w:rPr>
          <w:szCs w:val="22"/>
        </w:rPr>
        <w:t xml:space="preserve">  </w:t>
      </w:r>
    </w:p>
    <w:p w:rsidR="00912D6D" w:rsidRPr="002007ED" w:rsidP="006D5941" w14:paraId="74658A65" w14:textId="18FF74A4">
      <w:pPr>
        <w:pStyle w:val="Heading1"/>
        <w:rPr>
          <w:rFonts w:ascii="Times New Roman" w:hAnsi="Times New Roman"/>
          <w:szCs w:val="22"/>
        </w:rPr>
      </w:pPr>
      <w:r w:rsidRPr="002007ED">
        <w:rPr>
          <w:rFonts w:ascii="Times New Roman" w:hAnsi="Times New Roman"/>
          <w:szCs w:val="22"/>
        </w:rPr>
        <w:t>order</w:t>
      </w:r>
      <w:r w:rsidRPr="002007ED" w:rsidR="006D5941">
        <w:rPr>
          <w:rFonts w:ascii="Times New Roman" w:hAnsi="Times New Roman"/>
          <w:szCs w:val="22"/>
        </w:rPr>
        <w:t>ing</w:t>
      </w:r>
      <w:r w:rsidRPr="002007ED">
        <w:rPr>
          <w:rFonts w:ascii="Times New Roman" w:hAnsi="Times New Roman"/>
          <w:szCs w:val="22"/>
        </w:rPr>
        <w:t xml:space="preserve"> Clauses</w:t>
      </w:r>
    </w:p>
    <w:p w:rsidR="00300160" w:rsidRPr="000642CE" w:rsidP="000642CE" w14:paraId="38943DDD" w14:textId="08F46E29">
      <w:pPr>
        <w:pStyle w:val="ParaNum"/>
        <w:rPr>
          <w:szCs w:val="22"/>
        </w:rPr>
      </w:pPr>
      <w:r w:rsidRPr="002007ED">
        <w:rPr>
          <w:szCs w:val="22"/>
        </w:rPr>
        <w:t xml:space="preserve">Accordingly, </w:t>
      </w:r>
      <w:r w:rsidRPr="002007ED">
        <w:rPr>
          <w:b/>
          <w:szCs w:val="22"/>
        </w:rPr>
        <w:t>IT IS ORDERED</w:t>
      </w:r>
      <w:r w:rsidRPr="002007ED">
        <w:rPr>
          <w:szCs w:val="22"/>
        </w:rPr>
        <w:t xml:space="preserve"> that, </w:t>
      </w:r>
      <w:r w:rsidRPr="002007ED" w:rsidR="000F643B">
        <w:rPr>
          <w:szCs w:val="22"/>
        </w:rPr>
        <w:t>pursuant to</w:t>
      </w:r>
      <w:r w:rsidRPr="002007ED">
        <w:rPr>
          <w:szCs w:val="22"/>
        </w:rPr>
        <w:t xml:space="preserve"> </w:t>
      </w:r>
      <w:r w:rsidRPr="002007ED" w:rsidR="000F643B">
        <w:rPr>
          <w:szCs w:val="22"/>
        </w:rPr>
        <w:t>s</w:t>
      </w:r>
      <w:r w:rsidRPr="002007ED">
        <w:rPr>
          <w:szCs w:val="22"/>
        </w:rPr>
        <w:t>ections 0.61, 0.283, and 1.</w:t>
      </w:r>
      <w:r w:rsidRPr="002007ED" w:rsidR="001A13B4">
        <w:rPr>
          <w:szCs w:val="22"/>
        </w:rPr>
        <w:t>108</w:t>
      </w:r>
      <w:r w:rsidRPr="002007ED">
        <w:rPr>
          <w:szCs w:val="22"/>
        </w:rPr>
        <w:t xml:space="preserve"> of the Commission’s rules,</w:t>
      </w:r>
      <w:r>
        <w:rPr>
          <w:rStyle w:val="FootnoteReference"/>
          <w:sz w:val="22"/>
          <w:szCs w:val="22"/>
        </w:rPr>
        <w:footnoteReference w:id="13"/>
      </w:r>
      <w:r w:rsidRPr="002007ED">
        <w:rPr>
          <w:szCs w:val="22"/>
        </w:rPr>
        <w:t xml:space="preserve"> the </w:t>
      </w:r>
      <w:r w:rsidRPr="00151C89" w:rsidR="00151C89">
        <w:rPr>
          <w:szCs w:val="22"/>
        </w:rPr>
        <w:t>forfeiture</w:t>
      </w:r>
      <w:r w:rsidR="000642CE">
        <w:rPr>
          <w:szCs w:val="22"/>
        </w:rPr>
        <w:t xml:space="preserve"> issued </w:t>
      </w:r>
      <w:r w:rsidR="00151C89">
        <w:rPr>
          <w:szCs w:val="22"/>
        </w:rPr>
        <w:t>to Imani Communications</w:t>
      </w:r>
      <w:r w:rsidR="00264441">
        <w:rPr>
          <w:szCs w:val="22"/>
        </w:rPr>
        <w:t xml:space="preserve"> Corporation, Inc., </w:t>
      </w:r>
      <w:r w:rsidR="000642CE">
        <w:rPr>
          <w:szCs w:val="22"/>
        </w:rPr>
        <w:t>on December 15, 2020</w:t>
      </w:r>
      <w:r w:rsidRPr="002007ED" w:rsidR="001173C3">
        <w:rPr>
          <w:szCs w:val="22"/>
        </w:rPr>
        <w:t>,</w:t>
      </w:r>
      <w:r w:rsidRPr="002007ED">
        <w:rPr>
          <w:szCs w:val="22"/>
        </w:rPr>
        <w:t xml:space="preserve"> </w:t>
      </w:r>
      <w:r w:rsidRPr="002007ED">
        <w:rPr>
          <w:b/>
          <w:szCs w:val="22"/>
        </w:rPr>
        <w:t xml:space="preserve">IS </w:t>
      </w:r>
      <w:r w:rsidR="004D154C">
        <w:rPr>
          <w:b/>
          <w:szCs w:val="22"/>
        </w:rPr>
        <w:t xml:space="preserve">HEREBY </w:t>
      </w:r>
      <w:r w:rsidR="00264441">
        <w:rPr>
          <w:b/>
          <w:szCs w:val="22"/>
        </w:rPr>
        <w:t>REDUCED</w:t>
      </w:r>
      <w:r w:rsidR="000642CE">
        <w:rPr>
          <w:szCs w:val="22"/>
        </w:rPr>
        <w:t xml:space="preserve">, and that, </w:t>
      </w:r>
      <w:r w:rsidRPr="000642CE">
        <w:rPr>
          <w:szCs w:val="22"/>
        </w:rPr>
        <w:t xml:space="preserve">pursuant to section 503(b) of the Communications Act of 1934, as amended, and sections 0.283 and 1.80 of the Commission’s Rules, Imani Communications Corporation, Inc., </w:t>
      </w:r>
      <w:r w:rsidRPr="000642CE">
        <w:rPr>
          <w:b/>
          <w:szCs w:val="22"/>
        </w:rPr>
        <w:t>IS LIABLE FOR A MONETARY FORFEITURE</w:t>
      </w:r>
      <w:r w:rsidRPr="000642CE">
        <w:rPr>
          <w:szCs w:val="22"/>
        </w:rPr>
        <w:t xml:space="preserve"> in the amount of $</w:t>
      </w:r>
      <w:r w:rsidRPr="000642CE" w:rsidR="00174F11">
        <w:rPr>
          <w:szCs w:val="22"/>
        </w:rPr>
        <w:t>5</w:t>
      </w:r>
      <w:r w:rsidRPr="000642CE">
        <w:rPr>
          <w:szCs w:val="22"/>
        </w:rPr>
        <w:t xml:space="preserve">00 for its willful violation of section 73.3539 of the Commission’s rules. </w:t>
      </w:r>
    </w:p>
    <w:p w:rsidR="00300160" w:rsidRPr="002007ED" w:rsidP="00174F11" w14:paraId="2A1627B8" w14:textId="77777777">
      <w:pPr>
        <w:pStyle w:val="ParaNum"/>
        <w:rPr>
          <w:szCs w:val="22"/>
        </w:rPr>
      </w:pPr>
      <w:r w:rsidRPr="002007ED">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4"/>
      </w:r>
      <w:r w:rsidRPr="002007ED">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15"/>
      </w:r>
      <w:r w:rsidRPr="002007ED">
        <w:rPr>
          <w:szCs w:val="22"/>
        </w:rPr>
        <w:t xml:space="preserve"> </w:t>
      </w:r>
    </w:p>
    <w:p w:rsidR="00300160" w:rsidRPr="002007ED" w:rsidP="0048488E" w14:paraId="2EFE8EEB" w14:textId="77777777">
      <w:pPr>
        <w:widowControl/>
        <w:numPr>
          <w:ilvl w:val="0"/>
          <w:numId w:val="10"/>
        </w:numPr>
        <w:spacing w:after="120"/>
        <w:rPr>
          <w:b/>
          <w:szCs w:val="22"/>
        </w:rPr>
      </w:pPr>
      <w:r w:rsidRPr="002007E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007ED">
          <w:rPr>
            <w:rStyle w:val="Hyperlink"/>
            <w:color w:val="auto"/>
            <w:szCs w:val="22"/>
          </w:rPr>
          <w:t>RROGWireFaxes@fcc.gov</w:t>
        </w:r>
      </w:hyperlink>
      <w:r w:rsidRPr="002007ED">
        <w:rPr>
          <w:szCs w:val="22"/>
        </w:rPr>
        <w:t xml:space="preserve"> on the same business day the wire transfer is initiated.  Failure to </w:t>
      </w:r>
      <w:r w:rsidRPr="002007ED">
        <w:rPr>
          <w:szCs w:val="22"/>
        </w:rPr>
        <w:t>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16"/>
      </w:r>
      <w:r w:rsidRPr="002007ED">
        <w:rPr>
          <w:szCs w:val="22"/>
        </w:rPr>
        <w:t xml:space="preserve">  For additional detail and wire transfer instructions, go to </w:t>
      </w:r>
      <w:hyperlink r:id="rId6" w:history="1">
        <w:r w:rsidRPr="002007ED">
          <w:rPr>
            <w:rStyle w:val="Hyperlink"/>
            <w:color w:val="auto"/>
            <w:szCs w:val="22"/>
          </w:rPr>
          <w:t>https://www.fcc.gov/licensing-databases/fees/wire-transfer</w:t>
        </w:r>
      </w:hyperlink>
      <w:r w:rsidRPr="002007ED">
        <w:rPr>
          <w:szCs w:val="22"/>
        </w:rPr>
        <w:t>.</w:t>
      </w:r>
    </w:p>
    <w:p w:rsidR="00300160" w:rsidRPr="002007ED" w:rsidP="00300160" w14:paraId="76BD9560" w14:textId="77777777">
      <w:pPr>
        <w:numPr>
          <w:ilvl w:val="0"/>
          <w:numId w:val="10"/>
        </w:numPr>
        <w:spacing w:after="120"/>
        <w:rPr>
          <w:b/>
          <w:szCs w:val="22"/>
        </w:rPr>
      </w:pPr>
      <w:r w:rsidRPr="002007ED">
        <w:rPr>
          <w:szCs w:val="22"/>
        </w:rPr>
        <w:t xml:space="preserve">Payment by credit card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300160" w:rsidRPr="002007ED" w:rsidP="00300160" w14:paraId="62187311" w14:textId="77777777">
      <w:pPr>
        <w:numPr>
          <w:ilvl w:val="0"/>
          <w:numId w:val="10"/>
        </w:numPr>
        <w:spacing w:after="120"/>
        <w:rPr>
          <w:spacing w:val="-2"/>
          <w:szCs w:val="22"/>
        </w:rPr>
      </w:pPr>
      <w:r w:rsidRPr="002007ED">
        <w:rPr>
          <w:szCs w:val="22"/>
        </w:rPr>
        <w:t xml:space="preserve">Payment by ACH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00160" w:rsidRPr="002007ED" w:rsidP="00174F11" w14:paraId="5F03424B" w14:textId="3977C192">
      <w:pPr>
        <w:pStyle w:val="ParaNum"/>
        <w:rPr>
          <w:szCs w:val="22"/>
        </w:rPr>
      </w:pPr>
      <w:r w:rsidRPr="002007ED">
        <w:rPr>
          <w:szCs w:val="22"/>
        </w:rPr>
        <w:t>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w:t>
      </w:r>
      <w:r w:rsidR="001B4EDB">
        <w:rPr>
          <w:szCs w:val="22"/>
        </w:rPr>
        <w:t xml:space="preserve"> </w:t>
      </w:r>
      <w:hyperlink r:id="rId8" w:history="1">
        <w:r w:rsidRPr="009122FE" w:rsidR="001B4EDB">
          <w:rPr>
            <w:rStyle w:val="Hyperlink"/>
            <w:szCs w:val="22"/>
          </w:rPr>
          <w:t>ARINQUIRIES@fcc.gov</w:t>
        </w:r>
      </w:hyperlink>
      <w:r w:rsidRPr="002007ED">
        <w:rPr>
          <w:szCs w:val="22"/>
        </w:rPr>
        <w:t>.</w:t>
      </w:r>
    </w:p>
    <w:p w:rsidR="00300160" w:rsidRPr="002007ED" w:rsidP="00300160" w14:paraId="6B4E5EB5" w14:textId="6E2BFAEC">
      <w:pPr>
        <w:pStyle w:val="ParaNum"/>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Franklin Bernard Fortier, PO Box 36701, Selma, AL 36701.</w:t>
      </w:r>
    </w:p>
    <w:p w:rsidR="00CA7DD3" w:rsidP="00124FB3" w14:paraId="3326E608" w14:textId="77777777">
      <w:pPr>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r>
    </w:p>
    <w:p w:rsidR="00146D8A" w:rsidRPr="002007ED" w:rsidP="00CA7DD3" w14:paraId="649EBC15" w14:textId="345B71BB">
      <w:pPr>
        <w:ind w:left="3600" w:firstLine="720"/>
        <w:rPr>
          <w:szCs w:val="22"/>
        </w:rPr>
      </w:pPr>
      <w:r w:rsidRPr="002007ED">
        <w:rPr>
          <w:szCs w:val="22"/>
        </w:rPr>
        <w:t>FEDERAL COMMUNICATIONS COMMISSION</w:t>
      </w:r>
    </w:p>
    <w:p w:rsidR="00816AAA" w:rsidP="00124FB3" w14:paraId="34D09F19" w14:textId="3ED81306">
      <w:pPr>
        <w:rPr>
          <w:szCs w:val="22"/>
        </w:rPr>
      </w:pPr>
    </w:p>
    <w:p w:rsidR="0099319C" w:rsidRPr="0099319C" w:rsidP="0099319C" w14:paraId="025E9843" w14:textId="2070A1D3">
      <w:pPr>
        <w:ind w:firstLine="4320"/>
        <w:rPr>
          <w:rFonts w:ascii="Vladimir Script" w:hAnsi="Vladimir Script"/>
          <w:sz w:val="44"/>
          <w:szCs w:val="44"/>
        </w:rPr>
      </w:pPr>
      <w:r w:rsidRPr="0099319C">
        <w:rPr>
          <w:rFonts w:ascii="Vladimir Script" w:hAnsi="Vladimir Script"/>
          <w:sz w:val="44"/>
          <w:szCs w:val="44"/>
        </w:rPr>
        <w:t>Albert Shuldiner</w:t>
      </w:r>
    </w:p>
    <w:p w:rsidR="00146D8A" w:rsidRPr="002007ED" w:rsidP="00124FB3" w14:paraId="3F780EEF" w14:textId="77777777">
      <w:pPr>
        <w:rPr>
          <w:szCs w:val="22"/>
        </w:rPr>
      </w:pPr>
    </w:p>
    <w:p w:rsidR="00146D8A" w:rsidRPr="002007ED" w:rsidP="00124FB3" w14:paraId="7BE1CF59" w14:textId="4A8DDD4C">
      <w:pPr>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Albert Shuldiner</w:t>
      </w:r>
    </w:p>
    <w:p w:rsidR="00146D8A" w:rsidRPr="002007ED" w:rsidP="00124FB3" w14:paraId="20DC7216" w14:textId="33C5D41B">
      <w:pPr>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Chief, Audio Division</w:t>
      </w:r>
    </w:p>
    <w:p w:rsidR="002F075D" w:rsidRPr="002007ED" w14:paraId="751D6D17" w14:textId="759D6EEC">
      <w:pPr>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CFD1B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523A1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2D55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793EEF4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03CDB4E"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A4D" w14:paraId="052E5A38" w14:textId="77777777">
      <w:r>
        <w:separator/>
      </w:r>
    </w:p>
  </w:footnote>
  <w:footnote w:type="continuationSeparator" w:id="1">
    <w:p w:rsidR="00305A4D" w14:paraId="02589780" w14:textId="77777777">
      <w:r>
        <w:continuationSeparator/>
      </w:r>
    </w:p>
  </w:footnote>
  <w:footnote w:id="2">
    <w:p w:rsidR="00A0783B" w:rsidP="00A0783B" w14:paraId="2923A1A2" w14:textId="5C5DFFB5">
      <w:pPr>
        <w:pStyle w:val="FootnoteText"/>
      </w:pPr>
      <w:r>
        <w:rPr>
          <w:rStyle w:val="FootnoteReference"/>
        </w:rPr>
        <w:footnoteRef/>
      </w:r>
      <w:r>
        <w:t xml:space="preserve"> </w:t>
      </w:r>
      <w:r w:rsidR="009C3818">
        <w:rPr>
          <w:i/>
        </w:rPr>
        <w:t>Imani Commc’ns Corp., Inc.</w:t>
      </w:r>
      <w:r w:rsidR="00FA1F76">
        <w:t>, Forfeiture Order,</w:t>
      </w:r>
      <w:r w:rsidR="00FA1F76">
        <w:rPr>
          <w:i/>
        </w:rPr>
        <w:t xml:space="preserve"> </w:t>
      </w:r>
      <w:r w:rsidR="00FA1F76">
        <w:t>DA 20-</w:t>
      </w:r>
      <w:r w:rsidR="00FE3B1E">
        <w:t>1482</w:t>
      </w:r>
      <w:r w:rsidR="00FA1F76">
        <w:t xml:space="preserve"> (MB</w:t>
      </w:r>
      <w:r w:rsidR="00916096">
        <w:t xml:space="preserve"> Dec. 15, 2020</w:t>
      </w:r>
      <w:r w:rsidR="00FA1F76">
        <w:t>).</w:t>
      </w:r>
    </w:p>
  </w:footnote>
  <w:footnote w:id="3">
    <w:p w:rsidR="00B205BF" w14:paraId="4BD5D80B" w14:textId="1E1472A5">
      <w:pPr>
        <w:pStyle w:val="FootnoteText"/>
      </w:pPr>
      <w:r>
        <w:rPr>
          <w:rStyle w:val="FootnoteReference"/>
        </w:rPr>
        <w:footnoteRef/>
      </w:r>
      <w:r>
        <w:t xml:space="preserve"> </w:t>
      </w:r>
      <w:r w:rsidR="00182875">
        <w:rPr>
          <w:i/>
        </w:rPr>
        <w:t xml:space="preserve">Imani </w:t>
      </w:r>
      <w:r w:rsidR="009C3818">
        <w:rPr>
          <w:rFonts w:ascii="TimesNewRomanPS-ItalicMT" w:hAnsi="TimesNewRomanPS-ItalicMT" w:cs="TimesNewRomanPS-ItalicMT"/>
          <w:i/>
          <w:iCs/>
        </w:rPr>
        <w:t xml:space="preserve">Commc'ns </w:t>
      </w:r>
      <w:r w:rsidR="00182875">
        <w:rPr>
          <w:i/>
        </w:rPr>
        <w:t>Corp., Inc.</w:t>
      </w:r>
      <w:r w:rsidR="00FA1F76">
        <w:t>, Memorandum Opinion and Order and Notice of Apparent Liability for Forfeiture,</w:t>
      </w:r>
      <w:r w:rsidR="00FA1F76">
        <w:rPr>
          <w:i/>
        </w:rPr>
        <w:t xml:space="preserve"> </w:t>
      </w:r>
      <w:r w:rsidR="006F7F5E">
        <w:t>35 FCC Rcd 120</w:t>
      </w:r>
      <w:r w:rsidR="00BB4DB8">
        <w:t>37</w:t>
      </w:r>
      <w:r w:rsidR="00FA1F76">
        <w:t xml:space="preserve"> (MB </w:t>
      </w:r>
      <w:r w:rsidR="009C3818">
        <w:t>Oct. 30</w:t>
      </w:r>
      <w:r w:rsidR="00FA1F76">
        <w:t>, 2020)</w:t>
      </w:r>
      <w:r w:rsidR="00BB4DB8">
        <w:t xml:space="preserve"> (</w:t>
      </w:r>
      <w:r w:rsidRPr="00BB4DB8" w:rsidR="00BB4DB8">
        <w:rPr>
          <w:i/>
          <w:iCs/>
        </w:rPr>
        <w:t>NAL</w:t>
      </w:r>
      <w:r w:rsidR="00BB4DB8">
        <w:t>)</w:t>
      </w:r>
      <w:r w:rsidR="00FA1F76">
        <w:t>.</w:t>
      </w:r>
    </w:p>
  </w:footnote>
  <w:footnote w:id="4">
    <w:p w:rsidR="008426F1" w:rsidRPr="00E1189A" w:rsidP="008426F1" w14:paraId="68D355A5"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5">
    <w:p w:rsidR="008426F1" w:rsidRPr="00555D44" w:rsidP="008426F1" w14:paraId="0E8985A5"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6">
    <w:p w:rsidR="008426F1" w:rsidP="008426F1" w14:paraId="3013F74E" w14:textId="74BB6FFB">
      <w:pPr>
        <w:pStyle w:val="FootnoteText"/>
      </w:pPr>
      <w:r>
        <w:rPr>
          <w:rStyle w:val="FootnoteReference"/>
        </w:rPr>
        <w:footnoteRef/>
      </w:r>
      <w:r>
        <w:t xml:space="preserve"> </w:t>
      </w:r>
      <w:r w:rsidR="00A83E4D">
        <w:rPr>
          <w:i/>
        </w:rPr>
        <w:t>NAL</w:t>
      </w:r>
      <w:r w:rsidR="00BB4DB8">
        <w:rPr>
          <w:iCs/>
        </w:rPr>
        <w:t>, 35 FCC Rcd</w:t>
      </w:r>
      <w:r>
        <w:t xml:space="preserve"> at</w:t>
      </w:r>
      <w:r w:rsidR="00EF7621">
        <w:t xml:space="preserve"> 12039,</w:t>
      </w:r>
      <w:r>
        <w:t xml:space="preserve"> para. 9.</w:t>
      </w:r>
    </w:p>
  </w:footnote>
  <w:footnote w:id="7">
    <w:p w:rsidR="00A9500C" w14:paraId="0EB675E3" w14:textId="742E31AD">
      <w:pPr>
        <w:pStyle w:val="FootnoteText"/>
      </w:pPr>
      <w:r>
        <w:rPr>
          <w:rStyle w:val="FootnoteReference"/>
        </w:rPr>
        <w:footnoteRef/>
      </w:r>
      <w:r w:rsidR="00FC7146">
        <w:t xml:space="preserve"> Response to Notice of Apparent Liability for Forfeiture and Request for Canceling Forfeiture of Imani Commc’ns Corp., Inc. (dated Nov. 14, 2020).</w:t>
      </w:r>
    </w:p>
  </w:footnote>
  <w:footnote w:id="8">
    <w:p w:rsidR="00E3636F" w14:paraId="29C88B59" w14:textId="7725D09D">
      <w:pPr>
        <w:pStyle w:val="FootnoteText"/>
      </w:pPr>
      <w:r>
        <w:rPr>
          <w:rStyle w:val="FootnoteReference"/>
        </w:rPr>
        <w:footnoteRef/>
      </w:r>
      <w:r>
        <w:t xml:space="preserve"> 47 U.S.C. § 503(b).</w:t>
      </w:r>
    </w:p>
  </w:footnote>
  <w:footnote w:id="9">
    <w:p w:rsidR="00E3636F" w14:paraId="0B13BC59" w14:textId="1E1178D2">
      <w:pPr>
        <w:pStyle w:val="FootnoteText"/>
      </w:pPr>
      <w:r>
        <w:rPr>
          <w:rStyle w:val="FootnoteReference"/>
        </w:rPr>
        <w:footnoteRef/>
      </w:r>
      <w:r>
        <w:t xml:space="preserve"> </w:t>
      </w:r>
      <w:r w:rsidRPr="00A403D9" w:rsidR="00411444">
        <w:t>47 CFR § 1.80.</w:t>
      </w:r>
    </w:p>
  </w:footnote>
  <w:footnote w:id="10">
    <w:p w:rsidR="00411444" w14:paraId="703BA6D9" w14:textId="5B5A238B">
      <w:pPr>
        <w:pStyle w:val="FootnoteText"/>
      </w:pPr>
      <w:r>
        <w:rPr>
          <w:rStyle w:val="FootnoteReference"/>
        </w:rPr>
        <w:footnoteRef/>
      </w:r>
      <w:r>
        <w:t xml:space="preserve"> </w:t>
      </w:r>
      <w:r w:rsidRPr="00A403D9" w:rsidR="00D560EA">
        <w:rPr>
          <w:i/>
        </w:rPr>
        <w:t>Forfeiture Policy Statement and Amendment of Section 1.80 of the Rules to Incorporate the Forfeiture Guidelines</w:t>
      </w:r>
      <w:r w:rsidRPr="00A403D9" w:rsidR="00D560EA">
        <w:t xml:space="preserve">, Report and Order, 12 FCC Rcd 17087 (1997), </w:t>
      </w:r>
      <w:r w:rsidRPr="00A403D9" w:rsidR="00D560EA">
        <w:rPr>
          <w:i/>
        </w:rPr>
        <w:t>recon. denied</w:t>
      </w:r>
      <w:r w:rsidRPr="00A403D9" w:rsidR="00D560EA">
        <w:t>, 15 FCC Rcd 303 (1999).</w:t>
      </w:r>
    </w:p>
  </w:footnote>
  <w:footnote w:id="11">
    <w:p w:rsidR="00F741AA" w:rsidRPr="00A403D9" w:rsidP="00F741AA" w14:paraId="17FEF75B" w14:textId="77777777">
      <w:pPr>
        <w:pStyle w:val="FootnoteText"/>
      </w:pPr>
      <w:r w:rsidRPr="00A403D9">
        <w:rPr>
          <w:rStyle w:val="FootnoteReference"/>
        </w:rPr>
        <w:footnoteRef/>
      </w:r>
      <w:r w:rsidRPr="00A403D9">
        <w:t xml:space="preserve"> 47 U.S.C. § 503(b)(2)(E).</w:t>
      </w:r>
    </w:p>
  </w:footnote>
  <w:footnote w:id="12">
    <w:p w:rsidR="006D5941" w14:paraId="6C02D3F4" w14:textId="31399D2F">
      <w:pPr>
        <w:pStyle w:val="FootnoteText"/>
      </w:pPr>
      <w:r>
        <w:rPr>
          <w:rStyle w:val="FootnoteReference"/>
        </w:rPr>
        <w:footnoteRef/>
      </w:r>
      <w:r>
        <w:t xml:space="preserve"> </w:t>
      </w:r>
      <w:r w:rsidRPr="00DC63A9" w:rsidR="00FC5E78">
        <w:rPr>
          <w:i/>
          <w:iCs/>
        </w:rPr>
        <w:t xml:space="preserve">See, e.g., </w:t>
      </w:r>
      <w:r w:rsidR="0058204C">
        <w:rPr>
          <w:i/>
          <w:iCs/>
        </w:rPr>
        <w:t>Nievezquez</w:t>
      </w:r>
      <w:r w:rsidR="006C055B">
        <w:t xml:space="preserve"> </w:t>
      </w:r>
      <w:r w:rsidRPr="006C055B" w:rsidR="006C055B">
        <w:rPr>
          <w:i/>
          <w:iCs/>
        </w:rPr>
        <w:t>Productions, Inc</w:t>
      </w:r>
      <w:r w:rsidR="006C055B">
        <w:t>.</w:t>
      </w:r>
      <w:r w:rsidR="008920C4">
        <w:t>, Forfeiture Order, 2</w:t>
      </w:r>
      <w:r w:rsidR="00115EFF">
        <w:t>6</w:t>
      </w:r>
      <w:r w:rsidR="008920C4">
        <w:t xml:space="preserve"> FCC Rcd </w:t>
      </w:r>
      <w:r w:rsidR="00115EFF">
        <w:t xml:space="preserve">14178, </w:t>
      </w:r>
      <w:r w:rsidR="0058204C">
        <w:t xml:space="preserve">14181, </w:t>
      </w:r>
      <w:r w:rsidR="00016B78">
        <w:t xml:space="preserve">para. </w:t>
      </w:r>
      <w:r w:rsidR="0058204C">
        <w:t>9</w:t>
      </w:r>
      <w:r w:rsidR="00016B78">
        <w:t xml:space="preserve"> (MB 201</w:t>
      </w:r>
      <w:r w:rsidR="0058204C">
        <w:t>1</w:t>
      </w:r>
      <w:r w:rsidR="00016B78">
        <w:t>) (noting that the Media Burea</w:t>
      </w:r>
      <w:r w:rsidR="0077649F">
        <w:t>u had</w:t>
      </w:r>
      <w:r w:rsidRPr="0077649F" w:rsidR="0077649F">
        <w:t xml:space="preserve"> </w:t>
      </w:r>
      <w:r w:rsidR="0077649F">
        <w:t>“</w:t>
      </w:r>
      <w:r w:rsidRPr="0077649F" w:rsidR="0077649F">
        <w:t>previously found forfeiture amounts as high as</w:t>
      </w:r>
      <w:r w:rsidR="007977E9">
        <w:t xml:space="preserve"> 5</w:t>
      </w:r>
      <w:r w:rsidRPr="0077649F" w:rsidR="0077649F">
        <w:t xml:space="preserve"> percent of gross revenues to be reasonable</w:t>
      </w:r>
      <w:r w:rsidR="0077649F">
        <w:t xml:space="preserve">” and that </w:t>
      </w:r>
      <w:r w:rsidRPr="0077649F" w:rsidR="0077649F">
        <w:t xml:space="preserve">the Enforcement Bureau </w:t>
      </w:r>
      <w:r w:rsidR="0077649F">
        <w:t>had</w:t>
      </w:r>
      <w:r w:rsidRPr="0077649F" w:rsidR="0077649F">
        <w:t xml:space="preserve"> </w:t>
      </w:r>
      <w:r w:rsidR="0077649F">
        <w:t>“</w:t>
      </w:r>
      <w:r w:rsidRPr="0077649F" w:rsidR="0077649F">
        <w:t>found that a forfeiture as high as 7.9 percent of the violator</w:t>
      </w:r>
      <w:r w:rsidR="0077649F">
        <w:t>’</w:t>
      </w:r>
      <w:r w:rsidRPr="0077649F" w:rsidR="0077649F">
        <w:t>s gross revenue was not excessive despite claims of financial hardship</w:t>
      </w:r>
      <w:r w:rsidR="0077649F">
        <w:t>”).</w:t>
      </w:r>
    </w:p>
  </w:footnote>
  <w:footnote w:id="13">
    <w:p w:rsidR="00A0783B" w:rsidP="00A0783B" w14:paraId="61995CD4" w14:textId="5BD0156D">
      <w:pPr>
        <w:pStyle w:val="FootnoteText"/>
      </w:pPr>
      <w:r>
        <w:rPr>
          <w:rStyle w:val="FootnoteReference"/>
        </w:rPr>
        <w:footnoteRef/>
      </w:r>
      <w:r>
        <w:t xml:space="preserve"> </w:t>
      </w:r>
      <w:r>
        <w:rPr>
          <w:rFonts w:ascii="TimesNewRomanPSMT" w:hAnsi="TimesNewRomanPSMT" w:cs="TimesNewRomanPSMT"/>
        </w:rPr>
        <w:t>47 CFR §§ 0.61, 0.283, 1</w:t>
      </w:r>
      <w:r w:rsidR="000F643B">
        <w:rPr>
          <w:rFonts w:ascii="TimesNewRomanPSMT" w:hAnsi="TimesNewRomanPSMT" w:cs="TimesNewRomanPSMT"/>
        </w:rPr>
        <w:t>.108</w:t>
      </w:r>
      <w:r>
        <w:rPr>
          <w:rFonts w:ascii="TimesNewRomanPSMT" w:hAnsi="TimesNewRomanPSMT" w:cs="TimesNewRomanPSMT"/>
        </w:rPr>
        <w:t>.</w:t>
      </w:r>
    </w:p>
  </w:footnote>
  <w:footnote w:id="14">
    <w:p w:rsidR="00300160" w:rsidRPr="00132193" w:rsidP="00300160" w14:paraId="47A851F6"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5">
    <w:p w:rsidR="00300160" w:rsidRPr="00132193" w:rsidP="00300160" w14:paraId="1F5D3644"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6">
    <w:p w:rsidR="00300160" w:rsidRPr="004B33E9" w:rsidP="00300160" w14:paraId="55F797C2"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Pr>
            <w:rStyle w:val="Hyperlink"/>
          </w:rPr>
          <w:t>https://transition.fcc.gov/Forms/Form159/159.pdf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rsidP="00915413" w14:paraId="305B299B" w14:textId="664AC4D8">
    <w:pPr>
      <w:pStyle w:val="Header"/>
    </w:pPr>
    <w:r>
      <w:tab/>
    </w:r>
    <w:r w:rsidRPr="00947B4D">
      <w:t>Federal Communications Commission</w:t>
    </w:r>
    <w:r w:rsidRPr="00947B4D">
      <w:tab/>
      <w:t xml:space="preserve">   </w:t>
    </w:r>
    <w:r>
      <w:t xml:space="preserve">                       DA </w:t>
    </w:r>
    <w:r w:rsidR="00C44E2F">
      <w:t>2</w:t>
    </w:r>
    <w:r w:rsidR="00B177BC">
      <w:t>1</w:t>
    </w:r>
    <w:r>
      <w:t>-</w:t>
    </w:r>
    <w:r w:rsidR="002816C4">
      <w:t>43</w:t>
    </w:r>
    <w:r>
      <w:t xml:space="preserve"> </w:t>
    </w:r>
  </w:p>
  <w:p w:rsidR="00124FB3" w:rsidRPr="00947B4D" w:rsidP="00915413" w14:paraId="3457DC87"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29B3E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0EF4F484" w14:textId="008766A9">
    <w:pPr>
      <w:pStyle w:val="Header"/>
    </w:pPr>
    <w:r w:rsidRPr="00915413">
      <w:tab/>
      <w:t>Federal Communications Commission</w:t>
    </w:r>
    <w:r w:rsidRPr="00915413">
      <w:tab/>
      <w:t xml:space="preserve">DA </w:t>
    </w:r>
    <w:r w:rsidR="00915413">
      <w:t>2</w:t>
    </w:r>
    <w:r w:rsidR="005D2851">
      <w:t>1</w:t>
    </w:r>
    <w:r w:rsidRPr="00915413">
      <w:t>-</w:t>
    </w:r>
    <w:r w:rsidR="002816C4">
      <w:t>43</w:t>
    </w:r>
  </w:p>
  <w:p w:rsidR="00124FB3" w:rsidRPr="00947B4D" w:rsidP="00915413" w14:paraId="66551D54"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3076"/>
    <w:rsid w:val="00016B78"/>
    <w:rsid w:val="00033EEF"/>
    <w:rsid w:val="00061845"/>
    <w:rsid w:val="00063599"/>
    <w:rsid w:val="000642CE"/>
    <w:rsid w:val="000725CB"/>
    <w:rsid w:val="0009697D"/>
    <w:rsid w:val="000A45C8"/>
    <w:rsid w:val="000C1190"/>
    <w:rsid w:val="000C2EFA"/>
    <w:rsid w:val="000F3534"/>
    <w:rsid w:val="000F643B"/>
    <w:rsid w:val="00100A37"/>
    <w:rsid w:val="00102A40"/>
    <w:rsid w:val="0010399E"/>
    <w:rsid w:val="00115EFF"/>
    <w:rsid w:val="001173C3"/>
    <w:rsid w:val="0012244A"/>
    <w:rsid w:val="00124FB3"/>
    <w:rsid w:val="00132193"/>
    <w:rsid w:val="00146D8A"/>
    <w:rsid w:val="00151C89"/>
    <w:rsid w:val="00170AEF"/>
    <w:rsid w:val="0017245E"/>
    <w:rsid w:val="00174F11"/>
    <w:rsid w:val="001751AB"/>
    <w:rsid w:val="00182875"/>
    <w:rsid w:val="001A13B4"/>
    <w:rsid w:val="001B4EDB"/>
    <w:rsid w:val="001D1D96"/>
    <w:rsid w:val="001F407C"/>
    <w:rsid w:val="002007ED"/>
    <w:rsid w:val="0021210B"/>
    <w:rsid w:val="00213FBD"/>
    <w:rsid w:val="00224394"/>
    <w:rsid w:val="00250FC7"/>
    <w:rsid w:val="00252D07"/>
    <w:rsid w:val="002546D1"/>
    <w:rsid w:val="00254E9C"/>
    <w:rsid w:val="00264220"/>
    <w:rsid w:val="00264441"/>
    <w:rsid w:val="00272E14"/>
    <w:rsid w:val="002816C4"/>
    <w:rsid w:val="0028325E"/>
    <w:rsid w:val="0029085A"/>
    <w:rsid w:val="002933B5"/>
    <w:rsid w:val="002B55EA"/>
    <w:rsid w:val="002C18A9"/>
    <w:rsid w:val="002C2CE8"/>
    <w:rsid w:val="002D6CCE"/>
    <w:rsid w:val="002F075D"/>
    <w:rsid w:val="00300160"/>
    <w:rsid w:val="00305A4D"/>
    <w:rsid w:val="00312380"/>
    <w:rsid w:val="00324113"/>
    <w:rsid w:val="003476C5"/>
    <w:rsid w:val="00364397"/>
    <w:rsid w:val="00377AB9"/>
    <w:rsid w:val="0039004B"/>
    <w:rsid w:val="003A2719"/>
    <w:rsid w:val="003A7B6A"/>
    <w:rsid w:val="003B22E6"/>
    <w:rsid w:val="003D1495"/>
    <w:rsid w:val="003E2108"/>
    <w:rsid w:val="003E758D"/>
    <w:rsid w:val="00400538"/>
    <w:rsid w:val="00406E2A"/>
    <w:rsid w:val="00411444"/>
    <w:rsid w:val="004152D3"/>
    <w:rsid w:val="00442F37"/>
    <w:rsid w:val="004450EA"/>
    <w:rsid w:val="0045362C"/>
    <w:rsid w:val="004552E7"/>
    <w:rsid w:val="00460E33"/>
    <w:rsid w:val="004649E6"/>
    <w:rsid w:val="00464A4C"/>
    <w:rsid w:val="00466062"/>
    <w:rsid w:val="004756DA"/>
    <w:rsid w:val="00475AB4"/>
    <w:rsid w:val="0048488E"/>
    <w:rsid w:val="004B33E9"/>
    <w:rsid w:val="004D020E"/>
    <w:rsid w:val="004D154C"/>
    <w:rsid w:val="004D5F4D"/>
    <w:rsid w:val="004D7205"/>
    <w:rsid w:val="00513042"/>
    <w:rsid w:val="00522939"/>
    <w:rsid w:val="00522F40"/>
    <w:rsid w:val="0053631C"/>
    <w:rsid w:val="0054227E"/>
    <w:rsid w:val="00542911"/>
    <w:rsid w:val="0054658F"/>
    <w:rsid w:val="00555D44"/>
    <w:rsid w:val="00556F2A"/>
    <w:rsid w:val="005643D0"/>
    <w:rsid w:val="0058204C"/>
    <w:rsid w:val="005A2ED5"/>
    <w:rsid w:val="005A3C5A"/>
    <w:rsid w:val="005A40EE"/>
    <w:rsid w:val="005A6179"/>
    <w:rsid w:val="005D2851"/>
    <w:rsid w:val="005F3236"/>
    <w:rsid w:val="005F5ACF"/>
    <w:rsid w:val="00600AB4"/>
    <w:rsid w:val="00601A10"/>
    <w:rsid w:val="00603EAF"/>
    <w:rsid w:val="00642433"/>
    <w:rsid w:val="00654F6D"/>
    <w:rsid w:val="00671BD5"/>
    <w:rsid w:val="00674B53"/>
    <w:rsid w:val="00675642"/>
    <w:rsid w:val="00694701"/>
    <w:rsid w:val="006977E1"/>
    <w:rsid w:val="006A729F"/>
    <w:rsid w:val="006B5182"/>
    <w:rsid w:val="006C055B"/>
    <w:rsid w:val="006C71D1"/>
    <w:rsid w:val="006C745F"/>
    <w:rsid w:val="006D41BB"/>
    <w:rsid w:val="006D5941"/>
    <w:rsid w:val="006E5075"/>
    <w:rsid w:val="006F5EF8"/>
    <w:rsid w:val="006F7F5E"/>
    <w:rsid w:val="00701A29"/>
    <w:rsid w:val="0070285B"/>
    <w:rsid w:val="0070595C"/>
    <w:rsid w:val="007116D3"/>
    <w:rsid w:val="00715797"/>
    <w:rsid w:val="00720723"/>
    <w:rsid w:val="00726097"/>
    <w:rsid w:val="0073764D"/>
    <w:rsid w:val="007415F1"/>
    <w:rsid w:val="00742FE1"/>
    <w:rsid w:val="00753410"/>
    <w:rsid w:val="00766006"/>
    <w:rsid w:val="0076731C"/>
    <w:rsid w:val="0077649F"/>
    <w:rsid w:val="0077691C"/>
    <w:rsid w:val="007817D0"/>
    <w:rsid w:val="007977E9"/>
    <w:rsid w:val="007A2495"/>
    <w:rsid w:val="007A74E7"/>
    <w:rsid w:val="007A77DC"/>
    <w:rsid w:val="007B6927"/>
    <w:rsid w:val="007C196E"/>
    <w:rsid w:val="007C2913"/>
    <w:rsid w:val="007D1C6E"/>
    <w:rsid w:val="007D338C"/>
    <w:rsid w:val="007D6335"/>
    <w:rsid w:val="007E3D01"/>
    <w:rsid w:val="00802DDA"/>
    <w:rsid w:val="00805CE8"/>
    <w:rsid w:val="00815E82"/>
    <w:rsid w:val="00816AAA"/>
    <w:rsid w:val="00826124"/>
    <w:rsid w:val="008330FE"/>
    <w:rsid w:val="008367AF"/>
    <w:rsid w:val="008426F1"/>
    <w:rsid w:val="0085482E"/>
    <w:rsid w:val="00862E93"/>
    <w:rsid w:val="00864191"/>
    <w:rsid w:val="0086538D"/>
    <w:rsid w:val="00866C07"/>
    <w:rsid w:val="00874E66"/>
    <w:rsid w:val="00875E61"/>
    <w:rsid w:val="0087704F"/>
    <w:rsid w:val="00887E0C"/>
    <w:rsid w:val="008920C4"/>
    <w:rsid w:val="008A4A76"/>
    <w:rsid w:val="008C199A"/>
    <w:rsid w:val="008C24C1"/>
    <w:rsid w:val="008C2F1D"/>
    <w:rsid w:val="008C4F3D"/>
    <w:rsid w:val="008D4F70"/>
    <w:rsid w:val="008E0FEF"/>
    <w:rsid w:val="008E17CE"/>
    <w:rsid w:val="008E36C1"/>
    <w:rsid w:val="008E3E6A"/>
    <w:rsid w:val="009106EA"/>
    <w:rsid w:val="00911CC4"/>
    <w:rsid w:val="009122FE"/>
    <w:rsid w:val="00912D6D"/>
    <w:rsid w:val="00913B96"/>
    <w:rsid w:val="00913CD0"/>
    <w:rsid w:val="00915413"/>
    <w:rsid w:val="00916096"/>
    <w:rsid w:val="00920082"/>
    <w:rsid w:val="009270AC"/>
    <w:rsid w:val="00945045"/>
    <w:rsid w:val="00947B4D"/>
    <w:rsid w:val="00955990"/>
    <w:rsid w:val="009612A4"/>
    <w:rsid w:val="00962EB2"/>
    <w:rsid w:val="00982705"/>
    <w:rsid w:val="009834E0"/>
    <w:rsid w:val="0099319C"/>
    <w:rsid w:val="009A2763"/>
    <w:rsid w:val="009C0115"/>
    <w:rsid w:val="009C3818"/>
    <w:rsid w:val="009C702E"/>
    <w:rsid w:val="009C7DB0"/>
    <w:rsid w:val="009D053D"/>
    <w:rsid w:val="009D4824"/>
    <w:rsid w:val="009E3478"/>
    <w:rsid w:val="009F4C33"/>
    <w:rsid w:val="00A0783B"/>
    <w:rsid w:val="00A0783D"/>
    <w:rsid w:val="00A10393"/>
    <w:rsid w:val="00A10F13"/>
    <w:rsid w:val="00A15369"/>
    <w:rsid w:val="00A17744"/>
    <w:rsid w:val="00A17B8E"/>
    <w:rsid w:val="00A205B5"/>
    <w:rsid w:val="00A23B7C"/>
    <w:rsid w:val="00A313F2"/>
    <w:rsid w:val="00A32431"/>
    <w:rsid w:val="00A34D6B"/>
    <w:rsid w:val="00A3545B"/>
    <w:rsid w:val="00A35A4F"/>
    <w:rsid w:val="00A403D9"/>
    <w:rsid w:val="00A43408"/>
    <w:rsid w:val="00A60A9F"/>
    <w:rsid w:val="00A6332C"/>
    <w:rsid w:val="00A77066"/>
    <w:rsid w:val="00A81713"/>
    <w:rsid w:val="00A83E4D"/>
    <w:rsid w:val="00A86AF6"/>
    <w:rsid w:val="00A9500C"/>
    <w:rsid w:val="00AA120E"/>
    <w:rsid w:val="00AC315A"/>
    <w:rsid w:val="00AD519C"/>
    <w:rsid w:val="00AE6923"/>
    <w:rsid w:val="00AF2D1B"/>
    <w:rsid w:val="00B030FD"/>
    <w:rsid w:val="00B04AB3"/>
    <w:rsid w:val="00B11767"/>
    <w:rsid w:val="00B17777"/>
    <w:rsid w:val="00B177BC"/>
    <w:rsid w:val="00B205BF"/>
    <w:rsid w:val="00B21D6D"/>
    <w:rsid w:val="00B30481"/>
    <w:rsid w:val="00B457F4"/>
    <w:rsid w:val="00B502DE"/>
    <w:rsid w:val="00B50D51"/>
    <w:rsid w:val="00B61E3D"/>
    <w:rsid w:val="00B631A8"/>
    <w:rsid w:val="00B7104D"/>
    <w:rsid w:val="00B72EE2"/>
    <w:rsid w:val="00B87D47"/>
    <w:rsid w:val="00B9072C"/>
    <w:rsid w:val="00BA545E"/>
    <w:rsid w:val="00BB4DB8"/>
    <w:rsid w:val="00BD6B16"/>
    <w:rsid w:val="00BD6D51"/>
    <w:rsid w:val="00BE63FE"/>
    <w:rsid w:val="00BF70C1"/>
    <w:rsid w:val="00C03EDF"/>
    <w:rsid w:val="00C064CA"/>
    <w:rsid w:val="00C44E2F"/>
    <w:rsid w:val="00C56DA8"/>
    <w:rsid w:val="00C84165"/>
    <w:rsid w:val="00C90D49"/>
    <w:rsid w:val="00C9230A"/>
    <w:rsid w:val="00CA7DD3"/>
    <w:rsid w:val="00CE6A7B"/>
    <w:rsid w:val="00CE7156"/>
    <w:rsid w:val="00CE7221"/>
    <w:rsid w:val="00CF4343"/>
    <w:rsid w:val="00D000B4"/>
    <w:rsid w:val="00D0760B"/>
    <w:rsid w:val="00D11850"/>
    <w:rsid w:val="00D12811"/>
    <w:rsid w:val="00D158FA"/>
    <w:rsid w:val="00D172A1"/>
    <w:rsid w:val="00D23EB0"/>
    <w:rsid w:val="00D24915"/>
    <w:rsid w:val="00D33CCE"/>
    <w:rsid w:val="00D423B0"/>
    <w:rsid w:val="00D54303"/>
    <w:rsid w:val="00D560EA"/>
    <w:rsid w:val="00D64E57"/>
    <w:rsid w:val="00D76268"/>
    <w:rsid w:val="00D76BBD"/>
    <w:rsid w:val="00D815E4"/>
    <w:rsid w:val="00D82AA4"/>
    <w:rsid w:val="00D86085"/>
    <w:rsid w:val="00D8749A"/>
    <w:rsid w:val="00D911F2"/>
    <w:rsid w:val="00D93F71"/>
    <w:rsid w:val="00DC63A9"/>
    <w:rsid w:val="00DE33DA"/>
    <w:rsid w:val="00DE6ABD"/>
    <w:rsid w:val="00E1189A"/>
    <w:rsid w:val="00E306A6"/>
    <w:rsid w:val="00E3636F"/>
    <w:rsid w:val="00E4519B"/>
    <w:rsid w:val="00E60BCF"/>
    <w:rsid w:val="00E648EB"/>
    <w:rsid w:val="00E65CED"/>
    <w:rsid w:val="00E75C56"/>
    <w:rsid w:val="00E80C9E"/>
    <w:rsid w:val="00E8263C"/>
    <w:rsid w:val="00E91705"/>
    <w:rsid w:val="00EA24F5"/>
    <w:rsid w:val="00EA4AB4"/>
    <w:rsid w:val="00EB05E5"/>
    <w:rsid w:val="00EB4AF2"/>
    <w:rsid w:val="00EB54E2"/>
    <w:rsid w:val="00EB5951"/>
    <w:rsid w:val="00EC1019"/>
    <w:rsid w:val="00EE2FCA"/>
    <w:rsid w:val="00EE4177"/>
    <w:rsid w:val="00EF7621"/>
    <w:rsid w:val="00EF7C70"/>
    <w:rsid w:val="00F02952"/>
    <w:rsid w:val="00F27407"/>
    <w:rsid w:val="00F34389"/>
    <w:rsid w:val="00F368F8"/>
    <w:rsid w:val="00F741AA"/>
    <w:rsid w:val="00F767B1"/>
    <w:rsid w:val="00FA1F76"/>
    <w:rsid w:val="00FA4F84"/>
    <w:rsid w:val="00FB6195"/>
    <w:rsid w:val="00FC5E78"/>
    <w:rsid w:val="00FC7146"/>
    <w:rsid w:val="00FE3B1E"/>
    <w:rsid w:val="00FE5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C4"/>
    <w:pPr>
      <w:widowControl w:val="0"/>
    </w:pPr>
    <w:rPr>
      <w:snapToGrid w:val="0"/>
      <w:kern w:val="28"/>
      <w:sz w:val="22"/>
    </w:rPr>
  </w:style>
  <w:style w:type="paragraph" w:styleId="Heading1">
    <w:name w:val="heading 1"/>
    <w:basedOn w:val="Normal"/>
    <w:next w:val="ParaNum"/>
    <w:link w:val="Heading1Char"/>
    <w:qFormat/>
    <w:rsid w:val="002816C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816C4"/>
    <w:pPr>
      <w:keepNext/>
      <w:numPr>
        <w:ilvl w:val="1"/>
        <w:numId w:val="14"/>
      </w:numPr>
      <w:spacing w:after="120"/>
      <w:outlineLvl w:val="1"/>
    </w:pPr>
    <w:rPr>
      <w:b/>
    </w:rPr>
  </w:style>
  <w:style w:type="paragraph" w:styleId="Heading3">
    <w:name w:val="heading 3"/>
    <w:basedOn w:val="Normal"/>
    <w:next w:val="ParaNum"/>
    <w:link w:val="Heading3Char"/>
    <w:qFormat/>
    <w:rsid w:val="002816C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2816C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2816C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2816C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2816C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2816C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816C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16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16C4"/>
  </w:style>
  <w:style w:type="paragraph" w:customStyle="1" w:styleId="ParaNum">
    <w:name w:val="ParaNum"/>
    <w:basedOn w:val="Normal"/>
    <w:link w:val="ParaNumChar"/>
    <w:rsid w:val="002816C4"/>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816C4"/>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2816C4"/>
    <w:rPr>
      <w:rFonts w:ascii="Times New Roman" w:hAnsi="Times New Roman"/>
      <w:dstrike w:val="0"/>
      <w:color w:val="auto"/>
      <w:sz w:val="20"/>
      <w:vertAlign w:val="superscript"/>
    </w:rPr>
  </w:style>
  <w:style w:type="paragraph" w:styleId="Header">
    <w:name w:val="header"/>
    <w:basedOn w:val="Normal"/>
    <w:autoRedefine/>
    <w:rsid w:val="002816C4"/>
    <w:pPr>
      <w:tabs>
        <w:tab w:val="center" w:pos="4680"/>
        <w:tab w:val="right" w:pos="9360"/>
      </w:tabs>
    </w:pPr>
    <w:rPr>
      <w:b/>
    </w:rPr>
  </w:style>
  <w:style w:type="paragraph" w:styleId="Footer">
    <w:name w:val="footer"/>
    <w:basedOn w:val="Normal"/>
    <w:link w:val="FooterChar"/>
    <w:uiPriority w:val="99"/>
    <w:rsid w:val="002816C4"/>
    <w:pPr>
      <w:tabs>
        <w:tab w:val="center" w:pos="4320"/>
        <w:tab w:val="right" w:pos="8640"/>
      </w:tabs>
    </w:pPr>
  </w:style>
  <w:style w:type="character" w:styleId="PageNumber">
    <w:name w:val="page number"/>
    <w:basedOn w:val="DefaultParagraphFont"/>
    <w:rsid w:val="002816C4"/>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2816C4"/>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2816C4"/>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2816C4"/>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2816C4"/>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2816C4"/>
    <w:rPr>
      <w:vertAlign w:val="superscript"/>
    </w:rPr>
  </w:style>
  <w:style w:type="paragraph" w:styleId="TOC1">
    <w:name w:val="toc 1"/>
    <w:basedOn w:val="Normal"/>
    <w:next w:val="Normal"/>
    <w:rsid w:val="002816C4"/>
    <w:pPr>
      <w:tabs>
        <w:tab w:val="left" w:pos="360"/>
        <w:tab w:val="right" w:leader="dot" w:pos="9360"/>
      </w:tabs>
      <w:suppressAutoHyphens/>
      <w:ind w:left="360" w:right="720" w:hanging="360"/>
    </w:pPr>
    <w:rPr>
      <w:caps/>
      <w:noProof/>
    </w:rPr>
  </w:style>
  <w:style w:type="paragraph" w:styleId="TOC2">
    <w:name w:val="toc 2"/>
    <w:basedOn w:val="Normal"/>
    <w:next w:val="Normal"/>
    <w:rsid w:val="002816C4"/>
    <w:pPr>
      <w:tabs>
        <w:tab w:val="left" w:pos="720"/>
        <w:tab w:val="right" w:leader="dot" w:pos="9360"/>
      </w:tabs>
      <w:suppressAutoHyphens/>
      <w:ind w:left="720" w:right="720" w:hanging="360"/>
    </w:pPr>
    <w:rPr>
      <w:noProof/>
    </w:rPr>
  </w:style>
  <w:style w:type="paragraph" w:styleId="TOC3">
    <w:name w:val="toc 3"/>
    <w:basedOn w:val="Normal"/>
    <w:next w:val="Normal"/>
    <w:rsid w:val="002816C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816C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816C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816C4"/>
    <w:pPr>
      <w:tabs>
        <w:tab w:val="left" w:pos="2160"/>
        <w:tab w:val="right" w:leader="dot" w:pos="9360"/>
      </w:tabs>
      <w:suppressAutoHyphens/>
      <w:ind w:left="2160" w:hanging="360"/>
    </w:pPr>
    <w:rPr>
      <w:noProof/>
    </w:rPr>
  </w:style>
  <w:style w:type="paragraph" w:styleId="TOC7">
    <w:name w:val="toc 7"/>
    <w:basedOn w:val="Normal"/>
    <w:next w:val="Normal"/>
    <w:autoRedefine/>
    <w:rsid w:val="002816C4"/>
    <w:pPr>
      <w:tabs>
        <w:tab w:val="left" w:pos="2520"/>
        <w:tab w:val="right" w:leader="dot" w:pos="9360"/>
      </w:tabs>
      <w:suppressAutoHyphens/>
      <w:ind w:left="2520" w:hanging="360"/>
    </w:pPr>
    <w:rPr>
      <w:noProof/>
    </w:rPr>
  </w:style>
  <w:style w:type="paragraph" w:styleId="TOC8">
    <w:name w:val="toc 8"/>
    <w:basedOn w:val="Normal"/>
    <w:next w:val="Normal"/>
    <w:autoRedefine/>
    <w:rsid w:val="002816C4"/>
    <w:pPr>
      <w:tabs>
        <w:tab w:val="left" w:pos="2880"/>
        <w:tab w:val="right" w:leader="dot" w:pos="9360"/>
      </w:tabs>
      <w:suppressAutoHyphens/>
      <w:ind w:left="2880" w:hanging="360"/>
    </w:pPr>
    <w:rPr>
      <w:noProof/>
    </w:rPr>
  </w:style>
  <w:style w:type="paragraph" w:styleId="TOC9">
    <w:name w:val="toc 9"/>
    <w:basedOn w:val="Normal"/>
    <w:next w:val="Normal"/>
    <w:autoRedefine/>
    <w:rsid w:val="002816C4"/>
    <w:pPr>
      <w:tabs>
        <w:tab w:val="left" w:pos="3240"/>
        <w:tab w:val="right" w:leader="dot" w:pos="9360"/>
      </w:tabs>
      <w:suppressAutoHyphens/>
      <w:ind w:left="3240" w:hanging="360"/>
    </w:pPr>
    <w:rPr>
      <w:noProof/>
    </w:rPr>
  </w:style>
  <w:style w:type="paragraph" w:styleId="TOAHeading">
    <w:name w:val="toa heading"/>
    <w:basedOn w:val="Normal"/>
    <w:next w:val="Normal"/>
    <w:rsid w:val="002816C4"/>
    <w:pPr>
      <w:tabs>
        <w:tab w:val="right" w:pos="9360"/>
      </w:tabs>
      <w:suppressAutoHyphens/>
    </w:pPr>
  </w:style>
  <w:style w:type="character" w:customStyle="1" w:styleId="EquationCaption">
    <w:name w:val="_Equation Caption"/>
    <w:rsid w:val="002816C4"/>
  </w:style>
  <w:style w:type="paragraph" w:styleId="BlockText">
    <w:name w:val="Block Text"/>
    <w:basedOn w:val="Normal"/>
    <w:rsid w:val="002816C4"/>
    <w:pPr>
      <w:spacing w:after="240"/>
      <w:ind w:left="1440" w:right="1440"/>
    </w:pPr>
  </w:style>
  <w:style w:type="paragraph" w:customStyle="1" w:styleId="Paratitle">
    <w:name w:val="Para title"/>
    <w:basedOn w:val="Normal"/>
    <w:rsid w:val="002816C4"/>
    <w:pPr>
      <w:tabs>
        <w:tab w:val="center" w:pos="9270"/>
      </w:tabs>
      <w:spacing w:after="240"/>
    </w:pPr>
    <w:rPr>
      <w:spacing w:val="-2"/>
    </w:rPr>
  </w:style>
  <w:style w:type="paragraph" w:customStyle="1" w:styleId="TableFormat">
    <w:name w:val="TableFormat"/>
    <w:basedOn w:val="Bullet"/>
    <w:rsid w:val="002816C4"/>
    <w:pPr>
      <w:tabs>
        <w:tab w:val="clear" w:pos="2160"/>
        <w:tab w:val="left" w:pos="5040"/>
      </w:tabs>
      <w:ind w:left="5040" w:hanging="3600"/>
    </w:pPr>
  </w:style>
  <w:style w:type="paragraph" w:customStyle="1" w:styleId="TOCTitle">
    <w:name w:val="TOC Title"/>
    <w:basedOn w:val="Normal"/>
    <w:rsid w:val="002816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16C4"/>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
    <w:name w:val="Unresolved Mention"/>
    <w:basedOn w:val="DefaultParagraphFont"/>
    <w:rsid w:val="001B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