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BE9B8DE">
            <w:pPr>
              <w:tabs>
                <w:tab w:val="center" w:pos="4680"/>
              </w:tabs>
              <w:suppressAutoHyphens/>
              <w:rPr>
                <w:spacing w:val="-2"/>
              </w:rPr>
            </w:pPr>
            <w:r w:rsidRPr="00474268">
              <w:rPr>
                <w:spacing w:val="-2"/>
              </w:rPr>
              <w:t>In re Application</w:t>
            </w:r>
            <w:r w:rsidR="00682097">
              <w:rPr>
                <w:spacing w:val="-2"/>
              </w:rPr>
              <w:t>s</w:t>
            </w:r>
            <w:r w:rsidRPr="00474268">
              <w:rPr>
                <w:spacing w:val="-2"/>
              </w:rPr>
              <w:t xml:space="preserve"> of  </w:t>
            </w:r>
          </w:p>
          <w:p w:rsidR="00474268" w:rsidRPr="00474268" w:rsidP="00474268" w14:paraId="10BDFE53" w14:textId="77777777">
            <w:pPr>
              <w:tabs>
                <w:tab w:val="center" w:pos="4680"/>
              </w:tabs>
              <w:suppressAutoHyphens/>
              <w:rPr>
                <w:spacing w:val="-2"/>
              </w:rPr>
            </w:pPr>
          </w:p>
          <w:p w:rsidR="00682097" w:rsidRPr="00682097" w:rsidP="00682097" w14:paraId="7DC5B68D" w14:textId="77777777">
            <w:pPr>
              <w:tabs>
                <w:tab w:val="center" w:pos="4680"/>
              </w:tabs>
              <w:suppressAutoHyphens/>
              <w:rPr>
                <w:b/>
                <w:bCs/>
                <w:spacing w:val="-2"/>
              </w:rPr>
            </w:pPr>
            <w:r w:rsidRPr="00682097">
              <w:rPr>
                <w:b/>
                <w:bCs/>
                <w:spacing w:val="-2"/>
              </w:rPr>
              <w:t>Billy R. Autry</w:t>
            </w:r>
          </w:p>
          <w:p w:rsidR="00682097" w:rsidP="00682097" w14:paraId="573ABD22" w14:textId="77777777">
            <w:pPr>
              <w:tabs>
                <w:tab w:val="center" w:pos="4680"/>
              </w:tabs>
              <w:suppressAutoHyphens/>
              <w:rPr>
                <w:b/>
                <w:bCs/>
                <w:spacing w:val="-2"/>
              </w:rPr>
            </w:pPr>
          </w:p>
          <w:p w:rsidR="00682097" w:rsidRPr="00682097" w:rsidP="00682097" w14:paraId="24F92D4B" w14:textId="0376B426">
            <w:pPr>
              <w:tabs>
                <w:tab w:val="center" w:pos="4680"/>
              </w:tabs>
              <w:suppressAutoHyphens/>
              <w:rPr>
                <w:spacing w:val="-2"/>
              </w:rPr>
            </w:pPr>
            <w:r w:rsidRPr="00682097">
              <w:rPr>
                <w:spacing w:val="-2"/>
              </w:rPr>
              <w:t>For Renewal of Licenses for</w:t>
            </w:r>
          </w:p>
          <w:p w:rsidR="00682097" w:rsidRPr="00682097" w:rsidP="00682097" w14:paraId="064B69A5" w14:textId="77777777">
            <w:pPr>
              <w:tabs>
                <w:tab w:val="center" w:pos="4680"/>
              </w:tabs>
              <w:suppressAutoHyphens/>
              <w:rPr>
                <w:spacing w:val="-2"/>
              </w:rPr>
            </w:pPr>
          </w:p>
          <w:p w:rsidR="00682097" w:rsidRPr="00682097" w:rsidP="00682097" w14:paraId="162098CA" w14:textId="77777777">
            <w:pPr>
              <w:tabs>
                <w:tab w:val="center" w:pos="4680"/>
              </w:tabs>
              <w:suppressAutoHyphens/>
              <w:rPr>
                <w:spacing w:val="-2"/>
              </w:rPr>
            </w:pPr>
            <w:r w:rsidRPr="00682097">
              <w:rPr>
                <w:spacing w:val="-2"/>
              </w:rPr>
              <w:t>Station WKRA(AM)</w:t>
            </w:r>
          </w:p>
          <w:p w:rsidR="00682097" w:rsidRPr="00682097" w:rsidP="00682097" w14:paraId="7B92398C" w14:textId="77777777">
            <w:pPr>
              <w:tabs>
                <w:tab w:val="center" w:pos="4680"/>
              </w:tabs>
              <w:suppressAutoHyphens/>
              <w:rPr>
                <w:spacing w:val="-2"/>
              </w:rPr>
            </w:pPr>
            <w:r w:rsidRPr="00682097">
              <w:rPr>
                <w:spacing w:val="-2"/>
              </w:rPr>
              <w:t>Holly Springs, Mississippi</w:t>
            </w:r>
          </w:p>
          <w:p w:rsidR="00682097" w:rsidRPr="00682097" w:rsidP="00682097" w14:paraId="33B6AA98" w14:textId="77777777">
            <w:pPr>
              <w:tabs>
                <w:tab w:val="center" w:pos="4680"/>
              </w:tabs>
              <w:suppressAutoHyphens/>
              <w:rPr>
                <w:spacing w:val="-2"/>
              </w:rPr>
            </w:pPr>
          </w:p>
          <w:p w:rsidR="00682097" w:rsidRPr="00682097" w:rsidP="00682097" w14:paraId="01BB5114" w14:textId="77777777">
            <w:pPr>
              <w:tabs>
                <w:tab w:val="center" w:pos="4680"/>
              </w:tabs>
              <w:suppressAutoHyphens/>
              <w:rPr>
                <w:spacing w:val="-2"/>
              </w:rPr>
            </w:pPr>
            <w:r w:rsidRPr="00682097">
              <w:rPr>
                <w:spacing w:val="-2"/>
              </w:rPr>
              <w:t>Station WKRA-FM</w:t>
            </w:r>
          </w:p>
          <w:p w:rsidR="004C2EE3" w:rsidRPr="007115F7" w:rsidP="00682097" w14:paraId="29E89B9F" w14:textId="0A22272A">
            <w:pPr>
              <w:tabs>
                <w:tab w:val="center" w:pos="4680"/>
              </w:tabs>
              <w:suppressAutoHyphens/>
              <w:rPr>
                <w:spacing w:val="-2"/>
              </w:rPr>
            </w:pPr>
            <w:r w:rsidRPr="00682097">
              <w:rPr>
                <w:spacing w:val="-2"/>
              </w:rPr>
              <w:t>Holly Springs, Mississippi</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14:paraId="67B1ABF0" w14:textId="77777777">
            <w:pPr>
              <w:tabs>
                <w:tab w:val="center" w:pos="4680"/>
              </w:tabs>
              <w:suppressAutoHyphens/>
              <w:rPr>
                <w:b/>
                <w:spacing w:val="-2"/>
              </w:rPr>
            </w:pPr>
            <w:r>
              <w:rPr>
                <w:b/>
                <w:spacing w:val="-2"/>
              </w:rPr>
              <w:t>)</w:t>
            </w:r>
          </w:p>
          <w:p w:rsidR="00682097" w14:paraId="65CFA2CE" w14:textId="77777777">
            <w:pPr>
              <w:tabs>
                <w:tab w:val="center" w:pos="4680"/>
              </w:tabs>
              <w:suppressAutoHyphens/>
              <w:rPr>
                <w:b/>
                <w:spacing w:val="-2"/>
              </w:rPr>
            </w:pPr>
            <w:r>
              <w:rPr>
                <w:b/>
                <w:spacing w:val="-2"/>
              </w:rPr>
              <w:t>)</w:t>
            </w:r>
          </w:p>
          <w:p w:rsidR="00682097" w14:paraId="7B4D45C5" w14:textId="77777777">
            <w:pPr>
              <w:tabs>
                <w:tab w:val="center" w:pos="4680"/>
              </w:tabs>
              <w:suppressAutoHyphens/>
              <w:rPr>
                <w:b/>
                <w:spacing w:val="-2"/>
              </w:rPr>
            </w:pPr>
            <w:r>
              <w:rPr>
                <w:b/>
                <w:spacing w:val="-2"/>
              </w:rPr>
              <w:t>)</w:t>
            </w:r>
          </w:p>
          <w:p w:rsidR="00682097" w14:paraId="4374A7D2" w14:textId="77777777">
            <w:pPr>
              <w:tabs>
                <w:tab w:val="center" w:pos="4680"/>
              </w:tabs>
              <w:suppressAutoHyphens/>
              <w:rPr>
                <w:b/>
                <w:spacing w:val="-2"/>
              </w:rPr>
            </w:pPr>
            <w:r>
              <w:rPr>
                <w:b/>
                <w:spacing w:val="-2"/>
              </w:rPr>
              <w:t>)</w:t>
            </w:r>
          </w:p>
          <w:p w:rsidR="00682097" w:rsidRPr="00474268" w14:paraId="12BAF059" w14:textId="6D570478">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474268" w:rsidRPr="00474268" w:rsidP="00474268" w14:paraId="6EE69D20" w14:textId="625CDF1B">
            <w:pPr>
              <w:pStyle w:val="TOAHeading"/>
              <w:tabs>
                <w:tab w:val="clear" w:pos="9360"/>
              </w:tabs>
              <w:rPr>
                <w:spacing w:val="-2"/>
              </w:rPr>
            </w:pPr>
            <w:r w:rsidRPr="00474268">
              <w:rPr>
                <w:spacing w:val="-2"/>
              </w:rPr>
              <w:t xml:space="preserve">Facility ID No. </w:t>
            </w:r>
            <w:r w:rsidRPr="00C35831" w:rsidR="00C35831">
              <w:rPr>
                <w:spacing w:val="-2"/>
              </w:rPr>
              <w:t>5887</w:t>
            </w:r>
          </w:p>
          <w:p w:rsidR="00682097" w:rsidRPr="00682097" w:rsidP="00682097" w14:paraId="0FC5064B" w14:textId="46DFDE6C">
            <w:pPr>
              <w:pStyle w:val="TOAHeading"/>
              <w:rPr>
                <w:spacing w:val="-2"/>
              </w:rPr>
            </w:pPr>
            <w:r w:rsidRPr="00682097">
              <w:rPr>
                <w:spacing w:val="-2"/>
              </w:rPr>
              <w:t>NAL/Acct. No.  MB-2021414100</w:t>
            </w:r>
            <w:r w:rsidR="001F609B">
              <w:rPr>
                <w:spacing w:val="-2"/>
              </w:rPr>
              <w:t>25</w:t>
            </w:r>
          </w:p>
          <w:p w:rsidR="00682097" w:rsidRPr="00682097" w:rsidP="00682097" w14:paraId="148F1E5A" w14:textId="77777777">
            <w:pPr>
              <w:pStyle w:val="TOAHeading"/>
              <w:rPr>
                <w:spacing w:val="-2"/>
              </w:rPr>
            </w:pPr>
            <w:r w:rsidRPr="00682097">
              <w:rPr>
                <w:spacing w:val="-2"/>
              </w:rPr>
              <w:t xml:space="preserve">FRN: 0004930145  </w:t>
            </w:r>
          </w:p>
          <w:p w:rsidR="00682097" w:rsidRPr="00682097" w:rsidP="00682097" w14:paraId="518C1186" w14:textId="77777777">
            <w:pPr>
              <w:pStyle w:val="TOAHeading"/>
              <w:rPr>
                <w:spacing w:val="-2"/>
              </w:rPr>
            </w:pPr>
          </w:p>
          <w:p w:rsidR="00682097" w:rsidRPr="00682097" w:rsidP="00682097" w14:paraId="05892FAE" w14:textId="77777777">
            <w:pPr>
              <w:pStyle w:val="TOAHeading"/>
              <w:rPr>
                <w:b/>
                <w:spacing w:val="-2"/>
              </w:rPr>
            </w:pPr>
            <w:r w:rsidRPr="00682097">
              <w:rPr>
                <w:spacing w:val="-2"/>
              </w:rPr>
              <w:t>Facility ID No.</w:t>
            </w:r>
            <w:r w:rsidRPr="00682097">
              <w:rPr>
                <w:bCs/>
                <w:spacing w:val="-2"/>
              </w:rPr>
              <w:t xml:space="preserve"> 5333</w:t>
            </w:r>
          </w:p>
          <w:p w:rsidR="00682097" w:rsidRPr="00682097" w:rsidP="00682097" w14:paraId="7AF6CC32" w14:textId="77777777">
            <w:pPr>
              <w:pStyle w:val="TOAHeading"/>
              <w:rPr>
                <w:spacing w:val="-2"/>
              </w:rPr>
            </w:pPr>
            <w:r w:rsidRPr="00682097">
              <w:rPr>
                <w:spacing w:val="-2"/>
              </w:rPr>
              <w:t>File No. 0000</w:t>
            </w:r>
            <w:r w:rsidRPr="00682097">
              <w:rPr>
                <w:bCs/>
                <w:spacing w:val="-2"/>
              </w:rPr>
              <w:t>114037</w:t>
            </w:r>
          </w:p>
          <w:p w:rsidR="00682097" w:rsidRPr="00682097" w:rsidP="00682097" w14:paraId="69049DE3" w14:textId="77777777">
            <w:pPr>
              <w:pStyle w:val="TOAHeading"/>
              <w:rPr>
                <w:spacing w:val="-2"/>
              </w:rPr>
            </w:pPr>
          </w:p>
          <w:p w:rsidR="00682097" w:rsidRPr="00682097" w:rsidP="00682097" w14:paraId="7129F3E4" w14:textId="77777777">
            <w:pPr>
              <w:pStyle w:val="TOAHeading"/>
              <w:rPr>
                <w:b/>
                <w:spacing w:val="-2"/>
              </w:rPr>
            </w:pPr>
            <w:r w:rsidRPr="00682097">
              <w:rPr>
                <w:spacing w:val="-2"/>
              </w:rPr>
              <w:t>Facility ID No.</w:t>
            </w:r>
            <w:r w:rsidRPr="00682097">
              <w:rPr>
                <w:bCs/>
                <w:spacing w:val="-2"/>
              </w:rPr>
              <w:t xml:space="preserve"> 5334</w:t>
            </w:r>
          </w:p>
          <w:p w:rsidR="004C2EE3" w:rsidP="00682097" w14:paraId="38788DD1" w14:textId="717E5747">
            <w:pPr>
              <w:tabs>
                <w:tab w:val="center" w:pos="4680"/>
              </w:tabs>
              <w:suppressAutoHyphens/>
              <w:rPr>
                <w:spacing w:val="-2"/>
              </w:rPr>
            </w:pPr>
            <w:r w:rsidRPr="00682097">
              <w:rPr>
                <w:spacing w:val="-2"/>
              </w:rPr>
              <w:t>File No. 0000</w:t>
            </w:r>
            <w:r w:rsidRPr="00682097">
              <w:rPr>
                <w:bCs/>
                <w:spacing w:val="-2"/>
              </w:rPr>
              <w:t>114048</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514D7706">
      <w:pPr>
        <w:tabs>
          <w:tab w:val="left" w:pos="720"/>
          <w:tab w:val="right" w:pos="9360"/>
        </w:tabs>
        <w:suppressAutoHyphens/>
        <w:spacing w:line="227" w:lineRule="auto"/>
        <w:rPr>
          <w:spacing w:val="-2"/>
        </w:rPr>
      </w:pPr>
      <w:r>
        <w:rPr>
          <w:b/>
          <w:spacing w:val="-2"/>
        </w:rPr>
        <w:t xml:space="preserve">Adopted:  </w:t>
      </w:r>
      <w:r w:rsidR="00580E16">
        <w:rPr>
          <w:b/>
          <w:spacing w:val="-2"/>
        </w:rPr>
        <w:t>April 19,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80E16">
        <w:rPr>
          <w:b/>
          <w:spacing w:val="-2"/>
        </w:rPr>
        <w:t>April 19,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474268" w:rsidP="00474268" w14:paraId="21579398" w14:textId="0765C3F3">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rsidRPr="00682097" w:rsidR="00682097">
        <w:t>Billy R. Autry</w:t>
      </w:r>
      <w:r w:rsidR="00682097">
        <w:t xml:space="preserve"> </w:t>
      </w:r>
      <w:r w:rsidRPr="00474268">
        <w:t xml:space="preserve">(Licensee), licensee of </w:t>
      </w:r>
      <w:r w:rsidR="00C35831">
        <w:t xml:space="preserve">Station </w:t>
      </w:r>
      <w:r w:rsidRPr="00682097" w:rsidR="00682097">
        <w:t>WKRA(AM)</w:t>
      </w:r>
      <w:r w:rsidR="00786BE1">
        <w:t>, Holly Springs, Mississippi,</w:t>
      </w:r>
      <w:r w:rsidRPr="00682097" w:rsidR="00682097">
        <w:t xml:space="preserve"> and </w:t>
      </w:r>
      <w:r w:rsidR="00786BE1">
        <w:t xml:space="preserve">Station </w:t>
      </w:r>
      <w:r w:rsidRPr="00682097" w:rsidR="00682097">
        <w:t xml:space="preserve">WKRA-FM, Holly Springs, Mississippi </w:t>
      </w:r>
      <w:r w:rsidRPr="00474268">
        <w:t>(Station</w:t>
      </w:r>
      <w:r w:rsidR="00682097">
        <w:t>s</w:t>
      </w:r>
      <w:r w:rsidRPr="00474268">
        <w:t>), for apparently willfully violating section 73.3539 of the Commission’s rules (Rules) by failing to timely file license renewal application</w:t>
      </w:r>
      <w:r w:rsidR="00682097">
        <w:t>s</w:t>
      </w:r>
      <w:r w:rsidRPr="00474268">
        <w:t xml:space="preserve"> for the Station</w:t>
      </w:r>
      <w:r w:rsidR="00682097">
        <w:t>s</w:t>
      </w:r>
      <w:r w:rsidRPr="00474268">
        <w:t xml:space="preserve">. </w:t>
      </w:r>
      <w:r w:rsidR="000820BC">
        <w:t xml:space="preserve"> </w:t>
      </w:r>
      <w:r w:rsidRPr="00474268">
        <w:t>As discussed below, we cancel the forfeiture and instead admonish Licensee for the violation.</w:t>
      </w:r>
    </w:p>
    <w:p w:rsidR="00474268" w:rsidRPr="00474268" w:rsidP="00474268" w14:paraId="37C5FDF1" w14:textId="77777777">
      <w:pPr>
        <w:pStyle w:val="Heading1"/>
      </w:pPr>
      <w:r w:rsidRPr="00474268">
        <w:t>BACKGROUND</w:t>
      </w:r>
    </w:p>
    <w:p w:rsidR="00A35A37" w:rsidRPr="00A35A37" w:rsidP="00B54FBF" w14:paraId="7B557B47" w14:textId="04317063">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rsidRPr="00A35A37">
        <w:t xml:space="preserve">  </w:t>
      </w:r>
      <w:r w:rsidR="00682097">
        <w:t>Applications</w:t>
      </w:r>
      <w:r w:rsidRPr="00ED678E" w:rsidR="00682097">
        <w:t xml:space="preserve"> for renewal of the Station</w:t>
      </w:r>
      <w:r w:rsidR="00682097">
        <w:t>s’</w:t>
      </w:r>
      <w:r w:rsidRPr="00ED678E" w:rsidR="00682097">
        <w:t xml:space="preserve"> license</w:t>
      </w:r>
      <w:r w:rsidR="00682097">
        <w:t>s</w:t>
      </w:r>
      <w:r w:rsidRPr="00ED678E" w:rsidR="00682097">
        <w:t xml:space="preserve"> should have been filed by February 3, 2020, the first business day of the fourth full calendar month prior to the Stations</w:t>
      </w:r>
      <w:r w:rsidR="00682097">
        <w:t>’</w:t>
      </w:r>
      <w:r w:rsidRPr="00ED678E" w:rsidR="00682097">
        <w:t xml:space="preserve"> June 1, 2020 license expiration date.</w:t>
      </w:r>
      <w:r>
        <w:rPr>
          <w:vertAlign w:val="superscript"/>
        </w:rPr>
        <w:footnoteReference w:id="5"/>
      </w:r>
      <w:r w:rsidRPr="00ED678E" w:rsidR="00682097">
        <w:t xml:space="preserve">  </w:t>
      </w:r>
      <w:r w:rsidRPr="00640B56" w:rsidR="00682097">
        <w:t xml:space="preserve">The </w:t>
      </w:r>
      <w:r w:rsidR="00682097">
        <w:t>a</w:t>
      </w:r>
      <w:r w:rsidRPr="00640B56" w:rsidR="00682097">
        <w:t>pplicatio</w:t>
      </w:r>
      <w:r w:rsidR="00682097">
        <w:t>n</w:t>
      </w:r>
      <w:r w:rsidRPr="00640B56" w:rsidR="00682097">
        <w:t>s w</w:t>
      </w:r>
      <w:r w:rsidR="00682097">
        <w:t>ere</w:t>
      </w:r>
      <w:r w:rsidRPr="00640B56" w:rsidR="00682097">
        <w:t xml:space="preserve"> not filed </w:t>
      </w:r>
      <w:r w:rsidR="00682097">
        <w:t>until May 20</w:t>
      </w:r>
      <w:r w:rsidRPr="00640B56" w:rsidR="00682097">
        <w:t>, 2020.  The Licensee</w:t>
      </w:r>
      <w:r w:rsidR="00682097">
        <w:t xml:space="preserve"> provide</w:t>
      </w:r>
      <w:r w:rsidR="00B54FBF">
        <w:t>d</w:t>
      </w:r>
      <w:r w:rsidR="00682097">
        <w:t xml:space="preserve"> no explanation for the untimely filing of the applications. </w:t>
      </w:r>
    </w:p>
    <w:p w:rsidR="00A35A37" w:rsidRPr="00A35A37" w:rsidP="00A35A37" w14:paraId="7ADC9538" w14:textId="34463680">
      <w:pPr>
        <w:pStyle w:val="ParaNum"/>
        <w:rPr>
          <w:szCs w:val="22"/>
        </w:rPr>
      </w:pPr>
      <w:r w:rsidRPr="002007ED">
        <w:rPr>
          <w:szCs w:val="22"/>
        </w:rPr>
        <w:t xml:space="preserve">Accordingly, on </w:t>
      </w:r>
      <w:r w:rsidR="0057295D">
        <w:rPr>
          <w:szCs w:val="22"/>
        </w:rPr>
        <w:t>March 18</w:t>
      </w:r>
      <w:r>
        <w:rPr>
          <w:szCs w:val="22"/>
        </w:rPr>
        <w:t>, 2021</w:t>
      </w:r>
      <w:r w:rsidRPr="002007ED">
        <w:rPr>
          <w:szCs w:val="22"/>
        </w:rPr>
        <w:t xml:space="preserve">, we released the </w:t>
      </w:r>
      <w:r w:rsidRPr="002007ED">
        <w:rPr>
          <w:i/>
          <w:iCs/>
          <w:szCs w:val="22"/>
        </w:rPr>
        <w:t>NAL</w:t>
      </w:r>
      <w:r w:rsidRPr="002007ED">
        <w:rPr>
          <w:szCs w:val="22"/>
        </w:rPr>
        <w:t xml:space="preserve">, which proposed a forfeiture of </w:t>
      </w:r>
      <w:r w:rsidR="000D1FCB">
        <w:rPr>
          <w:szCs w:val="22"/>
        </w:rPr>
        <w:t>six</w:t>
      </w:r>
      <w:r w:rsidR="00C4039E">
        <w:rPr>
          <w:szCs w:val="22"/>
        </w:rPr>
        <w:t xml:space="preserve"> thousand</w:t>
      </w:r>
      <w:r>
        <w:rPr>
          <w:szCs w:val="22"/>
        </w:rPr>
        <w:t xml:space="preserve"> </w:t>
      </w:r>
      <w:r w:rsidRPr="002007ED">
        <w:rPr>
          <w:szCs w:val="22"/>
        </w:rPr>
        <w:t>dollars ($</w:t>
      </w:r>
      <w:r w:rsidR="0057295D">
        <w:rPr>
          <w:szCs w:val="22"/>
        </w:rPr>
        <w:t>6</w:t>
      </w:r>
      <w:r w:rsidR="00C4039E">
        <w:rPr>
          <w:szCs w:val="22"/>
        </w:rPr>
        <w:t>,0</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6"/>
      </w:r>
      <w:r w:rsidRPr="002007ED">
        <w:rPr>
          <w:szCs w:val="22"/>
        </w:rPr>
        <w:t xml:space="preserve">  </w:t>
      </w:r>
    </w:p>
    <w:p w:rsidR="00A35A37" w:rsidRPr="00474268" w:rsidP="0057295D" w14:paraId="6B57184B" w14:textId="677E91D2">
      <w:pPr>
        <w:pStyle w:val="ParaNum"/>
        <w:widowControl/>
      </w:pPr>
      <w:r w:rsidRPr="00A35A37">
        <w:t xml:space="preserve">On </w:t>
      </w:r>
      <w:r w:rsidR="00682097">
        <w:t>April</w:t>
      </w:r>
      <w:r w:rsidR="00AF389B">
        <w:t xml:space="preserve"> </w:t>
      </w:r>
      <w:r w:rsidR="00682097">
        <w:t>14</w:t>
      </w:r>
      <w:r w:rsidRPr="00A35A37">
        <w:t xml:space="preserve">, 2021, the Licensee submitted a written response in which </w:t>
      </w:r>
      <w:r w:rsidR="0057295D">
        <w:t xml:space="preserve">he </w:t>
      </w:r>
      <w:r w:rsidR="00BC3600">
        <w:t xml:space="preserve">argues that </w:t>
      </w:r>
      <w:r w:rsidR="00B54FBF">
        <w:t>he</w:t>
      </w:r>
      <w:r w:rsidR="00BC3600">
        <w:t xml:space="preserve"> did not will</w:t>
      </w:r>
      <w:r w:rsidR="00F61C05">
        <w:t>fully</w:t>
      </w:r>
      <w:r w:rsidR="00BC3600">
        <w:t xml:space="preserve"> </w:t>
      </w:r>
      <w:r w:rsidR="00B54FBF">
        <w:t>violate</w:t>
      </w:r>
      <w:r w:rsidR="00BC3600">
        <w:t xml:space="preserve"> section 73.3539 because</w:t>
      </w:r>
      <w:r w:rsidR="00B54FBF">
        <w:t xml:space="preserve"> he was not aware of the filing deadline, and a notification sent by the Commission went to a former employee of the Stations, who did not notify Licensee</w:t>
      </w:r>
      <w:r w:rsidR="0057295D">
        <w:t xml:space="preserve"> of the filing deadline</w:t>
      </w:r>
      <w:r w:rsidR="00B54FBF">
        <w:t>.</w:t>
      </w:r>
      <w:r>
        <w:rPr>
          <w:rStyle w:val="FootnoteReference"/>
        </w:rPr>
        <w:footnoteReference w:id="7"/>
      </w:r>
      <w:r w:rsidR="00B54FBF">
        <w:t xml:space="preserve">  Licensee further r</w:t>
      </w:r>
      <w:r w:rsidRPr="00A35A37">
        <w:t>equested that we cancel the proposed forfeiture based on the Licensee’s inability to pay it.</w:t>
      </w:r>
      <w:r w:rsidRPr="00CB34AF" w:rsidR="00CB34AF">
        <w:rPr>
          <w:szCs w:val="22"/>
          <w:vertAlign w:val="superscript"/>
        </w:rPr>
        <w:t xml:space="preserve"> </w:t>
      </w:r>
      <w:r>
        <w:rPr>
          <w:vertAlign w:val="superscript"/>
        </w:rPr>
        <w:footnoteReference w:id="8"/>
      </w:r>
      <w:r>
        <w:t xml:space="preserve">  </w:t>
      </w:r>
      <w:r w:rsidRPr="00474268" w:rsidR="00474268">
        <w:t>The Response included copies of Licensee’s federal tax returns for 2017, 2018, and 2019 in support of this request.</w:t>
      </w:r>
    </w:p>
    <w:p w:rsidR="00474268" w:rsidRPr="00474268" w:rsidP="00474268" w14:paraId="7B531C69" w14:textId="77777777">
      <w:pPr>
        <w:pStyle w:val="Heading1"/>
      </w:pPr>
      <w:r w:rsidRPr="00474268">
        <w:t>DISCUSSION</w:t>
      </w:r>
    </w:p>
    <w:p w:rsidR="00AF389B" w:rsidP="000820BC" w14:paraId="153011FC" w14:textId="31E810D9">
      <w:pPr>
        <w:pStyle w:val="ParaNum"/>
        <w:widowControl/>
      </w:pPr>
      <w:r>
        <w:t xml:space="preserve">We reject Licensee’s argument that he did not </w:t>
      </w:r>
      <w:r w:rsidR="00D57444">
        <w:t>willfully</w:t>
      </w:r>
      <w:r>
        <w:t xml:space="preserve"> violate section 73.3539 because he was not aware of the filing date. </w:t>
      </w:r>
      <w:r w:rsidR="0057295D">
        <w:t xml:space="preserve"> </w:t>
      </w:r>
      <w:r w:rsidRPr="00D57444" w:rsidR="00D57444">
        <w:t>As the Commission has held, violations resulting from inadvertent error or failure to become familiar with the FCC's requirements are willful violations.</w:t>
      </w:r>
      <w:r>
        <w:rPr>
          <w:vertAlign w:val="superscript"/>
        </w:rPr>
        <w:footnoteReference w:id="9"/>
      </w:r>
      <w:r w:rsidR="0057295D">
        <w:t xml:space="preserve">  Here, Licensee was ultimately responsible for timely filing the renewal </w:t>
      </w:r>
      <w:r w:rsidR="0057295D">
        <w:t>applications, but</w:t>
      </w:r>
      <w:r w:rsidR="0057295D">
        <w:t xml:space="preserve"> failed to do so.</w:t>
      </w:r>
      <w:r>
        <w:rPr>
          <w:rStyle w:val="FootnoteReference"/>
        </w:rPr>
        <w:footnoteReference w:id="10"/>
      </w:r>
    </w:p>
    <w:p w:rsidR="00474268" w:rsidRPr="00474268" w:rsidP="000820BC" w14:paraId="3E75D085" w14:textId="3F10CD80">
      <w:pPr>
        <w:pStyle w:val="ParaNum"/>
        <w:widowControl/>
      </w:pPr>
      <w:r w:rsidRPr="00474268">
        <w:t xml:space="preserve">As noted in the </w:t>
      </w:r>
      <w:r w:rsidRPr="00474268">
        <w:rPr>
          <w:i/>
          <w:iCs/>
        </w:rPr>
        <w:t>NAL</w:t>
      </w:r>
      <w:r w:rsidRPr="00474268">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vertAlign w:val="superscript"/>
        </w:rPr>
        <w:footnoteReference w:id="11"/>
      </w:r>
      <w:r w:rsidRPr="00474268">
        <w:t xml:space="preserve">  We accept Licensee’s showing</w:t>
      </w:r>
      <w:r w:rsidR="0032346C">
        <w:t xml:space="preserve">—based on </w:t>
      </w:r>
      <w:r w:rsidR="0057295D">
        <w:t>his</w:t>
      </w:r>
      <w:r w:rsidR="0032346C">
        <w:t xml:space="preserve"> tax returns—</w:t>
      </w:r>
      <w:r w:rsidRPr="00474268">
        <w:t xml:space="preserve">that payment of the proposed forfeiture would create a financial hardship. </w:t>
      </w:r>
      <w:r w:rsidR="000820BC">
        <w:t xml:space="preserve"> </w:t>
      </w:r>
      <w:r w:rsidRPr="00474268">
        <w:t xml:space="preserve">Accordingly, we will cancel the proposed forfeiture.  However, we admonish Licensee for </w:t>
      </w:r>
      <w:r w:rsidR="0057295D">
        <w:t>his</w:t>
      </w:r>
      <w:r w:rsidRPr="00474268">
        <w:t xml:space="preserve"> willful violation of section 73.3539 of the Rules.</w:t>
      </w:r>
    </w:p>
    <w:p w:rsidR="00474268" w:rsidRPr="00474268" w:rsidP="00474268" w14:paraId="48CD5934" w14:textId="77777777">
      <w:pPr>
        <w:pStyle w:val="Heading1"/>
      </w:pPr>
      <w:r w:rsidRPr="00474268">
        <w:t>ORDERING CLAUSES</w:t>
      </w:r>
    </w:p>
    <w:p w:rsidR="00474268" w:rsidRPr="00474268" w:rsidP="00474268" w14:paraId="08E40665" w14:textId="352950D2">
      <w:pPr>
        <w:pStyle w:val="ParaNum"/>
      </w:pPr>
      <w:r w:rsidRPr="00474268">
        <w:t xml:space="preserve">Accordingly, </w:t>
      </w:r>
      <w:r w:rsidRPr="00474268">
        <w:rPr>
          <w:b/>
        </w:rPr>
        <w:t>IT IS ORDERED</w:t>
      </w:r>
      <w:r w:rsidRPr="00474268">
        <w:t xml:space="preserve"> that, pursuant to section 504(b) of the Communications Act of 1934, as amended,</w:t>
      </w:r>
      <w:r>
        <w:rPr>
          <w:vertAlign w:val="superscript"/>
        </w:rPr>
        <w:footnoteReference w:id="12"/>
      </w:r>
      <w:r w:rsidRPr="00474268">
        <w:t xml:space="preserve">  and sections 0.61, 0.283, and 1.80(f)(4) of the Commission’s rules,</w:t>
      </w:r>
      <w:r>
        <w:rPr>
          <w:vertAlign w:val="superscript"/>
        </w:rPr>
        <w:footnoteReference w:id="13"/>
      </w:r>
      <w:r w:rsidRPr="00474268">
        <w:t xml:space="preserve">  the Notice of Apparent Liability for a Forfeiture (NAL/Acct. No. MB-20</w:t>
      </w:r>
      <w:r w:rsidR="000D54FB">
        <w:t>21</w:t>
      </w:r>
      <w:r w:rsidRPr="00474268">
        <w:t>414100</w:t>
      </w:r>
      <w:r w:rsidR="001F609B">
        <w:t>25</w:t>
      </w:r>
      <w:r w:rsidRPr="00474268">
        <w:t xml:space="preserve">) issued to </w:t>
      </w:r>
      <w:r w:rsidR="001F609B">
        <w:t>Billy R. Autry</w:t>
      </w:r>
      <w:r w:rsidRPr="00474268">
        <w:t xml:space="preserve"> </w:t>
      </w:r>
      <w:r w:rsidRPr="00474268">
        <w:rPr>
          <w:b/>
        </w:rPr>
        <w:t xml:space="preserve">IS CANCELLED </w:t>
      </w:r>
      <w:r w:rsidRPr="00474268">
        <w:t xml:space="preserve">and that </w:t>
      </w:r>
      <w:r w:rsidR="001F609B">
        <w:t>Billy R. Autry</w:t>
      </w:r>
      <w:r w:rsidRPr="00474268" w:rsidR="001F609B">
        <w:t xml:space="preserve"> </w:t>
      </w:r>
      <w:r w:rsidRPr="00474268">
        <w:t xml:space="preserve">is instead </w:t>
      </w:r>
      <w:r w:rsidRPr="00474268">
        <w:rPr>
          <w:b/>
        </w:rPr>
        <w:t>HEREBY ADMONISHED</w:t>
      </w:r>
      <w:r w:rsidRPr="00474268">
        <w:t xml:space="preserve"> for </w:t>
      </w:r>
      <w:r w:rsidR="001F609B">
        <w:t>his</w:t>
      </w:r>
      <w:r w:rsidRPr="00474268">
        <w:t xml:space="preserve"> violation of section 73.3539 of the Commission’s rules.</w:t>
      </w:r>
    </w:p>
    <w:p w:rsidR="0032346C" w:rsidRPr="0032346C" w:rsidP="0032346C" w14:paraId="5BFB4F98" w14:textId="6FCCDCBF">
      <w:pPr>
        <w:pStyle w:val="ParaNum"/>
      </w:pPr>
      <w:r w:rsidRPr="009D02C8">
        <w:rPr>
          <w:b/>
          <w:bCs/>
        </w:rPr>
        <w:t>IT IS FURTHER ORDERED</w:t>
      </w:r>
      <w:r w:rsidRPr="00D426DF">
        <w:t xml:space="preserve"> that</w:t>
      </w:r>
      <w:r>
        <w:t xml:space="preserve"> </w:t>
      </w:r>
      <w:r w:rsidRPr="001172AD">
        <w:t>the application</w:t>
      </w:r>
      <w:r w:rsidR="001F609B">
        <w:t>s</w:t>
      </w:r>
      <w:r w:rsidRPr="001172AD">
        <w:t xml:space="preserve"> for renewal of license</w:t>
      </w:r>
      <w:r w:rsidR="001F609B">
        <w:t>s</w:t>
      </w:r>
      <w:r w:rsidRPr="001172AD">
        <w:t xml:space="preserve"> filed by </w:t>
      </w:r>
      <w:r w:rsidR="001F609B">
        <w:t>Billy R. Autry</w:t>
      </w:r>
      <w:r w:rsidRPr="001172AD">
        <w:t xml:space="preserve"> for </w:t>
      </w:r>
      <w:r w:rsidR="00C35831">
        <w:t xml:space="preserve">Station </w:t>
      </w:r>
      <w:r w:rsidR="001F609B">
        <w:t>WKRA(AM), Holly Springs, Mississippi and Station WKRA-FM, Holly Springs, Mississippi</w:t>
      </w:r>
      <w:r w:rsidRPr="001172AD">
        <w:t xml:space="preserve"> (File No</w:t>
      </w:r>
      <w:r w:rsidR="001F609B">
        <w:t>s</w:t>
      </w:r>
      <w:r w:rsidRPr="001172AD">
        <w:t xml:space="preserve">. </w:t>
      </w:r>
      <w:r w:rsidRPr="00A35A37" w:rsidR="00A35A37">
        <w:t>0000</w:t>
      </w:r>
      <w:r w:rsidR="001F609B">
        <w:t>114037 and 0000114048</w:t>
      </w:r>
      <w:r>
        <w:t>)</w:t>
      </w:r>
      <w:r w:rsidRPr="001172AD">
        <w:t xml:space="preserve"> </w:t>
      </w:r>
      <w:r w:rsidR="001F609B">
        <w:rPr>
          <w:b/>
          <w:bCs/>
        </w:rPr>
        <w:t>ARE</w:t>
      </w:r>
      <w:r w:rsidRPr="001172AD">
        <w:rPr>
          <w:b/>
          <w:bCs/>
        </w:rPr>
        <w:t xml:space="preserve"> GRANTED</w:t>
      </w:r>
      <w:r w:rsidRPr="001172AD">
        <w:t>.</w:t>
      </w:r>
    </w:p>
    <w:p w:rsidR="0057295D" w:rsidP="0057295D" w14:paraId="00ACBBE1" w14:textId="77777777">
      <w:pPr>
        <w:pStyle w:val="ParaNum"/>
        <w:keepNext/>
        <w:keepLines/>
        <w:widowControl/>
      </w:pPr>
      <w:r w:rsidRPr="00F45747">
        <w:rPr>
          <w:b/>
          <w:bCs/>
        </w:rPr>
        <w:t>IT IS FURTHER ORDERED</w:t>
      </w:r>
      <w:r w:rsidRPr="007C7A60">
        <w:t xml:space="preserve"> that copies of this </w:t>
      </w:r>
      <w:r>
        <w:rPr>
          <w:iCs/>
        </w:rPr>
        <w:t>Notice of Apparent Liability for Forfeiture</w:t>
      </w:r>
      <w:r w:rsidRPr="007C7A60">
        <w:t xml:space="preserve"> shall be sent by First Class and Certified Mail, Return Receipt Requested, to</w:t>
      </w:r>
      <w:r>
        <w:t xml:space="preserve"> Billy R. Autry, 3887 Majestic Oaks Drive, Oxford, MS 38655, and to </w:t>
      </w:r>
      <w:r>
        <w:t>Bilesha</w:t>
      </w:r>
      <w:r>
        <w:t xml:space="preserve"> Autry, PO Box 398, Holly Springs, MS 38635. </w:t>
      </w:r>
    </w:p>
    <w:p w:rsidR="00474268" w:rsidP="0057295D" w14:paraId="603478A5" w14:textId="77777777">
      <w:pPr>
        <w:keepNext/>
        <w:keepLines/>
        <w:widowControl/>
      </w:pPr>
      <w:r>
        <w:tab/>
      </w:r>
      <w:r>
        <w:tab/>
      </w:r>
      <w:r>
        <w:tab/>
      </w:r>
      <w:r>
        <w:tab/>
      </w:r>
      <w:r>
        <w:tab/>
      </w:r>
      <w:r>
        <w:tab/>
        <w:t>FEDERAL COMMUNICATIONS COMMISSION</w:t>
      </w:r>
    </w:p>
    <w:p w:rsidR="00474268" w:rsidP="0057295D" w14:paraId="58054BA0" w14:textId="77777777">
      <w:pPr>
        <w:keepNext/>
        <w:keepLines/>
        <w:widowControl/>
      </w:pPr>
    </w:p>
    <w:p w:rsidR="00474268" w:rsidP="0057295D" w14:paraId="5E33125D" w14:textId="77777777">
      <w:pPr>
        <w:keepNext/>
        <w:keepLines/>
        <w:widowControl/>
      </w:pPr>
    </w:p>
    <w:p w:rsidR="00474268" w:rsidP="0057295D" w14:paraId="6854606F" w14:textId="77777777">
      <w:pPr>
        <w:keepNext/>
        <w:keepLines/>
        <w:widowControl/>
      </w:pPr>
    </w:p>
    <w:p w:rsidR="00474268" w:rsidP="0057295D" w14:paraId="08047CB0" w14:textId="77777777">
      <w:pPr>
        <w:keepNext/>
        <w:keepLines/>
        <w:widowControl/>
      </w:pPr>
    </w:p>
    <w:p w:rsidR="00474268" w:rsidRPr="00474268" w:rsidP="0057295D" w14:paraId="01D1FC07" w14:textId="77777777">
      <w:pPr>
        <w:keepNext/>
        <w:keepLines/>
        <w:widowControl/>
      </w:pPr>
      <w:r>
        <w:tab/>
      </w:r>
      <w:r>
        <w:tab/>
      </w:r>
      <w:r>
        <w:tab/>
      </w:r>
      <w:r>
        <w:tab/>
      </w:r>
      <w:r>
        <w:tab/>
      </w:r>
      <w:r>
        <w:tab/>
      </w:r>
      <w:r w:rsidRPr="00474268">
        <w:t>Albert Shuldiner</w:t>
      </w:r>
    </w:p>
    <w:p w:rsidR="00474268" w:rsidRPr="00474268" w:rsidP="0057295D" w14:paraId="6FBE402D" w14:textId="77777777">
      <w:pPr>
        <w:keepNext/>
        <w:keepLines/>
        <w:widowControl/>
      </w:pPr>
      <w:r w:rsidRPr="00474268">
        <w:tab/>
      </w:r>
      <w:r w:rsidRPr="00474268">
        <w:tab/>
      </w:r>
      <w:r w:rsidRPr="00474268">
        <w:tab/>
      </w:r>
      <w:r w:rsidRPr="00474268">
        <w:tab/>
      </w:r>
      <w:r w:rsidRPr="00474268">
        <w:tab/>
      </w:r>
      <w:r w:rsidRPr="00474268">
        <w:tab/>
        <w:t>Chief, Audio Division</w:t>
      </w:r>
    </w:p>
    <w:p w:rsidR="00474268" w:rsidRPr="00474268" w:rsidP="00474268" w14:paraId="70B101EC" w14:textId="77777777">
      <w:r w:rsidRPr="00474268">
        <w:tab/>
      </w:r>
      <w:r w:rsidRPr="00474268">
        <w:tab/>
      </w:r>
      <w:r w:rsidRPr="00474268">
        <w:tab/>
      </w:r>
      <w:r w:rsidRPr="00474268">
        <w:tab/>
      </w:r>
      <w:r w:rsidRPr="00474268">
        <w:tab/>
      </w:r>
      <w:r w:rsidRPr="00474268">
        <w:tab/>
        <w:t>Media Bureau</w:t>
      </w:r>
    </w:p>
    <w:p w:rsidR="00412FC5" w:rsidP="00474268" w14:paraId="57346F82" w14:textId="51A3AA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A37" w14:paraId="11A6B81A" w14:textId="77777777">
      <w:r>
        <w:separator/>
      </w:r>
    </w:p>
  </w:footnote>
  <w:footnote w:type="continuationSeparator" w:id="1">
    <w:p w:rsidR="00A35A37" w:rsidP="00C721AC" w14:paraId="244E93D3" w14:textId="77777777">
      <w:pPr>
        <w:spacing w:before="120"/>
        <w:rPr>
          <w:sz w:val="20"/>
        </w:rPr>
      </w:pPr>
      <w:r>
        <w:rPr>
          <w:sz w:val="20"/>
        </w:rPr>
        <w:t xml:space="preserve">(Continued from previous page)  </w:t>
      </w:r>
      <w:r>
        <w:rPr>
          <w:sz w:val="20"/>
        </w:rPr>
        <w:separator/>
      </w:r>
    </w:p>
  </w:footnote>
  <w:footnote w:type="continuationNotice" w:id="2">
    <w:p w:rsidR="00A35A37" w:rsidP="00C721AC" w14:paraId="4416648B" w14:textId="77777777">
      <w:pPr>
        <w:jc w:val="right"/>
        <w:rPr>
          <w:sz w:val="20"/>
        </w:rPr>
      </w:pPr>
      <w:r>
        <w:rPr>
          <w:sz w:val="20"/>
        </w:rPr>
        <w:t>(continued….)</w:t>
      </w:r>
    </w:p>
  </w:footnote>
  <w:footnote w:id="3">
    <w:p w:rsidR="00A35A37" w:rsidP="00474268" w14:paraId="66339738" w14:textId="197FB1F9">
      <w:pPr>
        <w:pStyle w:val="FootnoteText"/>
      </w:pPr>
      <w:r>
        <w:rPr>
          <w:rStyle w:val="FootnoteReference"/>
        </w:rPr>
        <w:footnoteRef/>
      </w:r>
      <w:r>
        <w:t xml:space="preserve"> </w:t>
      </w:r>
      <w:r w:rsidR="001F609B">
        <w:rPr>
          <w:i/>
          <w:iCs/>
        </w:rPr>
        <w:t>Billy R. Autry</w:t>
      </w:r>
      <w:r w:rsidRPr="00474268">
        <w:rPr>
          <w:i/>
          <w:iCs/>
        </w:rPr>
        <w:t xml:space="preserve">, </w:t>
      </w:r>
      <w:r w:rsidRPr="00474268">
        <w:t>Memorandum Opinion and Order and Notice of Apparent Liability for Forfeiture, DA 21-</w:t>
      </w:r>
      <w:r w:rsidR="001F609B">
        <w:t>328</w:t>
      </w:r>
      <w:r w:rsidRPr="00474268">
        <w:t xml:space="preserve"> (MB </w:t>
      </w:r>
      <w:r w:rsidR="001F609B">
        <w:t>Mar. 18</w:t>
      </w:r>
      <w:r w:rsidRPr="00474268">
        <w:t>, 2021).</w:t>
      </w:r>
    </w:p>
  </w:footnote>
  <w:footnote w:id="4">
    <w:p w:rsidR="00A35A37" w:rsidRPr="00E1189A" w:rsidP="00A35A37" w14:paraId="2B5DD898" w14:textId="6B3A2F48">
      <w:pPr>
        <w:pStyle w:val="FootnoteText"/>
      </w:pPr>
      <w:r w:rsidRPr="000725CB">
        <w:rPr>
          <w:rStyle w:val="FootnoteReference"/>
        </w:rPr>
        <w:footnoteRef/>
      </w:r>
      <w:r w:rsidRPr="000725CB">
        <w:t xml:space="preserve"> </w:t>
      </w:r>
      <w:r w:rsidRPr="00C35831" w:rsidR="00C35831">
        <w:t>47</w:t>
      </w:r>
      <w:r w:rsidRPr="000725CB">
        <w:t xml:space="preserve"> </w:t>
      </w:r>
      <w:r w:rsidRPr="0067463B" w:rsidR="0067463B">
        <w:t xml:space="preserve">CFR </w:t>
      </w:r>
      <w:r w:rsidRPr="000725CB">
        <w:t>§ 73.3539(a).</w:t>
      </w:r>
      <w:r>
        <w:t xml:space="preserve">  </w:t>
      </w:r>
    </w:p>
  </w:footnote>
  <w:footnote w:id="5">
    <w:p w:rsidR="00682097" w:rsidRPr="00FF7A3C" w:rsidP="00682097" w14:paraId="3B55CCC1"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February 1, 2020, was a Saturday, and February 2, 2020, was a Sunday—holiday as defined by the Rules—the filing deadline was February 3, 2020, the first business day after February 1, 2020.  </w:t>
      </w:r>
      <w:r w:rsidRPr="00FF7A3C">
        <w:rPr>
          <w:i/>
          <w:iCs/>
        </w:rPr>
        <w:t>See</w:t>
      </w:r>
      <w:r>
        <w:t xml:space="preserve"> 47 CFR §§ 1.4(e), (j).</w:t>
      </w:r>
    </w:p>
  </w:footnote>
  <w:footnote w:id="6">
    <w:p w:rsidR="00A35A37" w:rsidP="00A35A37" w14:paraId="7C97985E" w14:textId="66A953D3">
      <w:pPr>
        <w:pStyle w:val="FootnoteText"/>
      </w:pPr>
      <w:r>
        <w:rPr>
          <w:rStyle w:val="FootnoteReference"/>
        </w:rPr>
        <w:footnoteRef/>
      </w:r>
      <w:r>
        <w:t xml:space="preserve"> </w:t>
      </w:r>
      <w:r w:rsidR="000820BC">
        <w:rPr>
          <w:i/>
          <w:iCs/>
        </w:rPr>
        <w:t>NAL</w:t>
      </w:r>
      <w:r>
        <w:t xml:space="preserve"> at </w:t>
      </w:r>
      <w:r w:rsidR="000820BC">
        <w:t xml:space="preserve">3, </w:t>
      </w:r>
      <w:r>
        <w:t xml:space="preserve">para. </w:t>
      </w:r>
      <w:r w:rsidR="00D46AC2">
        <w:t>9</w:t>
      </w:r>
      <w:r>
        <w:t>.</w:t>
      </w:r>
    </w:p>
  </w:footnote>
  <w:footnote w:id="7">
    <w:p w:rsidR="00B54FBF" w14:paraId="7FC94482" w14:textId="207C64BC">
      <w:pPr>
        <w:pStyle w:val="FootnoteText"/>
      </w:pPr>
      <w:r>
        <w:rPr>
          <w:rStyle w:val="FootnoteReference"/>
        </w:rPr>
        <w:footnoteRef/>
      </w:r>
      <w:r>
        <w:t xml:space="preserve"> </w:t>
      </w:r>
      <w:r w:rsidRPr="00CC03DE" w:rsidR="0057295D">
        <w:t>Response</w:t>
      </w:r>
      <w:r w:rsidR="0057295D">
        <w:t xml:space="preserve"> to Notice of Apparent Liability for Forfeiture of Blount County Broadcasting Corp. (received Feb. 26, 2021) (</w:t>
      </w:r>
      <w:r w:rsidRPr="0072332E" w:rsidR="0057295D">
        <w:t>Response).</w:t>
      </w:r>
    </w:p>
  </w:footnote>
  <w:footnote w:id="8">
    <w:p w:rsidR="00CB34AF" w:rsidRPr="0057295D" w:rsidP="00CB34AF" w14:paraId="5DF8D74C" w14:textId="7EB82974">
      <w:pPr>
        <w:pStyle w:val="FootnoteText"/>
      </w:pPr>
      <w:r>
        <w:rPr>
          <w:rStyle w:val="FootnoteReference"/>
        </w:rPr>
        <w:footnoteRef/>
      </w:r>
      <w:r>
        <w:t xml:space="preserve"> </w:t>
      </w:r>
      <w:r w:rsidR="0057295D">
        <w:rPr>
          <w:i/>
          <w:iCs/>
        </w:rPr>
        <w:t>Id</w:t>
      </w:r>
      <w:r w:rsidR="0057295D">
        <w:t>.</w:t>
      </w:r>
    </w:p>
  </w:footnote>
  <w:footnote w:id="9">
    <w:p w:rsidR="00D57444" w:rsidRPr="004A5F29" w:rsidP="00D57444" w14:paraId="62BA6E26" w14:textId="77777777">
      <w:pPr>
        <w:pStyle w:val="FootnoteText"/>
      </w:pPr>
      <w:r w:rsidRPr="004A5F29">
        <w:rPr>
          <w:rStyle w:val="FootnoteReference"/>
        </w:rPr>
        <w:footnoteRef/>
      </w:r>
      <w:r w:rsidRPr="004A5F29">
        <w:t xml:space="preserve"> </w:t>
      </w:r>
      <w:r w:rsidRPr="004A5F29">
        <w:rPr>
          <w:i/>
        </w:rPr>
        <w:t xml:space="preserve">See </w:t>
      </w:r>
      <w:r w:rsidRPr="004A5F29">
        <w:rPr>
          <w:i/>
          <w:iCs/>
        </w:rPr>
        <w:t>S</w:t>
      </w:r>
      <w:r>
        <w:rPr>
          <w:i/>
          <w:iCs/>
        </w:rPr>
        <w:t>.</w:t>
      </w:r>
      <w:r w:rsidRPr="004A5F29">
        <w:rPr>
          <w:i/>
          <w:iCs/>
        </w:rPr>
        <w:t xml:space="preserve"> California Broad</w:t>
      </w:r>
      <w:r>
        <w:rPr>
          <w:i/>
          <w:iCs/>
        </w:rPr>
        <w:t>.</w:t>
      </w:r>
      <w:r w:rsidRPr="004A5F29">
        <w:rPr>
          <w:i/>
          <w:iCs/>
        </w:rPr>
        <w:t xml:space="preserve"> Co.,</w:t>
      </w:r>
      <w:r w:rsidRPr="004A5F29">
        <w:t xml:space="preserve"> Memorandum Opinion and Order, </w:t>
      </w:r>
      <w:r w:rsidRPr="00417684">
        <w:t xml:space="preserve">6 FCC </w:t>
      </w:r>
      <w:r w:rsidRPr="00417684">
        <w:t>Rcd</w:t>
      </w:r>
      <w:r w:rsidRPr="00417684">
        <w:t xml:space="preserve"> 4387, 4387</w:t>
      </w:r>
      <w:r>
        <w:t>, para. 3</w:t>
      </w:r>
      <w:r w:rsidRPr="00417684">
        <w:t xml:space="preserve"> (1991)</w:t>
      </w:r>
      <w:r w:rsidRPr="004A5F29">
        <w:t xml:space="preserve">, </w:t>
      </w:r>
      <w:r w:rsidRPr="004A5F29">
        <w:rPr>
          <w:i/>
          <w:iCs/>
        </w:rPr>
        <w:t>recon. denied,</w:t>
      </w:r>
      <w:r w:rsidRPr="004A5F29">
        <w:t xml:space="preserve"> </w:t>
      </w:r>
      <w:r>
        <w:t xml:space="preserve">Memorandum Opinion and Order, </w:t>
      </w:r>
      <w:r w:rsidRPr="00417684">
        <w:t xml:space="preserve">7 FCC </w:t>
      </w:r>
      <w:r w:rsidRPr="00417684">
        <w:t>Rcd</w:t>
      </w:r>
      <w:r w:rsidRPr="00417684">
        <w:t xml:space="preserve"> 3454 (1992)</w:t>
      </w:r>
      <w:r w:rsidRPr="004A5F29">
        <w:t xml:space="preserve"> (stating that “inadvertence ... is at best, ignorance of the law, which the Commission does not consider a mitigating circumstance”); </w:t>
      </w:r>
      <w:r w:rsidRPr="004A5F29">
        <w:rPr>
          <w:i/>
          <w:iCs/>
        </w:rPr>
        <w:t xml:space="preserve">Standard </w:t>
      </w:r>
      <w:r w:rsidRPr="000343D3">
        <w:rPr>
          <w:i/>
          <w:iCs/>
        </w:rPr>
        <w:t>Comm’cns</w:t>
      </w:r>
      <w:r>
        <w:rPr>
          <w:i/>
          <w:iCs/>
        </w:rPr>
        <w:t xml:space="preserve"> </w:t>
      </w:r>
      <w:r w:rsidRPr="004A5F29">
        <w:rPr>
          <w:i/>
          <w:iCs/>
        </w:rPr>
        <w:t>Corp.,</w:t>
      </w:r>
      <w:r w:rsidRPr="004A5F29">
        <w:t xml:space="preserve"> Memorandum Opinion and Order, </w:t>
      </w:r>
      <w:r w:rsidRPr="00417684">
        <w:t xml:space="preserve">1 FCC </w:t>
      </w:r>
      <w:r w:rsidRPr="00417684">
        <w:t>Rcd</w:t>
      </w:r>
      <w:r w:rsidRPr="00417684">
        <w:t xml:space="preserve"> 358, 358 (1986)</w:t>
      </w:r>
      <w:r w:rsidRPr="004A5F29">
        <w:t xml:space="preserve"> (stating that “employee acts or omissions, such as clerical errors in failing to file required forms, do not excuse violations”).</w:t>
      </w:r>
    </w:p>
  </w:footnote>
  <w:footnote w:id="10">
    <w:p w:rsidR="0057295D" w14:paraId="023AD0A7" w14:textId="3CFF2731">
      <w:pPr>
        <w:pStyle w:val="FootnoteText"/>
      </w:pPr>
      <w:r>
        <w:rPr>
          <w:rStyle w:val="FootnoteReference"/>
        </w:rPr>
        <w:footnoteRef/>
      </w:r>
      <w:r>
        <w:t xml:space="preserve"> </w:t>
      </w:r>
      <w:r w:rsidRPr="0057295D">
        <w:rPr>
          <w:i/>
          <w:iCs/>
        </w:rPr>
        <w:t>Whidbey Island Center for the Arts</w:t>
      </w:r>
      <w:r w:rsidRPr="0057295D">
        <w:t xml:space="preserve">, Forfeiture Order, 25 FCC </w:t>
      </w:r>
      <w:r w:rsidRPr="0057295D">
        <w:t>Rcd</w:t>
      </w:r>
      <w:r w:rsidRPr="0057295D">
        <w:t xml:space="preserve"> 8204</w:t>
      </w:r>
      <w:r>
        <w:t xml:space="preserve"> 8205, para. 6</w:t>
      </w:r>
      <w:r w:rsidRPr="0057295D">
        <w:t xml:space="preserve"> (MB 2010)</w:t>
      </w:r>
      <w:r>
        <w:t>.</w:t>
      </w:r>
    </w:p>
  </w:footnote>
  <w:footnote w:id="11">
    <w:p w:rsidR="00A35A37" w:rsidP="00474268" w14:paraId="076BA651" w14:textId="6F9DDAE2">
      <w:pPr>
        <w:pStyle w:val="FootnoteText"/>
      </w:pPr>
      <w:r>
        <w:rPr>
          <w:rStyle w:val="FootnoteReference"/>
        </w:rPr>
        <w:footnoteRef/>
      </w:r>
      <w:r>
        <w:t xml:space="preserve"> </w:t>
      </w:r>
      <w:r w:rsidRPr="00D17789">
        <w:rPr>
          <w:i/>
          <w:iCs/>
        </w:rPr>
        <w:t xml:space="preserve">See </w:t>
      </w:r>
      <w:r w:rsidR="00D46AC2">
        <w:rPr>
          <w:i/>
          <w:iCs/>
        </w:rPr>
        <w:t>NAL</w:t>
      </w:r>
      <w:r>
        <w:rPr>
          <w:i/>
          <w:iCs/>
        </w:rPr>
        <w:t xml:space="preserve"> </w:t>
      </w:r>
      <w:r w:rsidRPr="000D54FB">
        <w:t>at</w:t>
      </w:r>
      <w:r>
        <w:t xml:space="preserve"> </w:t>
      </w:r>
      <w:r w:rsidR="000820BC">
        <w:t>4</w:t>
      </w:r>
      <w:r>
        <w:t>, para. 1</w:t>
      </w:r>
      <w:r w:rsidR="00D46AC2">
        <w:t>3</w:t>
      </w:r>
      <w:r>
        <w:t>.</w:t>
      </w:r>
    </w:p>
  </w:footnote>
  <w:footnote w:id="12">
    <w:p w:rsidR="00A35A37" w:rsidP="00474268" w14:paraId="47D8359C" w14:textId="77777777">
      <w:pPr>
        <w:pStyle w:val="FootnoteText"/>
      </w:pPr>
      <w:r>
        <w:rPr>
          <w:rStyle w:val="FootnoteReference"/>
        </w:rPr>
        <w:footnoteRef/>
      </w:r>
      <w:r>
        <w:t xml:space="preserve"> </w:t>
      </w:r>
      <w:r w:rsidRPr="005A3217">
        <w:t>47 U.S.C. § 504(b).</w:t>
      </w:r>
    </w:p>
  </w:footnote>
  <w:footnote w:id="13">
    <w:p w:rsidR="00A35A37" w:rsidP="00474268" w14:paraId="4C8D86C0"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47AE2C3D">
    <w:pPr>
      <w:pStyle w:val="Header"/>
      <w:rPr>
        <w:b w:val="0"/>
      </w:rPr>
    </w:pPr>
    <w:r>
      <w:tab/>
      <w:t>Federal Communications Commission</w:t>
    </w:r>
    <w:r>
      <w:tab/>
    </w:r>
    <w:r w:rsidR="00580E16">
      <w:t>DA 21-440</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27CB2E1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21-440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43D3"/>
    <w:rsid w:val="00036039"/>
    <w:rsid w:val="00037F90"/>
    <w:rsid w:val="000725CB"/>
    <w:rsid w:val="000820BC"/>
    <w:rsid w:val="000875BF"/>
    <w:rsid w:val="00096D8C"/>
    <w:rsid w:val="000C0B65"/>
    <w:rsid w:val="000D1FCB"/>
    <w:rsid w:val="000D54FB"/>
    <w:rsid w:val="000E05FE"/>
    <w:rsid w:val="000E3D42"/>
    <w:rsid w:val="001172AD"/>
    <w:rsid w:val="00122BD5"/>
    <w:rsid w:val="00133F79"/>
    <w:rsid w:val="00194A66"/>
    <w:rsid w:val="001D6BCF"/>
    <w:rsid w:val="001E01CA"/>
    <w:rsid w:val="001F609B"/>
    <w:rsid w:val="002007ED"/>
    <w:rsid w:val="002546D1"/>
    <w:rsid w:val="00275CF5"/>
    <w:rsid w:val="0028301F"/>
    <w:rsid w:val="00285017"/>
    <w:rsid w:val="002A2D2E"/>
    <w:rsid w:val="002C00E8"/>
    <w:rsid w:val="0032346C"/>
    <w:rsid w:val="00343749"/>
    <w:rsid w:val="003660ED"/>
    <w:rsid w:val="003B0550"/>
    <w:rsid w:val="003B694F"/>
    <w:rsid w:val="003F171C"/>
    <w:rsid w:val="00412FC5"/>
    <w:rsid w:val="00417684"/>
    <w:rsid w:val="00422276"/>
    <w:rsid w:val="004242F1"/>
    <w:rsid w:val="00445A00"/>
    <w:rsid w:val="00451B0F"/>
    <w:rsid w:val="00474268"/>
    <w:rsid w:val="004A5F29"/>
    <w:rsid w:val="004C2EE3"/>
    <w:rsid w:val="004E4A22"/>
    <w:rsid w:val="00511968"/>
    <w:rsid w:val="0055614C"/>
    <w:rsid w:val="00566D06"/>
    <w:rsid w:val="0057295D"/>
    <w:rsid w:val="00580E16"/>
    <w:rsid w:val="005A3217"/>
    <w:rsid w:val="005E14C2"/>
    <w:rsid w:val="00607BA5"/>
    <w:rsid w:val="0061180A"/>
    <w:rsid w:val="00626EB6"/>
    <w:rsid w:val="00640B56"/>
    <w:rsid w:val="00655D03"/>
    <w:rsid w:val="0067463B"/>
    <w:rsid w:val="00682097"/>
    <w:rsid w:val="00683388"/>
    <w:rsid w:val="00683F84"/>
    <w:rsid w:val="006A6A81"/>
    <w:rsid w:val="006F7393"/>
    <w:rsid w:val="0070224F"/>
    <w:rsid w:val="007115F7"/>
    <w:rsid w:val="0072332E"/>
    <w:rsid w:val="00785689"/>
    <w:rsid w:val="00786BE1"/>
    <w:rsid w:val="0079754B"/>
    <w:rsid w:val="007A1E6D"/>
    <w:rsid w:val="007B0EB2"/>
    <w:rsid w:val="007C7A60"/>
    <w:rsid w:val="00810B6F"/>
    <w:rsid w:val="00822CE0"/>
    <w:rsid w:val="00841AB1"/>
    <w:rsid w:val="008C68F1"/>
    <w:rsid w:val="00921803"/>
    <w:rsid w:val="00926503"/>
    <w:rsid w:val="009726D8"/>
    <w:rsid w:val="009D02C8"/>
    <w:rsid w:val="009D7308"/>
    <w:rsid w:val="009F76DB"/>
    <w:rsid w:val="00A32C3B"/>
    <w:rsid w:val="00A35A37"/>
    <w:rsid w:val="00A45F4F"/>
    <w:rsid w:val="00A600A9"/>
    <w:rsid w:val="00AA55B7"/>
    <w:rsid w:val="00AA5B9E"/>
    <w:rsid w:val="00AB2407"/>
    <w:rsid w:val="00AB53DF"/>
    <w:rsid w:val="00AF389B"/>
    <w:rsid w:val="00B07E5C"/>
    <w:rsid w:val="00B54FBF"/>
    <w:rsid w:val="00B811F7"/>
    <w:rsid w:val="00BA5DC6"/>
    <w:rsid w:val="00BA6196"/>
    <w:rsid w:val="00BC3600"/>
    <w:rsid w:val="00BC6D8C"/>
    <w:rsid w:val="00C34006"/>
    <w:rsid w:val="00C35831"/>
    <w:rsid w:val="00C36B4C"/>
    <w:rsid w:val="00C4039E"/>
    <w:rsid w:val="00C426B1"/>
    <w:rsid w:val="00C66160"/>
    <w:rsid w:val="00C721AC"/>
    <w:rsid w:val="00C90D6A"/>
    <w:rsid w:val="00CA247E"/>
    <w:rsid w:val="00CA6D21"/>
    <w:rsid w:val="00CB34AF"/>
    <w:rsid w:val="00CC03DE"/>
    <w:rsid w:val="00CC72B6"/>
    <w:rsid w:val="00CF0BDA"/>
    <w:rsid w:val="00D0218D"/>
    <w:rsid w:val="00D17789"/>
    <w:rsid w:val="00D25FB5"/>
    <w:rsid w:val="00D426DF"/>
    <w:rsid w:val="00D44223"/>
    <w:rsid w:val="00D46AC2"/>
    <w:rsid w:val="00D57444"/>
    <w:rsid w:val="00DA2529"/>
    <w:rsid w:val="00DB130A"/>
    <w:rsid w:val="00DB2EBB"/>
    <w:rsid w:val="00DC10A1"/>
    <w:rsid w:val="00DC655F"/>
    <w:rsid w:val="00DD0B59"/>
    <w:rsid w:val="00DD7EBD"/>
    <w:rsid w:val="00DF62B6"/>
    <w:rsid w:val="00E07225"/>
    <w:rsid w:val="00E1189A"/>
    <w:rsid w:val="00E5409F"/>
    <w:rsid w:val="00ED678E"/>
    <w:rsid w:val="00EE6488"/>
    <w:rsid w:val="00F021FA"/>
    <w:rsid w:val="00F45747"/>
    <w:rsid w:val="00F61C05"/>
    <w:rsid w:val="00F62E97"/>
    <w:rsid w:val="00F64209"/>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030558"/>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16"/>
    <w:pPr>
      <w:widowControl w:val="0"/>
    </w:pPr>
    <w:rPr>
      <w:snapToGrid w:val="0"/>
      <w:kern w:val="28"/>
      <w:sz w:val="22"/>
    </w:rPr>
  </w:style>
  <w:style w:type="paragraph" w:styleId="Heading1">
    <w:name w:val="heading 1"/>
    <w:basedOn w:val="Normal"/>
    <w:next w:val="ParaNum"/>
    <w:qFormat/>
    <w:rsid w:val="00580E1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0E16"/>
    <w:pPr>
      <w:keepNext/>
      <w:numPr>
        <w:ilvl w:val="1"/>
        <w:numId w:val="3"/>
      </w:numPr>
      <w:spacing w:after="120"/>
      <w:outlineLvl w:val="1"/>
    </w:pPr>
    <w:rPr>
      <w:b/>
    </w:rPr>
  </w:style>
  <w:style w:type="paragraph" w:styleId="Heading3">
    <w:name w:val="heading 3"/>
    <w:basedOn w:val="Normal"/>
    <w:next w:val="ParaNum"/>
    <w:qFormat/>
    <w:rsid w:val="00580E16"/>
    <w:pPr>
      <w:keepNext/>
      <w:numPr>
        <w:ilvl w:val="2"/>
        <w:numId w:val="3"/>
      </w:numPr>
      <w:tabs>
        <w:tab w:val="left" w:pos="2160"/>
      </w:tabs>
      <w:spacing w:after="120"/>
      <w:outlineLvl w:val="2"/>
    </w:pPr>
    <w:rPr>
      <w:b/>
    </w:rPr>
  </w:style>
  <w:style w:type="paragraph" w:styleId="Heading4">
    <w:name w:val="heading 4"/>
    <w:basedOn w:val="Normal"/>
    <w:next w:val="ParaNum"/>
    <w:qFormat/>
    <w:rsid w:val="00580E16"/>
    <w:pPr>
      <w:keepNext/>
      <w:numPr>
        <w:ilvl w:val="3"/>
        <w:numId w:val="3"/>
      </w:numPr>
      <w:tabs>
        <w:tab w:val="left" w:pos="2880"/>
      </w:tabs>
      <w:spacing w:after="120"/>
      <w:outlineLvl w:val="3"/>
    </w:pPr>
    <w:rPr>
      <w:b/>
    </w:rPr>
  </w:style>
  <w:style w:type="paragraph" w:styleId="Heading5">
    <w:name w:val="heading 5"/>
    <w:basedOn w:val="Normal"/>
    <w:next w:val="ParaNum"/>
    <w:qFormat/>
    <w:rsid w:val="00580E1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0E16"/>
    <w:pPr>
      <w:numPr>
        <w:ilvl w:val="5"/>
        <w:numId w:val="3"/>
      </w:numPr>
      <w:tabs>
        <w:tab w:val="left" w:pos="4320"/>
      </w:tabs>
      <w:spacing w:after="120"/>
      <w:outlineLvl w:val="5"/>
    </w:pPr>
    <w:rPr>
      <w:b/>
    </w:rPr>
  </w:style>
  <w:style w:type="paragraph" w:styleId="Heading7">
    <w:name w:val="heading 7"/>
    <w:basedOn w:val="Normal"/>
    <w:next w:val="ParaNum"/>
    <w:qFormat/>
    <w:rsid w:val="00580E1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0E1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0E1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0E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0E16"/>
  </w:style>
  <w:style w:type="paragraph" w:customStyle="1" w:styleId="ParaNum">
    <w:name w:val="ParaNum"/>
    <w:basedOn w:val="Normal"/>
    <w:link w:val="ParaNumChar"/>
    <w:rsid w:val="00580E16"/>
    <w:pPr>
      <w:numPr>
        <w:numId w:val="2"/>
      </w:numPr>
      <w:tabs>
        <w:tab w:val="clear" w:pos="1080"/>
        <w:tab w:val="num" w:pos="1440"/>
      </w:tabs>
      <w:spacing w:after="120"/>
    </w:pPr>
  </w:style>
  <w:style w:type="paragraph" w:styleId="EndnoteText">
    <w:name w:val="endnote text"/>
    <w:basedOn w:val="Normal"/>
    <w:semiHidden/>
    <w:rsid w:val="00580E16"/>
    <w:rPr>
      <w:sz w:val="20"/>
    </w:rPr>
  </w:style>
  <w:style w:type="character" w:styleId="EndnoteReference">
    <w:name w:val="endnote reference"/>
    <w:semiHidden/>
    <w:rsid w:val="00580E16"/>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580E1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80E16"/>
    <w:rPr>
      <w:rFonts w:ascii="Times New Roman" w:hAnsi="Times New Roman"/>
      <w:dstrike w:val="0"/>
      <w:color w:val="auto"/>
      <w:sz w:val="20"/>
      <w:vertAlign w:val="superscript"/>
    </w:rPr>
  </w:style>
  <w:style w:type="paragraph" w:styleId="TOC1">
    <w:name w:val="toc 1"/>
    <w:basedOn w:val="Normal"/>
    <w:next w:val="Normal"/>
    <w:semiHidden/>
    <w:rsid w:val="00580E1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0E16"/>
    <w:pPr>
      <w:tabs>
        <w:tab w:val="left" w:pos="720"/>
        <w:tab w:val="right" w:leader="dot" w:pos="9360"/>
      </w:tabs>
      <w:suppressAutoHyphens/>
      <w:ind w:left="720" w:right="720" w:hanging="360"/>
    </w:pPr>
    <w:rPr>
      <w:noProof/>
    </w:rPr>
  </w:style>
  <w:style w:type="paragraph" w:styleId="TOC3">
    <w:name w:val="toc 3"/>
    <w:basedOn w:val="Normal"/>
    <w:next w:val="Normal"/>
    <w:semiHidden/>
    <w:rsid w:val="00580E1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0E1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0E1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0E1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0E1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0E1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0E16"/>
    <w:pPr>
      <w:tabs>
        <w:tab w:val="left" w:pos="3240"/>
        <w:tab w:val="right" w:leader="dot" w:pos="9360"/>
      </w:tabs>
      <w:suppressAutoHyphens/>
      <w:ind w:left="3240" w:hanging="360"/>
    </w:pPr>
    <w:rPr>
      <w:noProof/>
    </w:rPr>
  </w:style>
  <w:style w:type="paragraph" w:styleId="TOAHeading">
    <w:name w:val="toa heading"/>
    <w:basedOn w:val="Normal"/>
    <w:next w:val="Normal"/>
    <w:rsid w:val="00580E16"/>
    <w:pPr>
      <w:tabs>
        <w:tab w:val="right" w:pos="9360"/>
      </w:tabs>
      <w:suppressAutoHyphens/>
    </w:pPr>
  </w:style>
  <w:style w:type="character" w:customStyle="1" w:styleId="EquationCaption">
    <w:name w:val="_Equation Caption"/>
    <w:rsid w:val="00580E16"/>
  </w:style>
  <w:style w:type="paragraph" w:styleId="Header">
    <w:name w:val="header"/>
    <w:basedOn w:val="Normal"/>
    <w:autoRedefine/>
    <w:rsid w:val="00580E16"/>
    <w:pPr>
      <w:tabs>
        <w:tab w:val="center" w:pos="4680"/>
        <w:tab w:val="right" w:pos="9360"/>
      </w:tabs>
    </w:pPr>
    <w:rPr>
      <w:b/>
    </w:rPr>
  </w:style>
  <w:style w:type="paragraph" w:styleId="Footer">
    <w:name w:val="footer"/>
    <w:basedOn w:val="Normal"/>
    <w:link w:val="FooterChar"/>
    <w:uiPriority w:val="99"/>
    <w:rsid w:val="00580E16"/>
    <w:pPr>
      <w:tabs>
        <w:tab w:val="center" w:pos="4320"/>
        <w:tab w:val="right" w:pos="8640"/>
      </w:tabs>
    </w:pPr>
  </w:style>
  <w:style w:type="character" w:styleId="PageNumber">
    <w:name w:val="page number"/>
    <w:basedOn w:val="DefaultParagraphFont"/>
    <w:rsid w:val="00580E16"/>
  </w:style>
  <w:style w:type="paragraph" w:styleId="BlockText">
    <w:name w:val="Block Text"/>
    <w:basedOn w:val="Normal"/>
    <w:rsid w:val="00580E16"/>
    <w:pPr>
      <w:spacing w:after="240"/>
      <w:ind w:left="1440" w:right="1440"/>
    </w:pPr>
  </w:style>
  <w:style w:type="paragraph" w:customStyle="1" w:styleId="Paratitle">
    <w:name w:val="Para title"/>
    <w:basedOn w:val="Normal"/>
    <w:rsid w:val="00580E16"/>
    <w:pPr>
      <w:tabs>
        <w:tab w:val="center" w:pos="9270"/>
      </w:tabs>
      <w:spacing w:after="240"/>
    </w:pPr>
    <w:rPr>
      <w:spacing w:val="-2"/>
    </w:rPr>
  </w:style>
  <w:style w:type="paragraph" w:customStyle="1" w:styleId="Bullet">
    <w:name w:val="Bullet"/>
    <w:basedOn w:val="Normal"/>
    <w:rsid w:val="00580E16"/>
    <w:pPr>
      <w:tabs>
        <w:tab w:val="left" w:pos="2160"/>
      </w:tabs>
      <w:spacing w:after="220"/>
      <w:ind w:left="2160" w:hanging="720"/>
    </w:pPr>
  </w:style>
  <w:style w:type="paragraph" w:customStyle="1" w:styleId="TableFormat">
    <w:name w:val="TableFormat"/>
    <w:basedOn w:val="Bullet"/>
    <w:rsid w:val="00580E16"/>
    <w:pPr>
      <w:tabs>
        <w:tab w:val="clear" w:pos="2160"/>
        <w:tab w:val="left" w:pos="5040"/>
      </w:tabs>
      <w:ind w:left="5040" w:hanging="3600"/>
    </w:pPr>
  </w:style>
  <w:style w:type="paragraph" w:customStyle="1" w:styleId="TOCTitle">
    <w:name w:val="TOC Title"/>
    <w:basedOn w:val="Normal"/>
    <w:rsid w:val="00580E1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0E16"/>
    <w:pPr>
      <w:jc w:val="center"/>
    </w:pPr>
    <w:rPr>
      <w:rFonts w:ascii="Times New Roman Bold" w:hAnsi="Times New Roman Bold"/>
      <w:b/>
      <w:bCs/>
      <w:caps/>
      <w:szCs w:val="22"/>
    </w:rPr>
  </w:style>
  <w:style w:type="character" w:styleId="Hyperlink">
    <w:name w:val="Hyperlink"/>
    <w:rsid w:val="00580E16"/>
    <w:rPr>
      <w:color w:val="0000FF"/>
      <w:u w:val="single"/>
    </w:rPr>
  </w:style>
  <w:style w:type="character" w:customStyle="1" w:styleId="FooterChar">
    <w:name w:val="Footer Char"/>
    <w:link w:val="Footer"/>
    <w:uiPriority w:val="99"/>
    <w:rsid w:val="00580E16"/>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