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5F193BBC">
      <w:pPr>
        <w:jc w:val="right"/>
        <w:rPr>
          <w:b/>
          <w:szCs w:val="22"/>
        </w:rPr>
      </w:pPr>
      <w:r w:rsidRPr="0042685C">
        <w:rPr>
          <w:b/>
          <w:szCs w:val="22"/>
        </w:rPr>
        <w:t xml:space="preserve">DA </w:t>
      </w:r>
      <w:r w:rsidR="005A0306">
        <w:rPr>
          <w:b/>
          <w:szCs w:val="22"/>
        </w:rPr>
        <w:t>2</w:t>
      </w:r>
      <w:r w:rsidR="001F5F19">
        <w:rPr>
          <w:b/>
          <w:szCs w:val="22"/>
        </w:rPr>
        <w:t>1</w:t>
      </w:r>
      <w:r w:rsidR="00E10983">
        <w:rPr>
          <w:b/>
          <w:szCs w:val="22"/>
        </w:rPr>
        <w:t>-444</w:t>
      </w:r>
    </w:p>
    <w:p w:rsidR="00334AD5" w:rsidP="00334AD5" w14:paraId="5C52EFC8" w14:textId="1DAE7F75">
      <w:pPr>
        <w:spacing w:before="60"/>
        <w:jc w:val="right"/>
        <w:rPr>
          <w:b/>
          <w:szCs w:val="22"/>
        </w:rPr>
      </w:pPr>
      <w:r w:rsidRPr="00CA3425">
        <w:rPr>
          <w:b/>
          <w:szCs w:val="22"/>
        </w:rPr>
        <w:t xml:space="preserve">Released:  </w:t>
      </w:r>
      <w:r w:rsidR="001F5F19">
        <w:rPr>
          <w:b/>
          <w:szCs w:val="22"/>
        </w:rPr>
        <w:t>April 19,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19364F5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5F19">
        <w:rPr>
          <w:b/>
          <w:color w:val="000000"/>
          <w:szCs w:val="22"/>
        </w:rPr>
        <w:t>21</w:t>
      </w:r>
      <w:r>
        <w:rPr>
          <w:b/>
          <w:color w:val="000000"/>
          <w:szCs w:val="22"/>
        </w:rPr>
        <w:t>-</w:t>
      </w:r>
      <w:r w:rsidR="000578ED">
        <w:rPr>
          <w:b/>
          <w:color w:val="000000"/>
          <w:szCs w:val="22"/>
        </w:rPr>
        <w:t>64</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4B8AAAED">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0578ED">
        <w:rPr>
          <w:szCs w:val="22"/>
        </w:rPr>
        <w:t>IFN.COM</w:t>
      </w:r>
      <w:r w:rsidR="001F5F19">
        <w:rPr>
          <w:szCs w:val="22"/>
        </w:rPr>
        <w:t>, Inc.,</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1F5F19">
        <w:rPr>
          <w:szCs w:val="22"/>
        </w:rPr>
        <w:t>21</w:t>
      </w:r>
      <w:r>
        <w:rPr>
          <w:szCs w:val="22"/>
        </w:rPr>
        <w:t>-</w:t>
      </w:r>
      <w:r w:rsidR="000578ED">
        <w:rPr>
          <w:szCs w:val="22"/>
        </w:rPr>
        <w:t>64</w:t>
      </w:r>
      <w:r w:rsidRPr="00023806">
        <w:rPr>
          <w:szCs w:val="22"/>
        </w:rPr>
        <w:t xml:space="preserve"> (</w:t>
      </w:r>
      <w:r w:rsidR="001F5F19">
        <w:rPr>
          <w:szCs w:val="22"/>
        </w:rPr>
        <w:t xml:space="preserve">filed </w:t>
      </w:r>
      <w:r w:rsidR="000578ED">
        <w:rPr>
          <w:szCs w:val="22"/>
        </w:rPr>
        <w:t>Feb</w:t>
      </w:r>
      <w:r w:rsidR="001F5F19">
        <w:rPr>
          <w:szCs w:val="22"/>
        </w:rPr>
        <w:t>. 2</w:t>
      </w:r>
      <w:r w:rsidR="000578ED">
        <w:rPr>
          <w:szCs w:val="22"/>
        </w:rPr>
        <w:t>2</w:t>
      </w:r>
      <w:r w:rsidR="001F5F19">
        <w:rPr>
          <w:szCs w:val="22"/>
        </w:rPr>
        <w:t>, 2021</w:t>
      </w:r>
      <w:r w:rsidRPr="00023806">
        <w:rPr>
          <w:szCs w:val="22"/>
        </w:rPr>
        <w:t xml:space="preserve">), Public Notice, DA </w:t>
      </w:r>
      <w:r w:rsidR="001F5F19">
        <w:rPr>
          <w:szCs w:val="22"/>
        </w:rPr>
        <w:t>21</w:t>
      </w:r>
      <w:r>
        <w:rPr>
          <w:szCs w:val="22"/>
        </w:rPr>
        <w:t>-</w:t>
      </w:r>
      <w:r w:rsidR="001F5F19">
        <w:rPr>
          <w:szCs w:val="22"/>
        </w:rPr>
        <w:t>33</w:t>
      </w:r>
      <w:r w:rsidR="000578ED">
        <w:rPr>
          <w:szCs w:val="22"/>
        </w:rPr>
        <w:t>5</w:t>
      </w:r>
      <w:r w:rsidRPr="00023806">
        <w:rPr>
          <w:szCs w:val="22"/>
        </w:rPr>
        <w:t xml:space="preserve"> (WCB </w:t>
      </w:r>
      <w:r w:rsidR="001F5F19">
        <w:rPr>
          <w:szCs w:val="22"/>
        </w:rPr>
        <w:t>Mar. 19,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1D2CDEF6">
      <w:pPr>
        <w:rPr>
          <w:b/>
          <w:szCs w:val="22"/>
        </w:rPr>
      </w:pPr>
      <w:r w:rsidRPr="00023806">
        <w:rPr>
          <w:b/>
          <w:bCs/>
          <w:color w:val="000000"/>
          <w:szCs w:val="22"/>
          <w:lang w:eastAsia="ja-JP"/>
        </w:rPr>
        <w:t xml:space="preserve">Effective Grant Date:  </w:t>
      </w:r>
      <w:r w:rsidR="001F5F19">
        <w:rPr>
          <w:b/>
          <w:bCs/>
          <w:color w:val="000000"/>
          <w:szCs w:val="22"/>
          <w:lang w:eastAsia="ja-JP"/>
        </w:rPr>
        <w:t>April 19,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0983"/>
    <w:rsid w:val="00E155B7"/>
    <w:rsid w:val="00E34D90"/>
    <w:rsid w:val="00E5409F"/>
    <w:rsid w:val="00E90579"/>
    <w:rsid w:val="00EB748E"/>
    <w:rsid w:val="00EC0185"/>
    <w:rsid w:val="00F021FA"/>
    <w:rsid w:val="00F0255C"/>
    <w:rsid w:val="00F1141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